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4B6A2">
      <w:pPr>
        <w:spacing w:line="400" w:lineRule="exact"/>
        <w:jc w:val="center"/>
        <w:rPr>
          <w:rFonts w:ascii="Times New Roman" w:hAnsi="Times New Roman" w:eastAsia="宋体" w:cs="Times New Roman"/>
          <w:b/>
          <w:color w:val="auto"/>
          <w:sz w:val="32"/>
          <w:szCs w:val="32"/>
        </w:rPr>
      </w:pPr>
      <w:r>
        <w:rPr>
          <w:rFonts w:ascii="Times New Roman" w:hAnsi="Times New Roman" w:eastAsia="宋体" w:cs="Times New Roman"/>
          <w:b/>
          <w:color w:val="auto"/>
          <w:sz w:val="32"/>
          <w:szCs w:val="32"/>
        </w:rPr>
        <w:t>建设工程施工承包协议</w:t>
      </w:r>
    </w:p>
    <w:p w14:paraId="5B3E0061">
      <w:pPr>
        <w:pStyle w:val="11"/>
        <w:spacing w:line="400" w:lineRule="exact"/>
        <w:rPr>
          <w:rFonts w:ascii="Times New Roman" w:hAnsi="Times New Roman" w:eastAsia="宋体" w:cs="Times New Roman"/>
          <w:b/>
          <w:color w:val="auto"/>
          <w:sz w:val="21"/>
          <w:szCs w:val="21"/>
        </w:rPr>
      </w:pPr>
    </w:p>
    <w:p w14:paraId="3E1FD769">
      <w:pPr>
        <w:pStyle w:val="11"/>
        <w:spacing w:line="400" w:lineRule="exact"/>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项目名称：</w:t>
      </w:r>
      <w:r>
        <w:rPr>
          <w:rFonts w:ascii="Times New Roman" w:hAnsi="Times New Roman" w:eastAsia="宋体" w:cs="Times New Roman"/>
          <w:b/>
          <w:color w:val="auto"/>
          <w:sz w:val="21"/>
          <w:szCs w:val="21"/>
          <w:u w:val="single"/>
        </w:rPr>
        <w:t xml:space="preserve">                                  </w:t>
      </w:r>
      <w:r>
        <w:rPr>
          <w:rFonts w:ascii="Times New Roman" w:hAnsi="Times New Roman" w:eastAsia="宋体" w:cs="Times New Roman"/>
          <w:b/>
          <w:color w:val="auto"/>
          <w:sz w:val="21"/>
          <w:szCs w:val="21"/>
        </w:rPr>
        <w:t xml:space="preserve">                    编号：</w:t>
      </w:r>
    </w:p>
    <w:p w14:paraId="61A86825">
      <w:pPr>
        <w:pStyle w:val="11"/>
        <w:spacing w:line="400" w:lineRule="exact"/>
        <w:rPr>
          <w:rFonts w:ascii="Times New Roman" w:hAnsi="Times New Roman" w:eastAsia="宋体" w:cs="Times New Roman"/>
          <w:color w:val="auto"/>
          <w:sz w:val="21"/>
          <w:szCs w:val="21"/>
        </w:rPr>
      </w:pPr>
      <w:r>
        <w:rPr>
          <w:rFonts w:ascii="Times New Roman" w:hAnsi="Times New Roman" w:eastAsia="宋体" w:cs="Times New Roman"/>
          <w:b/>
          <w:color w:val="auto"/>
          <w:sz w:val="21"/>
          <w:szCs w:val="21"/>
        </w:rPr>
        <w:t>甲    方：</w:t>
      </w:r>
      <w:r>
        <w:rPr>
          <w:rFonts w:hint="eastAsia" w:ascii="Times New Roman" w:hAnsi="Times New Roman" w:eastAsia="宋体" w:cs="Times New Roman"/>
          <w:color w:val="auto"/>
          <w:sz w:val="21"/>
          <w:szCs w:val="21"/>
          <w:u w:val="single"/>
          <w:lang w:eastAsia="zh-CN"/>
        </w:rPr>
        <w:t>厦门国贸智慧城市科技有限公司</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（以下称甲方）</w:t>
      </w:r>
    </w:p>
    <w:p w14:paraId="69DB5B3A">
      <w:pPr>
        <w:pStyle w:val="11"/>
        <w:spacing w:line="400" w:lineRule="exact"/>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公司地址：</w:t>
      </w:r>
      <w:r>
        <w:rPr>
          <w:rFonts w:hint="eastAsia" w:ascii="Times New Roman" w:hAnsi="Times New Roman" w:eastAsia="宋体" w:cs="Times New Roman"/>
          <w:color w:val="auto"/>
          <w:sz w:val="21"/>
          <w:szCs w:val="21"/>
          <w:u w:val="single"/>
          <w:lang w:eastAsia="zh-CN"/>
        </w:rPr>
        <w:t>福建省厦门市湖滨四里64号之一湖光大厦14楼D座</w:t>
      </w:r>
      <w:r>
        <w:rPr>
          <w:rFonts w:ascii="Times New Roman" w:hAnsi="Times New Roman" w:eastAsia="宋体" w:cs="Times New Roman"/>
          <w:color w:val="auto"/>
          <w:sz w:val="21"/>
          <w:szCs w:val="21"/>
          <w:u w:val="single"/>
        </w:rPr>
        <w:t xml:space="preserve">     </w:t>
      </w:r>
    </w:p>
    <w:p w14:paraId="0F7545FF">
      <w:pPr>
        <w:pStyle w:val="11"/>
        <w:spacing w:line="400" w:lineRule="exact"/>
        <w:rPr>
          <w:rFonts w:ascii="Times New Roman" w:hAnsi="Times New Roman" w:eastAsia="宋体" w:cs="Times New Roman"/>
          <w:b/>
          <w:color w:val="auto"/>
          <w:sz w:val="21"/>
          <w:szCs w:val="21"/>
        </w:rPr>
      </w:pPr>
    </w:p>
    <w:p w14:paraId="287C97B7">
      <w:pPr>
        <w:pStyle w:val="11"/>
        <w:spacing w:line="400" w:lineRule="exact"/>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乙    方：</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（以下称乙方）</w:t>
      </w:r>
    </w:p>
    <w:p w14:paraId="62910288">
      <w:pPr>
        <w:pStyle w:val="11"/>
        <w:spacing w:line="400" w:lineRule="exact"/>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公司地址：</w:t>
      </w:r>
      <w:r>
        <w:rPr>
          <w:rFonts w:ascii="Times New Roman" w:hAnsi="Times New Roman" w:eastAsia="宋体" w:cs="Times New Roman"/>
          <w:b/>
          <w:color w:val="auto"/>
          <w:sz w:val="21"/>
          <w:szCs w:val="21"/>
          <w:u w:val="single"/>
        </w:rPr>
        <w:t xml:space="preserve">                                  </w:t>
      </w:r>
    </w:p>
    <w:p w14:paraId="59A383B1">
      <w:pPr>
        <w:pStyle w:val="11"/>
        <w:spacing w:line="400" w:lineRule="exact"/>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开户银行：</w:t>
      </w:r>
      <w:r>
        <w:rPr>
          <w:rFonts w:ascii="Times New Roman" w:hAnsi="Times New Roman" w:eastAsia="宋体" w:cs="Times New Roman"/>
          <w:b/>
          <w:color w:val="auto"/>
          <w:sz w:val="21"/>
          <w:szCs w:val="21"/>
          <w:u w:val="single"/>
        </w:rPr>
        <w:t xml:space="preserve">                                  </w:t>
      </w:r>
      <w:r>
        <w:rPr>
          <w:rFonts w:ascii="Times New Roman" w:hAnsi="Times New Roman" w:eastAsia="宋体" w:cs="Times New Roman"/>
          <w:b/>
          <w:color w:val="auto"/>
          <w:sz w:val="21"/>
          <w:szCs w:val="21"/>
        </w:rPr>
        <w:t xml:space="preserve">   汇款账户：</w:t>
      </w:r>
      <w:r>
        <w:rPr>
          <w:rFonts w:ascii="Times New Roman" w:hAnsi="Times New Roman" w:eastAsia="宋体" w:cs="Times New Roman"/>
          <w:b/>
          <w:color w:val="auto"/>
          <w:sz w:val="21"/>
          <w:szCs w:val="21"/>
          <w:u w:val="single"/>
        </w:rPr>
        <w:t xml:space="preserve">                                 </w:t>
      </w:r>
    </w:p>
    <w:p w14:paraId="09A4F051">
      <w:pPr>
        <w:pStyle w:val="11"/>
        <w:spacing w:line="400" w:lineRule="exact"/>
        <w:rPr>
          <w:rFonts w:ascii="Times New Roman" w:hAnsi="Times New Roman" w:eastAsia="宋体" w:cs="Times New Roman"/>
          <w:color w:val="auto"/>
          <w:sz w:val="21"/>
          <w:szCs w:val="21"/>
          <w:u w:val="single"/>
        </w:rPr>
      </w:pPr>
      <w:r>
        <w:rPr>
          <w:rFonts w:ascii="Times New Roman" w:hAnsi="Times New Roman" w:eastAsia="宋体" w:cs="Times New Roman"/>
          <w:b/>
          <w:color w:val="auto"/>
          <w:sz w:val="21"/>
          <w:szCs w:val="21"/>
        </w:rPr>
        <w:t>资质证书号码：</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 xml:space="preserve">   </w:t>
      </w:r>
      <w:r>
        <w:rPr>
          <w:rFonts w:ascii="Times New Roman" w:hAnsi="Times New Roman" w:eastAsia="宋体" w:cs="Times New Roman"/>
          <w:b/>
          <w:color w:val="auto"/>
          <w:sz w:val="21"/>
          <w:szCs w:val="21"/>
        </w:rPr>
        <w:t>发证机关：</w:t>
      </w:r>
      <w:r>
        <w:rPr>
          <w:rFonts w:ascii="Times New Roman" w:hAnsi="Times New Roman" w:eastAsia="宋体" w:cs="Times New Roman"/>
          <w:color w:val="auto"/>
          <w:sz w:val="21"/>
          <w:szCs w:val="21"/>
          <w:u w:val="single"/>
        </w:rPr>
        <w:t xml:space="preserve">                                 </w:t>
      </w:r>
    </w:p>
    <w:p w14:paraId="0DBB24B2">
      <w:pPr>
        <w:pStyle w:val="11"/>
        <w:spacing w:line="400" w:lineRule="exact"/>
        <w:rPr>
          <w:rFonts w:ascii="Times New Roman" w:hAnsi="Times New Roman" w:eastAsia="宋体" w:cs="Times New Roman"/>
          <w:color w:val="auto"/>
          <w:sz w:val="21"/>
          <w:szCs w:val="21"/>
          <w:u w:val="single"/>
        </w:rPr>
      </w:pPr>
      <w:r>
        <w:rPr>
          <w:rFonts w:ascii="Times New Roman" w:hAnsi="Times New Roman" w:eastAsia="宋体" w:cs="Times New Roman"/>
          <w:b/>
          <w:color w:val="auto"/>
          <w:sz w:val="21"/>
          <w:szCs w:val="21"/>
        </w:rPr>
        <w:t>资质专业及等级：</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 xml:space="preserve">   </w:t>
      </w:r>
      <w:r>
        <w:rPr>
          <w:rFonts w:ascii="Times New Roman" w:hAnsi="Times New Roman" w:eastAsia="宋体" w:cs="Times New Roman"/>
          <w:b/>
          <w:color w:val="auto"/>
          <w:sz w:val="21"/>
          <w:szCs w:val="21"/>
        </w:rPr>
        <w:t>复审时间及有效期：</w:t>
      </w:r>
      <w:r>
        <w:rPr>
          <w:rFonts w:ascii="Times New Roman" w:hAnsi="Times New Roman" w:eastAsia="宋体" w:cs="Times New Roman"/>
          <w:color w:val="auto"/>
          <w:sz w:val="21"/>
          <w:szCs w:val="21"/>
          <w:u w:val="single"/>
        </w:rPr>
        <w:t xml:space="preserve">                         </w:t>
      </w:r>
    </w:p>
    <w:p w14:paraId="23588368">
      <w:pPr>
        <w:pStyle w:val="11"/>
        <w:spacing w:line="400" w:lineRule="exact"/>
        <w:ind w:firstLine="422" w:firstLineChars="200"/>
        <w:rPr>
          <w:rFonts w:ascii="Times New Roman" w:hAnsi="Times New Roman" w:eastAsia="宋体" w:cs="Times New Roman"/>
          <w:b/>
          <w:color w:val="auto"/>
          <w:sz w:val="21"/>
          <w:szCs w:val="21"/>
        </w:rPr>
      </w:pPr>
    </w:p>
    <w:p w14:paraId="30700726">
      <w:pPr>
        <w:pStyle w:val="11"/>
        <w:spacing w:line="400" w:lineRule="exact"/>
        <w:ind w:firstLine="422" w:firstLineChars="200"/>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本协议遵循的法律、标准和规范</w:t>
      </w:r>
    </w:p>
    <w:p w14:paraId="696EC8C4">
      <w:pPr>
        <w:pStyle w:val="11"/>
        <w:spacing w:line="400" w:lineRule="exact"/>
        <w:ind w:firstLine="420" w:firstLineChars="200"/>
        <w:rPr>
          <w:rFonts w:ascii="Times New Roman" w:hAnsi="Times New Roman" w:eastAsia="宋体" w:cs="Times New Roman"/>
          <w:color w:val="auto"/>
          <w:sz w:val="21"/>
          <w:szCs w:val="21"/>
          <w:u w:val="single"/>
        </w:rPr>
      </w:pPr>
      <w:r>
        <w:rPr>
          <w:rFonts w:ascii="Times New Roman" w:hAnsi="Times New Roman" w:eastAsia="宋体" w:cs="Times New Roman"/>
          <w:color w:val="auto"/>
          <w:sz w:val="21"/>
          <w:szCs w:val="21"/>
        </w:rPr>
        <w:t>依据《中华人民共和国民法典》、《中华人民共和国建筑法》及其它有关法律、法规，国家及相关地方标准和规范的要求，遵循平等、自愿、公平和诚实守信的原则，甲方和乙方就</w:t>
      </w:r>
      <w:r>
        <w:rPr>
          <w:rFonts w:ascii="Times New Roman" w:hAnsi="Times New Roman" w:eastAsia="宋体" w:cs="Times New Roman"/>
          <w:color w:val="auto"/>
          <w:sz w:val="21"/>
          <w:szCs w:val="21"/>
          <w:u w:val="single"/>
        </w:rPr>
        <w:t xml:space="preserve">                      </w:t>
      </w:r>
    </w:p>
    <w:p w14:paraId="6D717546">
      <w:pPr>
        <w:pStyle w:val="11"/>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安装工程施工事项，订立本协议。</w:t>
      </w:r>
    </w:p>
    <w:p w14:paraId="5C6DABBF">
      <w:pPr>
        <w:pStyle w:val="2"/>
        <w:numPr>
          <w:ilvl w:val="0"/>
          <w:numId w:val="1"/>
        </w:numPr>
        <w:spacing w:line="420" w:lineRule="exact"/>
        <w:ind w:left="426" w:hanging="426"/>
        <w:rPr>
          <w:color w:val="auto"/>
          <w:sz w:val="28"/>
          <w:szCs w:val="28"/>
        </w:rPr>
      </w:pPr>
      <w:r>
        <w:rPr>
          <w:color w:val="auto"/>
          <w:sz w:val="28"/>
          <w:szCs w:val="28"/>
        </w:rPr>
        <w:t>工程概况和内容</w:t>
      </w:r>
    </w:p>
    <w:p w14:paraId="37B5F086">
      <w:pPr>
        <w:pStyle w:val="11"/>
        <w:numPr>
          <w:ilvl w:val="1"/>
          <w:numId w:val="2"/>
        </w:numPr>
        <w:spacing w:line="400" w:lineRule="exact"/>
        <w:ind w:left="426" w:hanging="426"/>
        <w:rPr>
          <w:rFonts w:ascii="Times New Roman" w:hAnsi="Times New Roman" w:eastAsia="宋体" w:cs="Times New Roman"/>
          <w:color w:val="auto"/>
          <w:sz w:val="21"/>
          <w:szCs w:val="21"/>
          <w:u w:val="single"/>
        </w:rPr>
      </w:pPr>
      <w:r>
        <w:rPr>
          <w:rFonts w:ascii="Times New Roman" w:hAnsi="Times New Roman" w:eastAsia="宋体" w:cs="Times New Roman"/>
          <w:color w:val="auto"/>
          <w:sz w:val="21"/>
          <w:szCs w:val="21"/>
        </w:rPr>
        <w:t>工程名称：</w:t>
      </w:r>
      <w:r>
        <w:rPr>
          <w:rFonts w:ascii="Times New Roman" w:hAnsi="Times New Roman" w:eastAsia="宋体" w:cs="Times New Roman"/>
          <w:color w:val="auto"/>
          <w:sz w:val="21"/>
          <w:szCs w:val="21"/>
          <w:u w:val="single"/>
        </w:rPr>
        <w:t xml:space="preserve">                                            </w:t>
      </w:r>
    </w:p>
    <w:p w14:paraId="4F7F4FF9">
      <w:pPr>
        <w:pStyle w:val="11"/>
        <w:numPr>
          <w:ilvl w:val="1"/>
          <w:numId w:val="2"/>
        </w:numPr>
        <w:spacing w:line="400" w:lineRule="exact"/>
        <w:ind w:left="426" w:hanging="426"/>
        <w:rPr>
          <w:rFonts w:ascii="Times New Roman" w:hAnsi="Times New Roman" w:eastAsia="宋体" w:cs="Times New Roman"/>
          <w:color w:val="auto"/>
          <w:sz w:val="21"/>
          <w:szCs w:val="21"/>
          <w:highlight w:val="none"/>
          <w:u w:val="single"/>
        </w:rPr>
      </w:pPr>
      <w:r>
        <w:rPr>
          <w:rFonts w:ascii="Times New Roman" w:hAnsi="Times New Roman" w:eastAsia="宋体" w:cs="Times New Roman"/>
          <w:color w:val="auto"/>
          <w:sz w:val="21"/>
          <w:szCs w:val="21"/>
          <w:highlight w:val="none"/>
        </w:rPr>
        <w:t>工程承包范围：(</w:t>
      </w:r>
      <w:r>
        <w:rPr>
          <w:rFonts w:ascii="Times New Roman" w:hAnsi="Times New Roman" w:eastAsia="宋体" w:cs="Times New Roman"/>
          <w:color w:val="auto"/>
          <w:sz w:val="21"/>
          <w:szCs w:val="21"/>
          <w:highlight w:val="none"/>
          <w:u w:val="single"/>
        </w:rPr>
        <w:t xml:space="preserve">按项目实际待实施子系统内容填写）                                    </w:t>
      </w:r>
    </w:p>
    <w:p w14:paraId="6C2AB739">
      <w:pPr>
        <w:pStyle w:val="11"/>
        <w:numPr>
          <w:ilvl w:val="1"/>
          <w:numId w:val="2"/>
        </w:numPr>
        <w:spacing w:line="400" w:lineRule="exact"/>
        <w:ind w:left="426" w:hanging="426"/>
        <w:rPr>
          <w:rFonts w:ascii="Times New Roman" w:hAnsi="Times New Roman" w:eastAsia="宋体" w:cs="Times New Roman"/>
          <w:color w:val="auto"/>
          <w:sz w:val="21"/>
          <w:szCs w:val="21"/>
          <w:highlight w:val="none"/>
          <w:u w:val="single"/>
        </w:rPr>
      </w:pPr>
      <w:r>
        <w:rPr>
          <w:rFonts w:ascii="Times New Roman" w:hAnsi="Times New Roman" w:eastAsia="宋体" w:cs="Times New Roman"/>
          <w:color w:val="auto"/>
          <w:sz w:val="21"/>
          <w:szCs w:val="21"/>
          <w:highlight w:val="none"/>
        </w:rPr>
        <w:t>工程地点：</w:t>
      </w:r>
      <w:r>
        <w:rPr>
          <w:rFonts w:ascii="Times New Roman" w:hAnsi="Times New Roman" w:eastAsia="宋体" w:cs="Times New Roman"/>
          <w:color w:val="auto"/>
          <w:sz w:val="21"/>
          <w:szCs w:val="21"/>
          <w:highlight w:val="none"/>
          <w:u w:val="single"/>
        </w:rPr>
        <w:t xml:space="preserve">                                                                         </w:t>
      </w:r>
    </w:p>
    <w:p w14:paraId="4C7C1276">
      <w:pPr>
        <w:pStyle w:val="11"/>
        <w:numPr>
          <w:ilvl w:val="1"/>
          <w:numId w:val="2"/>
        </w:numPr>
        <w:spacing w:line="400" w:lineRule="exact"/>
        <w:ind w:left="426" w:hanging="426"/>
        <w:rPr>
          <w:rFonts w:ascii="Times New Roman" w:hAnsi="Times New Roman" w:eastAsia="宋体" w:cs="Times New Roman"/>
          <w:color w:val="auto"/>
          <w:sz w:val="21"/>
          <w:szCs w:val="21"/>
          <w:highlight w:val="none"/>
          <w:u w:val="single"/>
        </w:rPr>
      </w:pPr>
      <w:r>
        <w:rPr>
          <w:rFonts w:ascii="Times New Roman" w:hAnsi="Times New Roman" w:eastAsia="宋体" w:cs="Times New Roman"/>
          <w:color w:val="auto"/>
          <w:sz w:val="21"/>
          <w:szCs w:val="21"/>
          <w:highlight w:val="none"/>
        </w:rPr>
        <w:t>承包方式：</w:t>
      </w:r>
      <w:r>
        <w:rPr>
          <w:rFonts w:ascii="Times New Roman" w:hAnsi="Times New Roman" w:eastAsia="宋体" w:cs="Times New Roman"/>
          <w:color w:val="auto"/>
          <w:sz w:val="21"/>
          <w:szCs w:val="21"/>
          <w:highlight w:val="none"/>
          <w:u w:val="single"/>
        </w:rPr>
        <w:t>包安装</w:t>
      </w:r>
      <w:r>
        <w:rPr>
          <w:rFonts w:hint="eastAsia" w:ascii="Times New Roman" w:hAnsi="Times New Roman" w:eastAsia="宋体" w:cs="Times New Roman"/>
          <w:color w:val="auto"/>
          <w:sz w:val="21"/>
          <w:szCs w:val="21"/>
          <w:highlight w:val="none"/>
          <w:u w:val="single"/>
          <w:lang w:val="en-US" w:eastAsia="zh-CN"/>
        </w:rPr>
        <w:t>包</w:t>
      </w:r>
      <w:r>
        <w:rPr>
          <w:rFonts w:ascii="Times New Roman" w:hAnsi="Times New Roman" w:eastAsia="宋体" w:cs="Times New Roman"/>
          <w:color w:val="auto"/>
          <w:sz w:val="21"/>
          <w:szCs w:val="21"/>
          <w:highlight w:val="none"/>
          <w:u w:val="single"/>
        </w:rPr>
        <w:t>验收（辅材、机具设备乙方自备）</w:t>
      </w:r>
    </w:p>
    <w:p w14:paraId="786D6023">
      <w:pPr>
        <w:pStyle w:val="2"/>
        <w:numPr>
          <w:ilvl w:val="0"/>
          <w:numId w:val="1"/>
        </w:numPr>
        <w:spacing w:line="420" w:lineRule="exact"/>
        <w:ind w:left="426" w:hanging="426"/>
        <w:rPr>
          <w:color w:val="auto"/>
          <w:sz w:val="28"/>
          <w:szCs w:val="28"/>
          <w:highlight w:val="none"/>
        </w:rPr>
      </w:pPr>
      <w:r>
        <w:rPr>
          <w:color w:val="auto"/>
          <w:sz w:val="28"/>
          <w:szCs w:val="28"/>
          <w:highlight w:val="none"/>
        </w:rPr>
        <w:t>协议（暂估）价款</w:t>
      </w:r>
    </w:p>
    <w:p w14:paraId="108FEA7D">
      <w:pPr>
        <w:pStyle w:val="11"/>
        <w:numPr>
          <w:ilvl w:val="1"/>
          <w:numId w:val="3"/>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暂估金额（含税）：人民币</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元（大写：</w:t>
      </w:r>
      <w:r>
        <w:rPr>
          <w:rFonts w:ascii="Times New Roman" w:hAnsi="Times New Roman" w:eastAsia="宋体" w:cs="Times New Roman"/>
          <w:color w:val="auto"/>
          <w:sz w:val="21"/>
          <w:szCs w:val="21"/>
          <w:u w:val="single"/>
        </w:rPr>
        <w:t xml:space="preserve">    </w:t>
      </w:r>
      <w:bookmarkStart w:id="1" w:name="_GoBack"/>
      <w:bookmarkEnd w:id="1"/>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）。该价款已包含安装费、调试费、管理费、机械费、辅材费、运输费、保险费、设备材料保管费、利润、税金等所有费用（附报价单）。</w:t>
      </w:r>
    </w:p>
    <w:p w14:paraId="16E2AFAA">
      <w:pPr>
        <w:pStyle w:val="11"/>
        <w:numPr>
          <w:ilvl w:val="1"/>
          <w:numId w:val="3"/>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本协议价款的计算方式为</w:t>
      </w:r>
      <w:r>
        <w:rPr>
          <w:rFonts w:hint="eastAsia" w:ascii="Times New Roman" w:hAnsi="Times New Roman" w:eastAsia="宋体" w:cs="Times New Roman"/>
          <w:color w:val="auto"/>
          <w:sz w:val="21"/>
          <w:szCs w:val="21"/>
          <w:lang w:eastAsia="zh-CN"/>
        </w:rPr>
        <w:t>：</w:t>
      </w:r>
      <w:r>
        <w:rPr>
          <w:rFonts w:ascii="Times New Roman" w:hAnsi="Times New Roman" w:eastAsia="宋体" w:cs="Times New Roman"/>
          <w:color w:val="auto"/>
          <w:sz w:val="21"/>
          <w:szCs w:val="21"/>
          <w:u w:val="single"/>
        </w:rPr>
        <w:t>固定总价</w:t>
      </w:r>
      <w:r>
        <w:rPr>
          <w:rFonts w:ascii="Times New Roman" w:hAnsi="Times New Roman" w:eastAsia="宋体" w:cs="Times New Roman"/>
          <w:color w:val="auto"/>
          <w:sz w:val="21"/>
          <w:szCs w:val="21"/>
        </w:rPr>
        <w:t>，乙方应另行缴纳自己所进行施工部分的国家行政管理部门费用，并应配合甲方向本工程建设单位申请变更或增加的工程量，建设单位的审核结果对乙方具有约束力，乙方必须接受。</w:t>
      </w:r>
    </w:p>
    <w:p w14:paraId="73EA8374">
      <w:pPr>
        <w:pStyle w:val="11"/>
        <w:numPr>
          <w:ilvl w:val="1"/>
          <w:numId w:val="3"/>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固定单价合同，工程量据实结算，且受甲方与发包人结算工程量的约束。若某项安装或调试业务系本协议签订后发包方要求而本协议未对此约定固定单价的，乙方同意由甲方参照甲方同类或类似业务的固定单价作为乙方与甲方的结算单价。</w:t>
      </w:r>
    </w:p>
    <w:p w14:paraId="2F41B280">
      <w:pPr>
        <w:pStyle w:val="2"/>
        <w:numPr>
          <w:ilvl w:val="0"/>
          <w:numId w:val="1"/>
        </w:numPr>
        <w:spacing w:line="420" w:lineRule="exact"/>
        <w:ind w:left="426" w:hanging="426"/>
        <w:rPr>
          <w:color w:val="auto"/>
          <w:sz w:val="28"/>
          <w:szCs w:val="28"/>
        </w:rPr>
      </w:pPr>
      <w:r>
        <w:rPr>
          <w:color w:val="auto"/>
          <w:sz w:val="28"/>
          <w:szCs w:val="28"/>
        </w:rPr>
        <w:t>变更签证估价原则</w:t>
      </w:r>
    </w:p>
    <w:p w14:paraId="2EE5C5B8">
      <w:pPr>
        <w:pStyle w:val="11"/>
        <w:numPr>
          <w:ilvl w:val="1"/>
          <w:numId w:val="4"/>
        </w:numPr>
        <w:spacing w:line="400" w:lineRule="exact"/>
        <w:rPr>
          <w:rFonts w:ascii="Times New Roman" w:hAnsi="Times New Roman" w:eastAsia="宋体" w:cs="Times New Roman"/>
          <w:b/>
          <w:color w:val="auto"/>
        </w:rPr>
      </w:pPr>
      <w:r>
        <w:rPr>
          <w:rFonts w:ascii="Times New Roman" w:hAnsi="Times New Roman" w:eastAsia="宋体" w:cs="Times New Roman"/>
          <w:b/>
          <w:color w:val="auto"/>
        </w:rPr>
        <w:t>关于变更</w:t>
      </w:r>
      <w:r>
        <w:rPr>
          <w:rFonts w:hint="eastAsia" w:ascii="Times New Roman" w:hAnsi="Times New Roman" w:eastAsia="宋体" w:cs="Times New Roman"/>
          <w:b/>
          <w:color w:val="auto"/>
        </w:rPr>
        <w:t>签证</w:t>
      </w:r>
      <w:r>
        <w:rPr>
          <w:rFonts w:ascii="Times New Roman" w:hAnsi="Times New Roman" w:eastAsia="宋体" w:cs="Times New Roman"/>
          <w:b/>
          <w:color w:val="auto"/>
        </w:rPr>
        <w:t>估价的约定</w:t>
      </w:r>
    </w:p>
    <w:p w14:paraId="50C7339F">
      <w:pPr>
        <w:pStyle w:val="11"/>
        <w:numPr>
          <w:ilvl w:val="0"/>
          <w:numId w:val="5"/>
        </w:numPr>
        <w:spacing w:line="400" w:lineRule="exact"/>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w:t>
      </w:r>
      <w:r>
        <w:rPr>
          <w:rFonts w:ascii="Times New Roman" w:hAnsi="Times New Roman" w:eastAsia="宋体" w:cs="Times New Roman"/>
          <w:color w:val="auto"/>
          <w:sz w:val="21"/>
          <w:szCs w:val="21"/>
        </w:rPr>
        <w:t>工程量清单有相同项目的，按照相同项目单价认定；</w:t>
      </w:r>
    </w:p>
    <w:p w14:paraId="756EAF3B">
      <w:pPr>
        <w:pStyle w:val="11"/>
        <w:numPr>
          <w:ilvl w:val="0"/>
          <w:numId w:val="5"/>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合同工程量清单中无相同项目，但有类似项目的，参照类似项目的单价认定；</w:t>
      </w:r>
    </w:p>
    <w:p w14:paraId="29C43F11">
      <w:pPr>
        <w:pStyle w:val="11"/>
        <w:numPr>
          <w:ilvl w:val="0"/>
          <w:numId w:val="5"/>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合同工程量清单中无相同项目，无类似项目的，双方依据实施项进行</w:t>
      </w:r>
      <w:r>
        <w:rPr>
          <w:rFonts w:hint="eastAsia" w:ascii="Times New Roman" w:hAnsi="Times New Roman" w:eastAsia="宋体" w:cs="Times New Roman"/>
          <w:color w:val="auto"/>
          <w:sz w:val="21"/>
          <w:szCs w:val="21"/>
        </w:rPr>
        <w:t>协商，确定实施单价</w:t>
      </w:r>
      <w:r>
        <w:rPr>
          <w:rFonts w:ascii="Times New Roman" w:hAnsi="Times New Roman" w:eastAsia="宋体" w:cs="Times New Roman"/>
          <w:color w:val="auto"/>
          <w:sz w:val="21"/>
          <w:szCs w:val="21"/>
        </w:rPr>
        <w:t>。</w:t>
      </w:r>
    </w:p>
    <w:p w14:paraId="170BD3A6">
      <w:pPr>
        <w:pStyle w:val="11"/>
        <w:numPr>
          <w:ilvl w:val="1"/>
          <w:numId w:val="4"/>
        </w:numPr>
        <w:spacing w:line="400" w:lineRule="exact"/>
        <w:rPr>
          <w:rFonts w:ascii="Times New Roman" w:hAnsi="Times New Roman" w:eastAsia="宋体" w:cs="Times New Roman"/>
          <w:b/>
          <w:color w:val="auto"/>
        </w:rPr>
      </w:pPr>
      <w:r>
        <w:rPr>
          <w:rFonts w:ascii="Times New Roman" w:hAnsi="Times New Roman" w:eastAsia="宋体" w:cs="Times New Roman"/>
          <w:b/>
          <w:color w:val="auto"/>
        </w:rPr>
        <w:t>变更签证工作量的实施流程</w:t>
      </w:r>
    </w:p>
    <w:p w14:paraId="01E9E6B2">
      <w:pPr>
        <w:pStyle w:val="11"/>
        <w:numPr>
          <w:ilvl w:val="0"/>
          <w:numId w:val="6"/>
        </w:numPr>
        <w:spacing w:line="400" w:lineRule="exact"/>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现场累计变更签证超出合同暂估金额1</w:t>
      </w:r>
      <w:r>
        <w:rPr>
          <w:rFonts w:ascii="Times New Roman" w:hAnsi="Times New Roman" w:eastAsia="宋体" w:cs="Times New Roman"/>
          <w:color w:val="auto"/>
          <w:sz w:val="21"/>
          <w:szCs w:val="21"/>
        </w:rPr>
        <w:t>5%的，乙方可</w:t>
      </w:r>
      <w:r>
        <w:rPr>
          <w:rFonts w:hint="eastAsia" w:ascii="Times New Roman" w:hAnsi="Times New Roman" w:eastAsia="宋体" w:cs="Times New Roman"/>
          <w:color w:val="auto"/>
          <w:sz w:val="21"/>
          <w:szCs w:val="21"/>
        </w:rPr>
        <w:t>申请签订增补合同，并在合同双方流程完成后正常请款。</w:t>
      </w:r>
    </w:p>
    <w:p w14:paraId="7CB5FB31">
      <w:pPr>
        <w:pStyle w:val="11"/>
        <w:numPr>
          <w:ilvl w:val="0"/>
          <w:numId w:val="6"/>
        </w:numPr>
        <w:spacing w:line="400" w:lineRule="exact"/>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rPr>
        <w:t>所有现场变更，甲方负责人签字下发指令并要求完成时限的工作，乙方不得以任何理由拒绝。若因乙方原因导致变更工程量超出指令要求施工工期的，适用合同内工程量逾期未完成的违约条款。如造成现场经济或信誉等损失的，一切后果由乙方承担全部责任，损失直接从乙方工程款扣除，如有缺失部</w:t>
      </w:r>
      <w:r>
        <w:rPr>
          <w:rFonts w:hint="eastAsia" w:ascii="Times New Roman" w:hAnsi="Times New Roman" w:eastAsia="宋体" w:cs="Times New Roman"/>
          <w:color w:val="auto"/>
          <w:sz w:val="21"/>
          <w:szCs w:val="21"/>
          <w:highlight w:val="none"/>
        </w:rPr>
        <w:t>分甲方保留司法途径追偿权利。</w:t>
      </w:r>
    </w:p>
    <w:p w14:paraId="27978FCB">
      <w:pPr>
        <w:pStyle w:val="11"/>
        <w:numPr>
          <w:ilvl w:val="0"/>
          <w:numId w:val="6"/>
        </w:numPr>
        <w:spacing w:line="400" w:lineRule="exact"/>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签证</w:t>
      </w:r>
      <w:r>
        <w:rPr>
          <w:rFonts w:hint="eastAsia" w:ascii="Times New Roman" w:hAnsi="Times New Roman" w:eastAsia="宋体" w:cs="Times New Roman"/>
          <w:color w:val="auto"/>
          <w:sz w:val="21"/>
          <w:szCs w:val="21"/>
          <w:highlight w:val="none"/>
        </w:rPr>
        <w:t>单价确认：1、合同内已有单价，参照合同已有单价变更；2、合同内没有相同单价，参照甲方公司实行的智能化</w:t>
      </w:r>
      <w:r>
        <w:rPr>
          <w:rFonts w:hint="eastAsia" w:ascii="Times New Roman" w:hAnsi="Times New Roman" w:eastAsia="宋体" w:cs="Times New Roman"/>
          <w:color w:val="auto"/>
          <w:sz w:val="21"/>
          <w:szCs w:val="21"/>
          <w:highlight w:val="none"/>
          <w:lang w:val="en-US" w:eastAsia="zh-CN"/>
        </w:rPr>
        <w:t>项目</w:t>
      </w:r>
      <w:r>
        <w:rPr>
          <w:rFonts w:hint="eastAsia" w:ascii="Times New Roman" w:hAnsi="Times New Roman" w:eastAsia="宋体" w:cs="Times New Roman"/>
          <w:color w:val="auto"/>
          <w:sz w:val="21"/>
          <w:szCs w:val="21"/>
          <w:highlight w:val="none"/>
        </w:rPr>
        <w:t>人工费定额；3、1、2两项均未出现的设备单价参考国家颁布的定额标准或双方协商确认。4、特殊情况以人工形式办理签证的如配合多次搬运、配合业主交付、其他等（需具体列出由项目部确认事实）</w:t>
      </w:r>
    </w:p>
    <w:p w14:paraId="2017E3C9">
      <w:pPr>
        <w:pStyle w:val="2"/>
        <w:numPr>
          <w:ilvl w:val="0"/>
          <w:numId w:val="1"/>
        </w:numPr>
        <w:spacing w:line="420" w:lineRule="exact"/>
        <w:ind w:left="426" w:hanging="426"/>
        <w:rPr>
          <w:color w:val="auto"/>
          <w:sz w:val="28"/>
          <w:szCs w:val="28"/>
          <w:highlight w:val="none"/>
        </w:rPr>
      </w:pPr>
      <w:r>
        <w:rPr>
          <w:color w:val="auto"/>
          <w:sz w:val="28"/>
          <w:szCs w:val="28"/>
          <w:highlight w:val="none"/>
        </w:rPr>
        <w:t>工期</w:t>
      </w:r>
      <w:r>
        <w:rPr>
          <w:rFonts w:hint="eastAsia"/>
          <w:color w:val="auto"/>
          <w:sz w:val="28"/>
          <w:szCs w:val="28"/>
          <w:highlight w:val="none"/>
          <w:lang w:eastAsia="zh-CN"/>
        </w:rPr>
        <w:t>（</w:t>
      </w:r>
      <w:r>
        <w:rPr>
          <w:rFonts w:hint="eastAsia"/>
          <w:color w:val="auto"/>
          <w:sz w:val="28"/>
          <w:szCs w:val="28"/>
          <w:highlight w:val="none"/>
          <w:lang w:val="en-US" w:eastAsia="zh-CN"/>
        </w:rPr>
        <w:t>暂定</w:t>
      </w:r>
      <w:r>
        <w:rPr>
          <w:rFonts w:hint="eastAsia"/>
          <w:color w:val="auto"/>
          <w:sz w:val="28"/>
          <w:szCs w:val="28"/>
          <w:highlight w:val="none"/>
          <w:lang w:eastAsia="zh-CN"/>
        </w:rPr>
        <w:t>）</w:t>
      </w:r>
    </w:p>
    <w:p w14:paraId="59357BEC">
      <w:pPr>
        <w:pStyle w:val="11"/>
        <w:spacing w:line="400" w:lineRule="exact"/>
        <w:ind w:left="420"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本承包工程工期需满足甲方项目总工期的需要，若根据实际情况需调整本承包工程的工期，由甲方向乙方发送书面文件，乙方承诺予以无条件配合，合同价款不予调整。</w:t>
      </w:r>
    </w:p>
    <w:p w14:paraId="0007EF24">
      <w:pPr>
        <w:pStyle w:val="11"/>
        <w:spacing w:line="400" w:lineRule="exact"/>
        <w:ind w:left="420"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工期要求：</w:t>
      </w:r>
      <w:r>
        <w:rPr>
          <w:rFonts w:hint="eastAsia" w:ascii="Times New Roman" w:hAnsi="Times New Roman" w:eastAsia="宋体" w:cs="Times New Roman"/>
          <w:color w:val="auto"/>
          <w:sz w:val="21"/>
          <w:szCs w:val="21"/>
        </w:rPr>
        <w:t>工程验收标准依据国家及行业相关的技术规范要求一次性验收通过，具体开工时间以工程部书面通知书为准。</w:t>
      </w:r>
      <w:r>
        <w:rPr>
          <w:rFonts w:ascii="Times New Roman" w:hAnsi="Times New Roman" w:eastAsia="宋体" w:cs="Times New Roman"/>
          <w:color w:val="auto"/>
          <w:sz w:val="21"/>
          <w:szCs w:val="21"/>
        </w:rPr>
        <w:t>工程不能按协议工期竣工或超出发包方、甲方书面同意顺延后的竣工工期竣工，乙方承担下列违约责任：</w:t>
      </w:r>
    </w:p>
    <w:p w14:paraId="1BDB0BED">
      <w:pPr>
        <w:pStyle w:val="11"/>
        <w:numPr>
          <w:ilvl w:val="0"/>
          <w:numId w:val="7"/>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总工期逾期：若因乙方原因造成逾期竣工，每逾期一天按本协议暂估价款金额的千分之五承担逾期违约金，并承担甲方因此遭受到发包人给予的处罚（含工程赔偿款）等损失；</w:t>
      </w:r>
    </w:p>
    <w:p w14:paraId="18F3490A">
      <w:pPr>
        <w:pStyle w:val="11"/>
        <w:numPr>
          <w:ilvl w:val="0"/>
          <w:numId w:val="7"/>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节点工程逾期：若节点工期发生延误，逾期天数在7天以内的，每逾期一天按该节点工期内暂估价款金额的千分之二支付违约金，逾期天数超过7天（含7天）的，每逾期一天按该节点工期内暂估价款金额的千分之三支付违约金，且甲方按各节点分别进行考核，乙方存在多个节点逾期可累计扣罚，且乙方应承担由此给甲方造成的所有损失。即使总工期按期完成，对原节点的扣罚甲方亦不予补还。</w:t>
      </w:r>
    </w:p>
    <w:p w14:paraId="46E60B92">
      <w:pPr>
        <w:pStyle w:val="11"/>
        <w:numPr>
          <w:ilvl w:val="0"/>
          <w:numId w:val="7"/>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乙方原因造成的窝工、误工的，工期不予顺延，不追加协议价款。</w:t>
      </w:r>
    </w:p>
    <w:p w14:paraId="2EB1E601">
      <w:pPr>
        <w:pStyle w:val="11"/>
        <w:numPr>
          <w:ilvl w:val="0"/>
          <w:numId w:val="7"/>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如因甲方原因造成工期延误，乙方应在情况发生后3日内就延误工期以书面形式向甲方项目经理提出报告，经甲方项目经理</w:t>
      </w:r>
      <w:r>
        <w:rPr>
          <w:rFonts w:ascii="Times New Roman" w:hAnsi="Times New Roman" w:cs="Times New Roman" w:eastAsiaTheme="minorEastAsia"/>
          <w:color w:val="auto"/>
          <w:sz w:val="21"/>
          <w:szCs w:val="21"/>
        </w:rPr>
        <w:t>和工程部经理（工程总监）共同</w:t>
      </w:r>
      <w:r>
        <w:rPr>
          <w:rFonts w:ascii="Times New Roman" w:hAnsi="Times New Roman" w:eastAsia="宋体" w:cs="Times New Roman"/>
          <w:color w:val="auto"/>
          <w:sz w:val="21"/>
          <w:szCs w:val="21"/>
        </w:rPr>
        <w:t>签字确认后顺延工期，乙方未在规定时间内书面提出的，视为乙方放弃工期顺延主张。</w:t>
      </w:r>
    </w:p>
    <w:p w14:paraId="5BDFDBAF">
      <w:pPr>
        <w:pStyle w:val="2"/>
        <w:numPr>
          <w:ilvl w:val="0"/>
          <w:numId w:val="1"/>
        </w:numPr>
        <w:spacing w:line="420" w:lineRule="exact"/>
        <w:ind w:left="426" w:hanging="426"/>
        <w:rPr>
          <w:color w:val="auto"/>
          <w:sz w:val="28"/>
          <w:szCs w:val="28"/>
        </w:rPr>
      </w:pPr>
      <w:r>
        <w:rPr>
          <w:color w:val="auto"/>
          <w:sz w:val="28"/>
          <w:szCs w:val="28"/>
        </w:rPr>
        <w:t>工程质量</w:t>
      </w:r>
    </w:p>
    <w:p w14:paraId="13ABD68D">
      <w:pPr>
        <w:pStyle w:val="11"/>
        <w:numPr>
          <w:ilvl w:val="1"/>
          <w:numId w:val="8"/>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工程质量标准：</w:t>
      </w:r>
      <w:r>
        <w:rPr>
          <w:rFonts w:ascii="Times New Roman" w:hAnsi="Times New Roman" w:eastAsia="宋体" w:cs="Times New Roman"/>
          <w:color w:val="auto"/>
          <w:sz w:val="21"/>
          <w:szCs w:val="21"/>
          <w:u w:val="single"/>
        </w:rPr>
        <w:t xml:space="preserve">     依据甲方与发包人签订的主合同要求填写                                </w:t>
      </w:r>
    </w:p>
    <w:p w14:paraId="7AC90A98">
      <w:pPr>
        <w:pStyle w:val="11"/>
        <w:numPr>
          <w:ilvl w:val="1"/>
          <w:numId w:val="8"/>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程质量的评定标准按照本协议约定的标准及甲方与发包人签订的主合同（下称主合同）相应质量条款履行。乙方必须严格按国家有关标准、规范和设计要求以及甲方的指令施工，因乙方原因使工程质量达不到约定的质量标准，乙方应向甲方承担质量违约金</w:t>
      </w:r>
      <w:r>
        <w:rPr>
          <w:rFonts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1</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万元(如低于总包/业主因此对甲方的处罚数额，则质量违约金以甲方遭受的处罚数额为准) ，并无条件返修整改，一切返修费用由乙方承担，乙方并应承担由此导致的工期违约责任。</w:t>
      </w:r>
    </w:p>
    <w:p w14:paraId="6A50D3E3">
      <w:pPr>
        <w:pStyle w:val="11"/>
        <w:numPr>
          <w:ilvl w:val="1"/>
          <w:numId w:val="8"/>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乙方所负责的工程中，质量不达标部分的工程量，不得作为计取最终工程款的依据。</w:t>
      </w:r>
    </w:p>
    <w:p w14:paraId="618C4255">
      <w:pPr>
        <w:pStyle w:val="11"/>
        <w:numPr>
          <w:ilvl w:val="1"/>
          <w:numId w:val="8"/>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在开工前，必须编制施工工艺、施工进度表报甲方审查、批准。工程的检查、交接验收等程序条件必须满足总包合同及甲方的质量标准和质量要求，乙方必须自检，并提供自检依据，自检后以书面形式通知甲方并允许及接受甲方进入现场进行工程交接验收、检查。乙方应就承包工程向甲方承担甲方在总包合同中所应承担的一切义务和责任。</w:t>
      </w:r>
    </w:p>
    <w:p w14:paraId="381F417A">
      <w:pPr>
        <w:pStyle w:val="11"/>
        <w:numPr>
          <w:ilvl w:val="1"/>
          <w:numId w:val="8"/>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项目管网施工中，第三方砼浇筑阶段乙方应负责管网旁站检查并及时处理出现的任何问题，如由此造成的管网堵塞而需进行后期疏通，乙方需承担由此而造成的一切经济损失，甲方不做任何补偿。</w:t>
      </w:r>
    </w:p>
    <w:p w14:paraId="37D63B51">
      <w:pPr>
        <w:pStyle w:val="11"/>
        <w:numPr>
          <w:ilvl w:val="1"/>
          <w:numId w:val="8"/>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完工工程的成品保护：施工未经验收或未正式交付使用的工程，由乙方按甲方或发包人要求负责保护，如出现损坏的必须立即修复，有关费用由乙方承担。</w:t>
      </w:r>
    </w:p>
    <w:p w14:paraId="427DB89A">
      <w:pPr>
        <w:pStyle w:val="11"/>
        <w:numPr>
          <w:ilvl w:val="1"/>
          <w:numId w:val="8"/>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质量保修：工程竣工验收交付使用后，乙方应按国家有关规定对工程出现的缺陷进行保修，保修一年。在保修期内出现质量问题，乙方必须在接到甲方或业主通知后48小时内派人提供免费维修。逾期维修或经通知后不进行维修的，甲方有权在应付款项中扣除相应的维修款，应付款不足以扣除的，乙方应另行支付，且甲方有权要求乙方承担与维修款等额的违约金。</w:t>
      </w:r>
    </w:p>
    <w:p w14:paraId="7808FB9C">
      <w:pPr>
        <w:pStyle w:val="2"/>
        <w:numPr>
          <w:ilvl w:val="0"/>
          <w:numId w:val="1"/>
        </w:numPr>
        <w:spacing w:line="420" w:lineRule="exact"/>
        <w:ind w:left="426" w:hanging="426"/>
        <w:rPr>
          <w:color w:val="auto"/>
          <w:sz w:val="28"/>
          <w:szCs w:val="28"/>
        </w:rPr>
      </w:pPr>
      <w:r>
        <w:rPr>
          <w:color w:val="auto"/>
          <w:sz w:val="28"/>
          <w:szCs w:val="28"/>
        </w:rPr>
        <w:t>甲乙双方的项目负责代表</w:t>
      </w:r>
    </w:p>
    <w:p w14:paraId="4FD4E200">
      <w:pPr>
        <w:pStyle w:val="11"/>
        <w:numPr>
          <w:ilvl w:val="1"/>
          <w:numId w:val="9"/>
        </w:numPr>
        <w:spacing w:line="400" w:lineRule="exact"/>
        <w:ind w:left="426" w:hanging="426"/>
        <w:rPr>
          <w:rFonts w:ascii="Times New Roman" w:hAnsi="Times New Roman" w:eastAsia="宋体" w:cs="Times New Roman"/>
          <w:color w:val="auto"/>
          <w:sz w:val="21"/>
          <w:szCs w:val="21"/>
          <w:u w:val="single"/>
        </w:rPr>
      </w:pPr>
      <w:r>
        <w:rPr>
          <w:rFonts w:ascii="Times New Roman" w:hAnsi="Times New Roman" w:eastAsia="宋体" w:cs="Times New Roman"/>
          <w:color w:val="auto"/>
          <w:sz w:val="21"/>
          <w:szCs w:val="21"/>
        </w:rPr>
        <w:t>甲方委派代表为，姓名：</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职务：</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联系电话：</w:t>
      </w:r>
      <w:r>
        <w:rPr>
          <w:rFonts w:ascii="Times New Roman" w:hAnsi="Times New Roman" w:eastAsia="宋体" w:cs="Times New Roman"/>
          <w:color w:val="auto"/>
          <w:sz w:val="21"/>
          <w:szCs w:val="21"/>
          <w:u w:val="single"/>
        </w:rPr>
        <w:t xml:space="preserve">                  </w:t>
      </w:r>
    </w:p>
    <w:p w14:paraId="77832FD9">
      <w:pPr>
        <w:pStyle w:val="11"/>
        <w:numPr>
          <w:ilvl w:val="1"/>
          <w:numId w:val="9"/>
        </w:numPr>
        <w:spacing w:line="400" w:lineRule="exact"/>
        <w:ind w:left="426" w:hanging="426"/>
        <w:rPr>
          <w:rFonts w:ascii="Times New Roman" w:hAnsi="Times New Roman" w:eastAsia="宋体" w:cs="Times New Roman"/>
          <w:color w:val="auto"/>
          <w:sz w:val="21"/>
          <w:szCs w:val="21"/>
          <w:u w:val="single"/>
        </w:rPr>
      </w:pPr>
      <w:r>
        <w:rPr>
          <w:rFonts w:ascii="Times New Roman" w:hAnsi="Times New Roman" w:eastAsia="宋体" w:cs="Times New Roman"/>
          <w:color w:val="auto"/>
          <w:sz w:val="21"/>
          <w:szCs w:val="21"/>
        </w:rPr>
        <w:t>乙方委派代表为，姓名：</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职务：</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联系电话：</w:t>
      </w:r>
      <w:r>
        <w:rPr>
          <w:rFonts w:ascii="Times New Roman" w:hAnsi="Times New Roman" w:eastAsia="宋体" w:cs="Times New Roman"/>
          <w:color w:val="auto"/>
          <w:sz w:val="21"/>
          <w:szCs w:val="21"/>
          <w:u w:val="single"/>
        </w:rPr>
        <w:t xml:space="preserve">                  </w:t>
      </w:r>
    </w:p>
    <w:p w14:paraId="19E64E05">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上述各方项目负责代表人根据各方授予之职权按本协议约定行使各自的权利，履行各自的义务和职责。</w:t>
      </w:r>
    </w:p>
    <w:p w14:paraId="6976C3ED">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乙方代表出勤率不得低于每周5天，无正当事由或未书面提前向甲方项目经理请假并安排好现场施工的，每少一天则按照200元/天/人予以处罚。</w:t>
      </w:r>
    </w:p>
    <w:p w14:paraId="79AE8A62">
      <w:pPr>
        <w:pStyle w:val="2"/>
        <w:numPr>
          <w:ilvl w:val="0"/>
          <w:numId w:val="1"/>
        </w:numPr>
        <w:spacing w:line="420" w:lineRule="exact"/>
        <w:ind w:left="426" w:hanging="426"/>
        <w:rPr>
          <w:color w:val="auto"/>
          <w:sz w:val="28"/>
          <w:szCs w:val="28"/>
        </w:rPr>
      </w:pPr>
      <w:r>
        <w:rPr>
          <w:color w:val="auto"/>
          <w:sz w:val="28"/>
          <w:szCs w:val="28"/>
        </w:rPr>
        <w:t>材料设备供应安装</w:t>
      </w:r>
    </w:p>
    <w:p w14:paraId="4E0D6653">
      <w:pPr>
        <w:pStyle w:val="11"/>
        <w:numPr>
          <w:ilvl w:val="1"/>
          <w:numId w:val="10"/>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根据甲方施工组织、施工进度安排，每月23日前向甲方提交下月施工计划，且必须提前一周将材料名称、规格、数量计划提交给甲方审核，设备、材料到场后乙方必须按甲方要求领用保管并承担保管费用，由于保管和使用不当产生的损失由乙方承担。</w:t>
      </w:r>
    </w:p>
    <w:p w14:paraId="2C96DBC5">
      <w:pPr>
        <w:pStyle w:val="11"/>
        <w:numPr>
          <w:ilvl w:val="1"/>
          <w:numId w:val="10"/>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领用业主或甲方供应的材料，应向甲方提供材料领用单，如业主或甲方发现本协议所涉工程部分存在超领材料的，甲方有权要求乙方返还超领部分的材料或直接在乙方剩余工程款中予以扣除相应材料款，且被发现一次乙方应向甲方支付违约金</w:t>
      </w:r>
      <w:r>
        <w:rPr>
          <w:rFonts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5000</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元；如工程完工后，业主发现本协议所涉及工程部分存在超领材料并在甲方工程款直接扣除超领材料金额的，甲方亦有权在乙方未结付的款项中予以扣除相应金额，不足扣除的部分，乙方应在收到甲方通知后7日内予以返还，逾期返还的，每逾期一天应按应返还款项的千分之一向甲方支付违约金。</w:t>
      </w:r>
    </w:p>
    <w:p w14:paraId="702017F7">
      <w:pPr>
        <w:pStyle w:val="11"/>
        <w:numPr>
          <w:ilvl w:val="1"/>
          <w:numId w:val="10"/>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乙方必须精打细算，节约用料，在不影响质量效果的情况下使用，零星材料尽量利用，如发现材料浪费现象，每发现一次则处以浪费材料部分双倍的经济处罚。</w:t>
      </w:r>
    </w:p>
    <w:p w14:paraId="0134DDBB">
      <w:pPr>
        <w:pStyle w:val="11"/>
        <w:numPr>
          <w:ilvl w:val="1"/>
          <w:numId w:val="10"/>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由乙方负责购买的材料（包括并不限于）：</w:t>
      </w:r>
      <w:r>
        <w:rPr>
          <w:rFonts w:ascii="Times New Roman" w:hAnsi="Times New Roman" w:eastAsia="宋体" w:cs="Times New Roman"/>
          <w:color w:val="auto"/>
          <w:sz w:val="21"/>
          <w:szCs w:val="21"/>
          <w:u w:val="single"/>
        </w:rPr>
        <w:t>甲供设备安装所用辅材、甲供订制加工类箱体、立杆等安装所用辅材以及其它如铁钉、塑料仔、线卡子、异型塑料管、螺栓、螺母、塑料护口、铁丝、钢丝、螺丝帽、塑料胶布带、棉纱头、脱脂棉、自攻螺丝、塑料胀管、塑料胀塞、黄蜡管、热缩管、标签纸、环氧树脂、酒精、多功能上光清洁剂、尼龙扎带、光盘、管卡子、铅油、清油、汽油、松香水、油漆、绞线、生料带、橡胶板、铝铆钉、膨胀螺栓、铜接线端子、焊条、XXX、XXX…</w:t>
      </w:r>
      <w:r>
        <w:rPr>
          <w:rFonts w:ascii="Times New Roman" w:hAnsi="Times New Roman" w:eastAsia="宋体" w:cs="Times New Roman"/>
          <w:color w:val="auto"/>
          <w:sz w:val="21"/>
          <w:szCs w:val="21"/>
        </w:rPr>
        <w:t>。辅材的产品质量应符合施工要求并由甲方把关确认。如出现上述列示辅材由甲方采购的，在工程最终结算时依据采购原值计价并予以扣减。</w:t>
      </w:r>
    </w:p>
    <w:p w14:paraId="71765ADA">
      <w:pPr>
        <w:pStyle w:val="2"/>
        <w:numPr>
          <w:ilvl w:val="0"/>
          <w:numId w:val="1"/>
        </w:numPr>
        <w:spacing w:line="420" w:lineRule="exact"/>
        <w:ind w:left="426" w:hanging="426"/>
        <w:rPr>
          <w:color w:val="auto"/>
          <w:sz w:val="28"/>
          <w:szCs w:val="28"/>
        </w:rPr>
      </w:pPr>
      <w:r>
        <w:rPr>
          <w:color w:val="auto"/>
          <w:sz w:val="28"/>
          <w:szCs w:val="28"/>
        </w:rPr>
        <w:t>工程量的确认</w:t>
      </w:r>
    </w:p>
    <w:p w14:paraId="6349BEA6">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乙方应于每月</w:t>
      </w:r>
      <w:r>
        <w:rPr>
          <w:rFonts w:ascii="Times New Roman" w:hAnsi="Times New Roman" w:eastAsia="宋体" w:cs="Times New Roman"/>
          <w:color w:val="auto"/>
          <w:sz w:val="21"/>
          <w:szCs w:val="21"/>
          <w:u w:val="single"/>
        </w:rPr>
        <w:t xml:space="preserve"> 16 </w:t>
      </w:r>
      <w:r>
        <w:rPr>
          <w:rFonts w:ascii="Times New Roman" w:hAnsi="Times New Roman" w:eastAsia="宋体" w:cs="Times New Roman"/>
          <w:color w:val="auto"/>
          <w:sz w:val="21"/>
          <w:szCs w:val="21"/>
        </w:rPr>
        <w:t>日前向甲方提交已完成工程量的报告，经甲方项目代表初步审核，最终根据现场实际完成工作量以甲方书面确认的为准。凡乙方上报工作量超出实际工作量、或施工中偷工减料、材料以次充好的，甲方有权对乙方做出虚假部分所对应价款一倍以上的经济处罚。对乙方自行超出设计图纸范围和因乙方原因造成返工的工程量，甲方不予计量。</w:t>
      </w:r>
    </w:p>
    <w:p w14:paraId="2336C6A4">
      <w:pPr>
        <w:pStyle w:val="2"/>
        <w:numPr>
          <w:ilvl w:val="0"/>
          <w:numId w:val="1"/>
        </w:numPr>
        <w:spacing w:line="420" w:lineRule="exact"/>
        <w:ind w:left="426" w:hanging="426"/>
        <w:rPr>
          <w:color w:val="auto"/>
          <w:sz w:val="28"/>
          <w:szCs w:val="28"/>
        </w:rPr>
      </w:pPr>
      <w:r>
        <w:rPr>
          <w:color w:val="auto"/>
          <w:sz w:val="28"/>
          <w:szCs w:val="28"/>
        </w:rPr>
        <w:t>付款方式</w:t>
      </w:r>
    </w:p>
    <w:p w14:paraId="38B26629">
      <w:pPr>
        <w:pStyle w:val="11"/>
        <w:numPr>
          <w:ilvl w:val="1"/>
          <w:numId w:val="11"/>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乙方每月凭甲方确认的《</w:t>
      </w:r>
      <w:r>
        <w:rPr>
          <w:rFonts w:ascii="Times New Roman" w:hAnsi="Times New Roman" w:cs="Times New Roman" w:eastAsiaTheme="minorEastAsia"/>
          <w:color w:val="auto"/>
          <w:sz w:val="21"/>
          <w:szCs w:val="21"/>
        </w:rPr>
        <w:t>设备及安装工程完成量清单》和《工程进度款请拨单》</w:t>
      </w:r>
      <w:r>
        <w:rPr>
          <w:rFonts w:ascii="Times New Roman" w:hAnsi="Times New Roman" w:eastAsia="宋体" w:cs="Times New Roman"/>
          <w:color w:val="auto"/>
          <w:sz w:val="21"/>
          <w:szCs w:val="21"/>
        </w:rPr>
        <w:t>向甲方申请工程款，甲方按不高于审定价的80％向乙方支付。</w:t>
      </w:r>
      <w:r>
        <w:rPr>
          <w:rFonts w:ascii="Times New Roman" w:hAnsi="Times New Roman" w:cs="Times New Roman" w:eastAsiaTheme="minorEastAsia"/>
          <w:color w:val="auto"/>
          <w:sz w:val="21"/>
          <w:szCs w:val="21"/>
        </w:rPr>
        <w:t>当累计支付至本协议约定的暂估总价款的80%时，暂停支付工程进度款</w:t>
      </w:r>
      <w:r>
        <w:rPr>
          <w:rFonts w:ascii="Times New Roman" w:hAnsi="Times New Roman" w:eastAsia="宋体" w:cs="Times New Roman"/>
          <w:color w:val="auto"/>
          <w:sz w:val="21"/>
          <w:szCs w:val="21"/>
        </w:rPr>
        <w:t>，剩余款项按本协议约定支付。但乙方仍需每月向甲方申报《设备及安装工程完成量清单》。</w:t>
      </w:r>
    </w:p>
    <w:p w14:paraId="4803DE2A">
      <w:pPr>
        <w:pStyle w:val="11"/>
        <w:numPr>
          <w:ilvl w:val="1"/>
          <w:numId w:val="11"/>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次付款前，乙方应按甲方审定的《设备及安装工程完成量清单》金额，足额提供合法规范（备注栏注明建筑服务发生地所在县（市区）、项目名称）的增值税专用发票，按照当地税务机关征管规定，配合甲方办理税收抵扣，如因乙方原因导致税收不能抵扣的，甲方有权从应付的乙方工程款中扣除不能抵扣的税金金额；竣工结算后，乙方应提供完整的（含质保金）增值税专用发票。</w:t>
      </w:r>
    </w:p>
    <w:p w14:paraId="3C30F388">
      <w:pPr>
        <w:pStyle w:val="11"/>
        <w:numPr>
          <w:ilvl w:val="1"/>
          <w:numId w:val="11"/>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项目完工经发包人（总包/业主）、监理、甲方三方共同验收合格后，乙方应在10天内向甲方提交分包工程竣工资料及分包工程结算书，并配合甲方在20天内完成分包竣工资料及结算的审核（逾期以甲方审核价为准）。审核通过后，甲方支付至结算总价的9</w:t>
      </w:r>
      <w:r>
        <w:rPr>
          <w:rFonts w:hint="eastAsia" w:ascii="Times New Roman" w:hAnsi="Times New Roman" w:eastAsia="宋体" w:cs="Times New Roman"/>
          <w:color w:val="auto"/>
          <w:sz w:val="21"/>
          <w:szCs w:val="21"/>
          <w:lang w:val="en-US" w:eastAsia="zh-CN"/>
        </w:rPr>
        <w:t>7</w:t>
      </w:r>
      <w:r>
        <w:rPr>
          <w:rFonts w:ascii="Times New Roman" w:hAnsi="Times New Roman" w:eastAsia="宋体" w:cs="Times New Roman"/>
          <w:color w:val="auto"/>
          <w:sz w:val="21"/>
          <w:szCs w:val="21"/>
        </w:rPr>
        <w:t>%，剩余最终结算总价的</w:t>
      </w:r>
      <w:r>
        <w:rPr>
          <w:rFonts w:hint="eastAsia" w:ascii="Times New Roman" w:hAnsi="Times New Roman" w:eastAsia="宋体" w:cs="Times New Roman"/>
          <w:color w:val="auto"/>
          <w:sz w:val="21"/>
          <w:szCs w:val="21"/>
          <w:lang w:val="en-US" w:eastAsia="zh-CN"/>
        </w:rPr>
        <w:t>3</w:t>
      </w:r>
      <w:r>
        <w:rPr>
          <w:rFonts w:ascii="Times New Roman" w:hAnsi="Times New Roman" w:eastAsia="宋体" w:cs="Times New Roman"/>
          <w:color w:val="auto"/>
          <w:sz w:val="21"/>
          <w:szCs w:val="21"/>
        </w:rPr>
        <w:t>%作为工程质量保证金</w:t>
      </w:r>
      <w:r>
        <w:rPr>
          <w:rFonts w:hint="eastAsia" w:ascii="Times New Roman" w:hAnsi="Times New Roman" w:eastAsia="宋体" w:cs="Times New Roman"/>
          <w:color w:val="auto"/>
          <w:sz w:val="21"/>
          <w:szCs w:val="21"/>
          <w:lang w:eastAsia="zh-CN"/>
        </w:rPr>
        <w:t>。</w:t>
      </w:r>
    </w:p>
    <w:p w14:paraId="40EC31B2">
      <w:pPr>
        <w:pStyle w:val="11"/>
        <w:numPr>
          <w:ilvl w:val="1"/>
          <w:numId w:val="11"/>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因乙方原因导致工程发包人对甲方进行违约处罚，乙方须承担由此给甲方造成的损失，甲方有权将所受处罚、违约金、损失等直接从应付乙方款项、质量保证金和乙方履约保证金中直接予以扣除，不足以抵扣部分，甲方有权另行向乙方追偿。</w:t>
      </w:r>
    </w:p>
    <w:p w14:paraId="120509EC">
      <w:pPr>
        <w:pStyle w:val="11"/>
        <w:numPr>
          <w:ilvl w:val="1"/>
          <w:numId w:val="11"/>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乙方应承担的赔偿金额及违约金等，甲方有权从应付乙方的款项、质量保证金中直接抵扣或从乙方履约保证金中扣除，不足部分甲方有权另行向乙方追偿。</w:t>
      </w:r>
    </w:p>
    <w:p w14:paraId="6A993AA1">
      <w:pPr>
        <w:pStyle w:val="11"/>
        <w:numPr>
          <w:ilvl w:val="1"/>
          <w:numId w:val="11"/>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工程保修期满无质量问题，经甲方确认后一个月内可申请无息退回工程质量保证金。</w:t>
      </w:r>
    </w:p>
    <w:p w14:paraId="629A4023">
      <w:pPr>
        <w:pStyle w:val="2"/>
        <w:numPr>
          <w:ilvl w:val="0"/>
          <w:numId w:val="1"/>
        </w:numPr>
        <w:spacing w:line="420" w:lineRule="exact"/>
        <w:ind w:left="567" w:hanging="567"/>
        <w:rPr>
          <w:color w:val="auto"/>
          <w:sz w:val="28"/>
          <w:szCs w:val="28"/>
        </w:rPr>
      </w:pPr>
      <w:r>
        <w:rPr>
          <w:color w:val="auto"/>
          <w:sz w:val="28"/>
          <w:szCs w:val="28"/>
        </w:rPr>
        <w:t>工人工资发放的保证条款</w:t>
      </w:r>
    </w:p>
    <w:p w14:paraId="749C885A">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乙方必须保证工人工资每月按有关法律法规的规定定期足额发放到每一工人手中，</w:t>
      </w:r>
      <w:r>
        <w:rPr>
          <w:rFonts w:ascii="Times New Roman" w:hAnsi="Times New Roman" w:cs="Times New Roman" w:eastAsiaTheme="minorEastAsia"/>
          <w:color w:val="auto"/>
          <w:sz w:val="21"/>
          <w:szCs w:val="21"/>
        </w:rPr>
        <w:t>并为所属工人按国家相关规定缴交相关社会保险费，不得拖延发放工人工资；</w:t>
      </w:r>
      <w:r>
        <w:rPr>
          <w:rFonts w:ascii="Times New Roman" w:hAnsi="Times New Roman" w:eastAsia="宋体" w:cs="Times New Roman"/>
          <w:color w:val="auto"/>
          <w:sz w:val="21"/>
          <w:szCs w:val="21"/>
        </w:rPr>
        <w:t>如乙方未能及时发放工人工资，导致工人因工资问题闹事或向有关部门投诉的，甲方有权从剩余工程款中直接支付，同时乙方仍应承担如下违约责任：</w:t>
      </w:r>
    </w:p>
    <w:p w14:paraId="18FC852D">
      <w:pPr>
        <w:pStyle w:val="11"/>
        <w:numPr>
          <w:ilvl w:val="0"/>
          <w:numId w:val="12"/>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向甲方支付相当于扣除工人工资后剩余工程款的违约金，即甲方有权不予支付该剩余工程款；</w:t>
      </w:r>
    </w:p>
    <w:p w14:paraId="4FC9E88A">
      <w:pPr>
        <w:pStyle w:val="11"/>
        <w:numPr>
          <w:ilvl w:val="0"/>
          <w:numId w:val="12"/>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如甲方因此受到发包人索赔或被行政部门进行行政处罚的，乙方需承担因此给甲方造成的经济损失。 </w:t>
      </w:r>
    </w:p>
    <w:p w14:paraId="395DB386">
      <w:pPr>
        <w:pStyle w:val="11"/>
        <w:numPr>
          <w:ilvl w:val="0"/>
          <w:numId w:val="12"/>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一旦出现因乙方未能及时发放工人工资造成负面社会影响的，甲方将不再与乙方进行其他项目的合作。</w:t>
      </w:r>
    </w:p>
    <w:p w14:paraId="4DB5EBB3">
      <w:pPr>
        <w:pStyle w:val="2"/>
        <w:numPr>
          <w:ilvl w:val="0"/>
          <w:numId w:val="1"/>
        </w:numPr>
        <w:spacing w:line="420" w:lineRule="exact"/>
        <w:ind w:left="567" w:hanging="567"/>
        <w:rPr>
          <w:color w:val="auto"/>
          <w:sz w:val="28"/>
          <w:szCs w:val="28"/>
        </w:rPr>
      </w:pPr>
      <w:r>
        <w:rPr>
          <w:color w:val="auto"/>
          <w:sz w:val="28"/>
          <w:szCs w:val="28"/>
        </w:rPr>
        <w:t>安全文明施工</w:t>
      </w:r>
    </w:p>
    <w:p w14:paraId="2FCFF844">
      <w:pPr>
        <w:pStyle w:val="11"/>
        <w:numPr>
          <w:ilvl w:val="1"/>
          <w:numId w:val="13"/>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乙方必须在甲方的监督下对全体施工作业人员进行安全文明施工教育，未经安全生产教育培训或者考核不合格的人员，不得上岗作业。</w:t>
      </w:r>
    </w:p>
    <w:p w14:paraId="0F6AC9B2">
      <w:pPr>
        <w:pStyle w:val="11"/>
        <w:numPr>
          <w:ilvl w:val="1"/>
          <w:numId w:val="13"/>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必须为其施工人员提供符合安全、卫生标准的生产环境、作业条件、机械设备和安全防护用具等。在乙方施工范围内，因安全防护（如安全带、安全帽、医用外科口罩、安全网、电工鞋、绝缘手套等）、文明措施等发生的费用，由乙方承担。</w:t>
      </w:r>
    </w:p>
    <w:p w14:paraId="63EBD9AF">
      <w:pPr>
        <w:pStyle w:val="11"/>
        <w:numPr>
          <w:ilvl w:val="1"/>
          <w:numId w:val="13"/>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必须认真贯彻安全第一、预防为主的方针，确保施工过程中人身和设备安全。乙方应当建立健全安全检查制度，加强对施工现场的安全巡查，并对违反施工安全技术标准、规范和操作规程的行为及时制止或纠正；对发现的安全事故隐患，及时采取措施予以消除。一旦发生安全事故，应立即报告项目部、维护好现场、采取应急措施，根据事故、事件，查明原因，分清责任并承担相应的损失。如果属乙方原因，一切责任由乙方承担。</w:t>
      </w:r>
    </w:p>
    <w:p w14:paraId="2D239092">
      <w:pPr>
        <w:pStyle w:val="11"/>
        <w:numPr>
          <w:ilvl w:val="1"/>
          <w:numId w:val="13"/>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乙方必须遵守甲方各种“奖罚制度”。</w:t>
      </w:r>
    </w:p>
    <w:p w14:paraId="34A10DC5">
      <w:pPr>
        <w:pStyle w:val="11"/>
        <w:numPr>
          <w:ilvl w:val="1"/>
          <w:numId w:val="13"/>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乙方在工地严禁吸烟，严禁随地大小便，上班须带胸卡，穿工作服。</w:t>
      </w:r>
    </w:p>
    <w:p w14:paraId="1F380F0A">
      <w:pPr>
        <w:pStyle w:val="11"/>
        <w:numPr>
          <w:ilvl w:val="1"/>
          <w:numId w:val="13"/>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乙方必须确保施工质量，按进度施工、按期竣工、不得拖延工期，如发生质量问题或拖延工期所造成的损失，由乙方承担。</w:t>
      </w:r>
    </w:p>
    <w:p w14:paraId="116D8286">
      <w:pPr>
        <w:pStyle w:val="2"/>
        <w:numPr>
          <w:ilvl w:val="0"/>
          <w:numId w:val="1"/>
        </w:numPr>
        <w:spacing w:line="420" w:lineRule="exact"/>
        <w:ind w:left="567" w:hanging="567"/>
        <w:rPr>
          <w:color w:val="auto"/>
          <w:sz w:val="28"/>
          <w:szCs w:val="28"/>
        </w:rPr>
      </w:pPr>
      <w:r>
        <w:rPr>
          <w:color w:val="auto"/>
          <w:sz w:val="28"/>
          <w:szCs w:val="28"/>
        </w:rPr>
        <w:t>保险</w:t>
      </w:r>
    </w:p>
    <w:p w14:paraId="37604272">
      <w:pPr>
        <w:pStyle w:val="11"/>
        <w:numPr>
          <w:ilvl w:val="1"/>
          <w:numId w:val="14"/>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乙方应按照相关法律法规为施工场地内的自有人员及第三方人员生命财产办理相关保险，且进入施工现场前已生效。保险费用由乙方自行承担，并对其投保对象的安全负全责。</w:t>
      </w:r>
    </w:p>
    <w:p w14:paraId="74185DDB">
      <w:pPr>
        <w:pStyle w:val="11"/>
        <w:numPr>
          <w:ilvl w:val="1"/>
          <w:numId w:val="14"/>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乙方每日进场施工前，应进行人员核查，严禁未办理保险的人员进入施工现场。</w:t>
      </w:r>
    </w:p>
    <w:p w14:paraId="46308646">
      <w:pPr>
        <w:pStyle w:val="11"/>
        <w:numPr>
          <w:ilvl w:val="1"/>
          <w:numId w:val="14"/>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运至施工场地用于劳务施工的材料和待安装设备，由乙方办理或获得保险，费用由乙方自行承担。</w:t>
      </w:r>
    </w:p>
    <w:p w14:paraId="1E77FED6">
      <w:pPr>
        <w:pStyle w:val="11"/>
        <w:numPr>
          <w:ilvl w:val="1"/>
          <w:numId w:val="14"/>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必须为从事施工和管理的人员办理意外伤害保险，所投保险应满足《保险职业代码》建筑工程业4类人员（含登高作业），且意外伤害保险保额不低于100万（有从事特种作业或家庭中有2个以上子女需要抚养的情况下，意外伤害保险保额不低于150万）的要求，并为施工场地内自有人员生命财产和施工机械设备办理保险，支付保险费用。</w:t>
      </w:r>
    </w:p>
    <w:p w14:paraId="6344BEBD">
      <w:pPr>
        <w:pStyle w:val="11"/>
        <w:numPr>
          <w:ilvl w:val="1"/>
          <w:numId w:val="14"/>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保险事故发生时，乙方有责任采取必要的措施，防止或减少损失。</w:t>
      </w:r>
    </w:p>
    <w:p w14:paraId="330678D1">
      <w:pPr>
        <w:pStyle w:val="2"/>
        <w:numPr>
          <w:ilvl w:val="0"/>
          <w:numId w:val="1"/>
        </w:numPr>
        <w:spacing w:line="420" w:lineRule="exact"/>
        <w:ind w:left="567" w:hanging="567"/>
        <w:rPr>
          <w:color w:val="auto"/>
          <w:sz w:val="28"/>
          <w:szCs w:val="28"/>
        </w:rPr>
      </w:pPr>
      <w:r>
        <w:rPr>
          <w:color w:val="auto"/>
          <w:sz w:val="28"/>
          <w:szCs w:val="28"/>
        </w:rPr>
        <w:t>事故处理</w:t>
      </w:r>
    </w:p>
    <w:p w14:paraId="313A3544">
      <w:pPr>
        <w:pStyle w:val="11"/>
        <w:numPr>
          <w:ilvl w:val="1"/>
          <w:numId w:val="15"/>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发生重大伤亡及其他安全事故，乙方应按有关规定立即上报相关部门并报告甲方，乙方应对其员工的伤亡负担全部的赔偿责任。若因乙方拒绝赔偿而导致乙方人员要求甲方承担责任的，甲方有权从应付工程款、保证金等款项中予以扣除，并要求乙方赔偿甲方的损失（包括但不限于交通费、律师费、保全费、诉讼保函担保费、公证费、鉴定费、仲裁各项收费、法院各项收费等），同时乙方应按国家有关法律、行政法规对事故进行处理。</w:t>
      </w:r>
    </w:p>
    <w:p w14:paraId="3CE06614">
      <w:pPr>
        <w:pStyle w:val="11"/>
        <w:numPr>
          <w:ilvl w:val="1"/>
          <w:numId w:val="15"/>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甲方和乙方对事故责任有争议时，应按国家相关规定处理。</w:t>
      </w:r>
    </w:p>
    <w:p w14:paraId="22C4F5A4">
      <w:pPr>
        <w:pStyle w:val="2"/>
        <w:numPr>
          <w:ilvl w:val="0"/>
          <w:numId w:val="1"/>
        </w:numPr>
        <w:spacing w:line="420" w:lineRule="exact"/>
        <w:ind w:left="567" w:hanging="567"/>
        <w:rPr>
          <w:color w:val="auto"/>
          <w:sz w:val="28"/>
          <w:szCs w:val="28"/>
        </w:rPr>
      </w:pPr>
      <w:r>
        <w:rPr>
          <w:color w:val="auto"/>
          <w:sz w:val="28"/>
          <w:szCs w:val="28"/>
        </w:rPr>
        <w:t>竣工验收及结算</w:t>
      </w:r>
    </w:p>
    <w:p w14:paraId="6CEAE40F">
      <w:pPr>
        <w:pStyle w:val="11"/>
        <w:numPr>
          <w:ilvl w:val="1"/>
          <w:numId w:val="16"/>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程具备竣工验收条件的，乙方必须提前十日向甲方提供完整的竣工资料及竣工验收报告一式二份（包括竣工图）。由甲方通知发包人进行验收，按发包人要求的验收期限及程序组织验收，乙方予以无条件配合。工程竣工验收未能通过的，乙方负责整改直至竣工验收通过，乙方并应承担由此导致的工期延误违约责任和给甲方造成的所有损失。乙方的竣工日期以甲方向乙方出具验收合格证明上注明的日期为准。如甲方未出具验收合格证明的，以发包人方向甲方出具的竣工验收合格记录或类似的书面资料上注明的竣工日期为准。</w:t>
      </w:r>
    </w:p>
    <w:p w14:paraId="2CB4807D">
      <w:pPr>
        <w:pStyle w:val="11"/>
        <w:numPr>
          <w:ilvl w:val="1"/>
          <w:numId w:val="16"/>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竣工验收报告经甲方认可后，乙方向甲方递交工程结算报告及完整的结算资料（竣工资料须包含且不限于设备调试记录、系统检测记录、现场实测图纸、竣工图底稿、计算式等）以审核工程价款。在甲方与发包人进行工程结算审价（审计）时，乙方必须配合甲方与发包人进行审价（审计），最终的审定价款以发包人出具的结算审价表经由甲方复核确定后的数额为准，对乙方结算具有约束力。</w:t>
      </w:r>
    </w:p>
    <w:p w14:paraId="01BBED19">
      <w:pPr>
        <w:pStyle w:val="11"/>
        <w:numPr>
          <w:ilvl w:val="1"/>
          <w:numId w:val="16"/>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在提交分包工程结算书的同时须附上经甲方书面签章确认后的关于工程量变更或施工单价的联系单、签证单等结算资料，甲方根据乙方提供的结算资料审核分包工程结算书，若乙方未提供完整的结算资料，甲方仅按乙方所提供的结算资料审核分包工程结算书，无资料部分以甲方审核为准。</w:t>
      </w:r>
    </w:p>
    <w:p w14:paraId="143962F3">
      <w:pPr>
        <w:pStyle w:val="11"/>
        <w:numPr>
          <w:ilvl w:val="1"/>
          <w:numId w:val="16"/>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甲乙双方在开工前期制定的关于材料损耗奖惩以及工期、质量奖罚措施都将作为双方结算的依据。</w:t>
      </w:r>
    </w:p>
    <w:p w14:paraId="6C6511FC">
      <w:pPr>
        <w:pStyle w:val="11"/>
        <w:numPr>
          <w:ilvl w:val="1"/>
          <w:numId w:val="16"/>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乙方工程验收合格并不免除乙方因施工存在内在质量问题、不符合规范要求或有其它质量瑕疵应承担全部责任（包括并不限于在质保期满后负责更换和维修）。</w:t>
      </w:r>
    </w:p>
    <w:p w14:paraId="09EC5641">
      <w:pPr>
        <w:pStyle w:val="11"/>
        <w:numPr>
          <w:ilvl w:val="1"/>
          <w:numId w:val="16"/>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偷盗处罚：因乙方偷盗行为造成的材料设备丢失，2000元以下按原值照价进行赔偿，2000元以上的除按原值照价进行赔偿外，甲方将再处以原值3倍的价格进行处罚，从应付工程款或履约保证金中直接扣除。</w:t>
      </w:r>
    </w:p>
    <w:p w14:paraId="4E3FAC20">
      <w:pPr>
        <w:pStyle w:val="11"/>
        <w:numPr>
          <w:ilvl w:val="1"/>
          <w:numId w:val="16"/>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结算处罚：乙方报送甲方审核的结算金额超出甲方最终审核金额10%的，甲方将按超出部分的50%给予处罚，从应付工程款或履约保证金中直接扣除。</w:t>
      </w:r>
    </w:p>
    <w:p w14:paraId="1D17204E">
      <w:pPr>
        <w:pStyle w:val="11"/>
        <w:numPr>
          <w:ilvl w:val="1"/>
          <w:numId w:val="16"/>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乙方对本协议项下已完成或未完成的工作成果（包括但不限于材料、设备、图纸等动产）均无留置权。</w:t>
      </w:r>
    </w:p>
    <w:p w14:paraId="5C631C4F">
      <w:pPr>
        <w:pStyle w:val="2"/>
        <w:numPr>
          <w:ilvl w:val="0"/>
          <w:numId w:val="1"/>
        </w:numPr>
        <w:spacing w:line="420" w:lineRule="exact"/>
        <w:ind w:left="567" w:hanging="567"/>
        <w:rPr>
          <w:color w:val="auto"/>
          <w:sz w:val="28"/>
          <w:szCs w:val="28"/>
        </w:rPr>
      </w:pPr>
      <w:r>
        <w:rPr>
          <w:color w:val="auto"/>
          <w:sz w:val="28"/>
          <w:szCs w:val="28"/>
        </w:rPr>
        <w:t>争议及其解决方式</w:t>
      </w:r>
    </w:p>
    <w:p w14:paraId="23F97327">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双方在履行协议时发生争议后，可以和解或协商解决，但双方应该继续履行协议，保持施工的连续性。发生争议期间，乙方不得采取擅自停工或采取其他方式拖延施工、不施工，如因此造成的损失及不利后果则由乙方全部承担。</w:t>
      </w:r>
    </w:p>
    <w:p w14:paraId="731D4751">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若双方对争议无法达成共识时，双方同意提交厦门仲裁委员会裁决解决，并适用该仲裁委员会的仲裁规则。</w:t>
      </w:r>
    </w:p>
    <w:p w14:paraId="74E4EE02">
      <w:pPr>
        <w:pStyle w:val="2"/>
        <w:numPr>
          <w:ilvl w:val="0"/>
          <w:numId w:val="1"/>
        </w:numPr>
        <w:spacing w:line="420" w:lineRule="exact"/>
        <w:ind w:left="567" w:hanging="567"/>
        <w:rPr>
          <w:color w:val="auto"/>
          <w:sz w:val="28"/>
          <w:szCs w:val="28"/>
        </w:rPr>
      </w:pPr>
      <w:r>
        <w:rPr>
          <w:color w:val="auto"/>
          <w:sz w:val="28"/>
          <w:szCs w:val="28"/>
        </w:rPr>
        <w:t>违约及协议解除</w:t>
      </w:r>
    </w:p>
    <w:p w14:paraId="645FC65E">
      <w:pPr>
        <w:pStyle w:val="11"/>
        <w:numPr>
          <w:ilvl w:val="1"/>
          <w:numId w:val="17"/>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乙方有下列违约情况之一时，甲方有权解除协议，并不再支付工程款：</w:t>
      </w:r>
    </w:p>
    <w:p w14:paraId="027BC04D">
      <w:pPr>
        <w:pStyle w:val="11"/>
        <w:numPr>
          <w:ilvl w:val="0"/>
          <w:numId w:val="18"/>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未经甲方书面允许，乙方擅自与发包人或监理工程师发生直接工作联系的（包括直接发函、直接接受发包人或监理的指令等）；</w:t>
      </w:r>
    </w:p>
    <w:p w14:paraId="2A0999FD">
      <w:pPr>
        <w:pStyle w:val="11"/>
        <w:numPr>
          <w:ilvl w:val="0"/>
          <w:numId w:val="18"/>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因乙方原因不能按照本协议约定的竣工日期或甲方同意顺延的工期竣工的；</w:t>
      </w:r>
    </w:p>
    <w:p w14:paraId="58E8C7AC">
      <w:pPr>
        <w:pStyle w:val="11"/>
        <w:numPr>
          <w:ilvl w:val="0"/>
          <w:numId w:val="18"/>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工程质量达不到约定的质量标准并经返工后仍不符合质量要求的；</w:t>
      </w:r>
    </w:p>
    <w:p w14:paraId="2E917D72">
      <w:pPr>
        <w:pStyle w:val="11"/>
        <w:numPr>
          <w:ilvl w:val="0"/>
          <w:numId w:val="18"/>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乙方不履行协议义务或不按协议约定履行义务的其他情况，经甲方书面通知后仍无改善的；</w:t>
      </w:r>
    </w:p>
    <w:p w14:paraId="44529943">
      <w:pPr>
        <w:pStyle w:val="11"/>
        <w:numPr>
          <w:ilvl w:val="0"/>
          <w:numId w:val="18"/>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乙方与甲方相关人员如果发生行贿行为，一经查实，甲方有权解除协议，对乙方处以不低于工程总价10％违约金，并保留追究相关人员法律责任的权力；</w:t>
      </w:r>
    </w:p>
    <w:p w14:paraId="6B646488">
      <w:pPr>
        <w:pStyle w:val="11"/>
        <w:numPr>
          <w:ilvl w:val="0"/>
          <w:numId w:val="18"/>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出现工人因工资问题闹事；</w:t>
      </w:r>
    </w:p>
    <w:p w14:paraId="745DFF69">
      <w:pPr>
        <w:pStyle w:val="11"/>
        <w:numPr>
          <w:ilvl w:val="0"/>
          <w:numId w:val="18"/>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工地现场的实际施工人员没有在甲方公司备案存档，每发现一人，违约金为协议金额的5%，发现5人以上者，甲方有权解除协议；</w:t>
      </w:r>
    </w:p>
    <w:p w14:paraId="30C2FA84">
      <w:pPr>
        <w:pStyle w:val="11"/>
        <w:numPr>
          <w:ilvl w:val="0"/>
          <w:numId w:val="18"/>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乙方将该工程再行分包或转包，一经查实，甲方有权解除协议，对乙方处以不低于本合同总价20％违约金，并保留追究相关人员法律责任的权利。</w:t>
      </w:r>
    </w:p>
    <w:p w14:paraId="20E22F7D">
      <w:pPr>
        <w:pStyle w:val="11"/>
        <w:numPr>
          <w:ilvl w:val="0"/>
          <w:numId w:val="18"/>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未经甲方书面同意，乙方停工超过5个工作日或擅自离场的。</w:t>
      </w:r>
    </w:p>
    <w:p w14:paraId="77372227">
      <w:pPr>
        <w:pStyle w:val="11"/>
        <w:numPr>
          <w:ilvl w:val="1"/>
          <w:numId w:val="17"/>
        </w:numPr>
        <w:spacing w:line="400" w:lineRule="exact"/>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如非甲方原因或项目不可抗力停工，乙方中途停工达5个工作日或退场的，或乙方在施工过程中出现严重的质量安全</w:t>
      </w:r>
      <w:r>
        <w:rPr>
          <w:rFonts w:hint="eastAsia" w:ascii="Times New Roman" w:hAnsi="Times New Roman" w:eastAsia="宋体" w:cs="Times New Roman"/>
          <w:color w:val="auto"/>
          <w:sz w:val="21"/>
          <w:szCs w:val="21"/>
          <w:lang w:eastAsia="zh-Hans"/>
        </w:rPr>
        <w:t>隐患</w:t>
      </w:r>
      <w:r>
        <w:rPr>
          <w:rFonts w:hint="eastAsia" w:ascii="Times New Roman" w:hAnsi="Times New Roman" w:eastAsia="宋体" w:cs="Times New Roman"/>
          <w:color w:val="auto"/>
          <w:sz w:val="21"/>
          <w:szCs w:val="21"/>
        </w:rPr>
        <w:t>而又不服从现场监理工程师或甲方指令，甲方有权要求乙方停工，直至无条件退场，如出现上述情况而退场，乙方需在退场后</w:t>
      </w:r>
      <w:r>
        <w:rPr>
          <w:rFonts w:ascii="Times New Roman" w:hAnsi="Times New Roman" w:eastAsia="宋体" w:cs="Times New Roman"/>
          <w:color w:val="auto"/>
          <w:sz w:val="21"/>
          <w:szCs w:val="21"/>
        </w:rPr>
        <w:t>10</w:t>
      </w:r>
      <w:r>
        <w:rPr>
          <w:rFonts w:hint="eastAsia" w:ascii="Times New Roman" w:hAnsi="Times New Roman" w:eastAsia="宋体" w:cs="Times New Roman"/>
          <w:color w:val="auto"/>
          <w:sz w:val="21"/>
          <w:szCs w:val="21"/>
        </w:rPr>
        <w:t>个工作日内，配合甲方完成已完成工程量确认工作；</w:t>
      </w:r>
      <w:r>
        <w:rPr>
          <w:rFonts w:hint="eastAsia" w:ascii="Times New Roman" w:hAnsi="Times New Roman" w:eastAsia="宋体" w:cs="Times New Roman"/>
          <w:color w:val="auto"/>
          <w:sz w:val="21"/>
          <w:szCs w:val="21"/>
          <w:lang w:eastAsia="zh-Hans"/>
        </w:rPr>
        <w:t>乙方逾期未配合的，以甲方单方确定的工程量为准（</w:t>
      </w:r>
      <w:r>
        <w:rPr>
          <w:rFonts w:hint="eastAsia" w:ascii="Times New Roman" w:hAnsi="Times New Roman" w:eastAsia="宋体" w:cs="Times New Roman"/>
          <w:color w:val="auto"/>
          <w:sz w:val="21"/>
          <w:szCs w:val="21"/>
        </w:rPr>
        <w:t>合同工程量清单内约定的措施费不予结算，因乙方退场，造成的第三方进场配合交接、抢工、二次施工、整改等费用及其他方面产生的经济损失，从乙方结算款中扣除）。如甲方已付进度款已超过上述结算款的，甲方有权向乙方追偿超出部分的金额。</w:t>
      </w:r>
    </w:p>
    <w:p w14:paraId="3CE05662">
      <w:pPr>
        <w:pStyle w:val="11"/>
        <w:numPr>
          <w:ilvl w:val="1"/>
          <w:numId w:val="17"/>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因乙方原因导致协议解除的，乙方承担协议价款10%的违约金。如因乙方人员不能满足发包人工期要求，使甲方受到发包人工期处罚的，乙方须承担该部分费用。</w:t>
      </w:r>
    </w:p>
    <w:p w14:paraId="6485E1E4">
      <w:pPr>
        <w:pStyle w:val="11"/>
        <w:numPr>
          <w:ilvl w:val="1"/>
          <w:numId w:val="17"/>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如在乙方没有完全履行本合同义务之前，主合同（甲方与建设方签订）终止，甲方应通知乙方终止或解除本合同。乙方接到通知后应及时并妥善做好已完工程和剩余材料、设备的保护和移交工作，按甲方要求撤出项目施工场地。</w:t>
      </w:r>
    </w:p>
    <w:p w14:paraId="43C85D73">
      <w:pPr>
        <w:pStyle w:val="11"/>
        <w:numPr>
          <w:ilvl w:val="1"/>
          <w:numId w:val="17"/>
        </w:numPr>
        <w:spacing w:line="400" w:lineRule="exact"/>
        <w:ind w:left="426" w:hanging="426"/>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乙方违约的，乙方并应承担甲方为实现债权的费用（包括但不限于诉讼费、律师费、保全费、诉讼保函担保费、公证费、鉴定费等）。</w:t>
      </w:r>
    </w:p>
    <w:p w14:paraId="7938F7DD">
      <w:pPr>
        <w:pStyle w:val="2"/>
        <w:numPr>
          <w:ilvl w:val="0"/>
          <w:numId w:val="1"/>
        </w:numPr>
        <w:spacing w:line="420" w:lineRule="exact"/>
        <w:ind w:left="567" w:hanging="567"/>
        <w:rPr>
          <w:color w:val="auto"/>
          <w:sz w:val="28"/>
          <w:szCs w:val="28"/>
        </w:rPr>
      </w:pPr>
      <w:r>
        <w:rPr>
          <w:color w:val="auto"/>
          <w:sz w:val="28"/>
          <w:szCs w:val="28"/>
        </w:rPr>
        <w:t>其他未尽事宜由双方另行签订补充协议确定</w:t>
      </w:r>
    </w:p>
    <w:p w14:paraId="4D60AA32">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本协议甲乙双方盖章后生效。本协议如需要手动修改或增加，均需要加盖双方印章确认后生效，否则对协议双方均不具有约束力。</w:t>
      </w:r>
    </w:p>
    <w:p w14:paraId="0C1A1FC5">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本协议一式肆份，双方各执贰份，均具有同等法律效力。</w:t>
      </w:r>
    </w:p>
    <w:p w14:paraId="148DB9E7">
      <w:pPr>
        <w:pStyle w:val="11"/>
        <w:spacing w:line="400" w:lineRule="exact"/>
        <w:rPr>
          <w:rFonts w:ascii="Times New Roman" w:hAnsi="Times New Roman" w:eastAsia="宋体" w:cs="Times New Roman"/>
          <w:color w:val="auto"/>
          <w:sz w:val="21"/>
          <w:szCs w:val="21"/>
        </w:rPr>
      </w:pPr>
    </w:p>
    <w:tbl>
      <w:tblPr>
        <w:tblStyle w:val="8"/>
        <w:tblW w:w="0" w:type="auto"/>
        <w:tblInd w:w="0" w:type="dxa"/>
        <w:tblLayout w:type="autofit"/>
        <w:tblCellMar>
          <w:top w:w="0" w:type="dxa"/>
          <w:left w:w="108" w:type="dxa"/>
          <w:bottom w:w="0" w:type="dxa"/>
          <w:right w:w="108" w:type="dxa"/>
        </w:tblCellMar>
      </w:tblPr>
      <w:tblGrid>
        <w:gridCol w:w="4927"/>
        <w:gridCol w:w="4820"/>
      </w:tblGrid>
      <w:tr w14:paraId="36C8EDE5">
        <w:tblPrEx>
          <w:tblCellMar>
            <w:top w:w="0" w:type="dxa"/>
            <w:left w:w="108" w:type="dxa"/>
            <w:bottom w:w="0" w:type="dxa"/>
            <w:right w:w="108" w:type="dxa"/>
          </w:tblCellMar>
        </w:tblPrEx>
        <w:trPr>
          <w:trHeight w:val="678" w:hRule="atLeast"/>
        </w:trPr>
        <w:tc>
          <w:tcPr>
            <w:tcW w:w="4927" w:type="dxa"/>
          </w:tcPr>
          <w:p w14:paraId="020BE8A3">
            <w:pPr>
              <w:pStyle w:val="11"/>
              <w:spacing w:line="480" w:lineRule="auto"/>
              <w:rPr>
                <w:rFonts w:hint="eastAsia" w:ascii="Times New Roman" w:hAnsi="Times New Roman" w:cs="Times New Roman" w:eastAsiaTheme="minorEastAsia"/>
                <w:color w:val="auto"/>
                <w:szCs w:val="21"/>
                <w:lang w:eastAsia="zh-CN"/>
              </w:rPr>
            </w:pPr>
            <w:r>
              <w:rPr>
                <w:rFonts w:ascii="Times New Roman" w:hAnsi="Times New Roman" w:cs="Times New Roman" w:eastAsiaTheme="minorEastAsia"/>
                <w:color w:val="auto"/>
                <w:sz w:val="21"/>
                <w:szCs w:val="21"/>
              </w:rPr>
              <w:t>甲方：（签字盖章）</w:t>
            </w:r>
            <w:r>
              <w:rPr>
                <w:rFonts w:hint="eastAsia" w:ascii="Times New Roman" w:hAnsi="Times New Roman" w:eastAsia="宋体" w:cs="Times New Roman"/>
                <w:color w:val="auto"/>
                <w:sz w:val="21"/>
                <w:szCs w:val="21"/>
                <w:lang w:eastAsia="zh-CN"/>
              </w:rPr>
              <w:t>厦门国贸智慧城市科技有限公司</w:t>
            </w:r>
          </w:p>
        </w:tc>
        <w:tc>
          <w:tcPr>
            <w:tcW w:w="4820" w:type="dxa"/>
          </w:tcPr>
          <w:p w14:paraId="388035CE">
            <w:pPr>
              <w:pStyle w:val="11"/>
              <w:spacing w:line="480" w:lineRule="auto"/>
              <w:rPr>
                <w:rFonts w:ascii="Times New Roman" w:hAnsi="Times New Roman" w:cs="Times New Roman"/>
                <w:color w:val="auto"/>
                <w:szCs w:val="21"/>
              </w:rPr>
            </w:pPr>
            <w:r>
              <w:rPr>
                <w:rFonts w:ascii="Times New Roman" w:hAnsi="Times New Roman" w:cs="Times New Roman" w:eastAsiaTheme="minorEastAsia"/>
                <w:color w:val="auto"/>
                <w:sz w:val="21"/>
                <w:szCs w:val="21"/>
              </w:rPr>
              <w:t>乙方：（签字盖章）</w:t>
            </w:r>
          </w:p>
        </w:tc>
      </w:tr>
      <w:tr w14:paraId="0C2A5961">
        <w:tblPrEx>
          <w:tblCellMar>
            <w:top w:w="0" w:type="dxa"/>
            <w:left w:w="108" w:type="dxa"/>
            <w:bottom w:w="0" w:type="dxa"/>
            <w:right w:w="108" w:type="dxa"/>
          </w:tblCellMar>
        </w:tblPrEx>
        <w:tc>
          <w:tcPr>
            <w:tcW w:w="4927" w:type="dxa"/>
          </w:tcPr>
          <w:p w14:paraId="06F42755">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代表人：</w:t>
            </w:r>
          </w:p>
        </w:tc>
        <w:tc>
          <w:tcPr>
            <w:tcW w:w="4820" w:type="dxa"/>
          </w:tcPr>
          <w:p w14:paraId="241AF055">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代表人：</w:t>
            </w:r>
          </w:p>
        </w:tc>
      </w:tr>
      <w:tr w14:paraId="06A60C94">
        <w:tblPrEx>
          <w:tblCellMar>
            <w:top w:w="0" w:type="dxa"/>
            <w:left w:w="108" w:type="dxa"/>
            <w:bottom w:w="0" w:type="dxa"/>
            <w:right w:w="108" w:type="dxa"/>
          </w:tblCellMar>
        </w:tblPrEx>
        <w:tc>
          <w:tcPr>
            <w:tcW w:w="4927" w:type="dxa"/>
          </w:tcPr>
          <w:p w14:paraId="09AC8C37">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电话：</w:t>
            </w:r>
          </w:p>
        </w:tc>
        <w:tc>
          <w:tcPr>
            <w:tcW w:w="4820" w:type="dxa"/>
          </w:tcPr>
          <w:p w14:paraId="13B9B021">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电话：</w:t>
            </w:r>
          </w:p>
        </w:tc>
      </w:tr>
      <w:tr w14:paraId="14FBA6FA">
        <w:tblPrEx>
          <w:tblCellMar>
            <w:top w:w="0" w:type="dxa"/>
            <w:left w:w="108" w:type="dxa"/>
            <w:bottom w:w="0" w:type="dxa"/>
            <w:right w:w="108" w:type="dxa"/>
          </w:tblCellMar>
        </w:tblPrEx>
        <w:tc>
          <w:tcPr>
            <w:tcW w:w="4927" w:type="dxa"/>
          </w:tcPr>
          <w:p w14:paraId="4154B96C">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日期：         年    月    日</w:t>
            </w:r>
          </w:p>
        </w:tc>
        <w:tc>
          <w:tcPr>
            <w:tcW w:w="4820" w:type="dxa"/>
          </w:tcPr>
          <w:p w14:paraId="6203DFD6">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日期：         年    月    日</w:t>
            </w:r>
          </w:p>
        </w:tc>
      </w:tr>
    </w:tbl>
    <w:p w14:paraId="328ABD90">
      <w:pPr>
        <w:pStyle w:val="11"/>
        <w:pageBreakBefore/>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附件1：</w:t>
      </w:r>
    </w:p>
    <w:p w14:paraId="3B47BE08">
      <w:pPr>
        <w:pStyle w:val="11"/>
        <w:spacing w:line="400" w:lineRule="exact"/>
        <w:jc w:val="center"/>
        <w:rPr>
          <w:rFonts w:ascii="Times New Roman" w:hAnsi="Times New Roman" w:eastAsia="宋体" w:cs="Times New Roman"/>
          <w:b/>
          <w:color w:val="auto"/>
          <w:sz w:val="32"/>
          <w:szCs w:val="32"/>
        </w:rPr>
      </w:pPr>
      <w:r>
        <w:rPr>
          <w:rFonts w:ascii="Times New Roman" w:hAnsi="Times New Roman" w:eastAsia="宋体" w:cs="Times New Roman"/>
          <w:b/>
          <w:color w:val="auto"/>
          <w:sz w:val="32"/>
          <w:szCs w:val="32"/>
        </w:rPr>
        <w:t>工程施工安全管理协议</w:t>
      </w:r>
    </w:p>
    <w:p w14:paraId="18800A26">
      <w:pPr>
        <w:pStyle w:val="11"/>
        <w:spacing w:line="400" w:lineRule="exact"/>
        <w:jc w:val="center"/>
        <w:rPr>
          <w:rFonts w:ascii="Times New Roman" w:hAnsi="Times New Roman" w:eastAsia="宋体" w:cs="Times New Roman"/>
          <w:b/>
          <w:color w:val="auto"/>
          <w:sz w:val="32"/>
          <w:szCs w:val="32"/>
        </w:rPr>
      </w:pPr>
    </w:p>
    <w:p w14:paraId="118D7A42">
      <w:pPr>
        <w:pStyle w:val="11"/>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甲方：</w:t>
      </w:r>
      <w:r>
        <w:rPr>
          <w:rFonts w:hint="eastAsia" w:ascii="Times New Roman" w:hAnsi="Times New Roman" w:eastAsia="宋体" w:cs="Times New Roman"/>
          <w:color w:val="auto"/>
          <w:sz w:val="21"/>
          <w:szCs w:val="21"/>
          <w:u w:val="single"/>
          <w:lang w:eastAsia="zh-CN"/>
        </w:rPr>
        <w:t>厦门国贸智慧城市科技有限公司</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 xml:space="preserve"> （以下简称甲方）</w:t>
      </w:r>
    </w:p>
    <w:p w14:paraId="5F89B22A">
      <w:pPr>
        <w:pStyle w:val="11"/>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（以下简称乙方）</w:t>
      </w:r>
    </w:p>
    <w:p w14:paraId="4CF9E1B0">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甲方将</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安装工程发（分）包给乙方施工，为贯彻“安全第一、预防为主、综合治理”的方针，根据国家和工程所在地的有关法规、规定，明确双方的安全生产责任，确保施工安全，双方在签订建设工程施工承包协议的同时，签订本协议。</w:t>
      </w:r>
    </w:p>
    <w:p w14:paraId="224E9932">
      <w:pPr>
        <w:pStyle w:val="2"/>
        <w:numPr>
          <w:ilvl w:val="0"/>
          <w:numId w:val="19"/>
        </w:numPr>
        <w:spacing w:line="420" w:lineRule="exact"/>
        <w:ind w:left="426" w:hanging="426"/>
        <w:rPr>
          <w:color w:val="auto"/>
          <w:sz w:val="28"/>
          <w:szCs w:val="28"/>
        </w:rPr>
      </w:pPr>
      <w:r>
        <w:rPr>
          <w:color w:val="auto"/>
          <w:sz w:val="28"/>
          <w:szCs w:val="28"/>
        </w:rPr>
        <w:t>工程安全生产、文明施工标准</w:t>
      </w:r>
    </w:p>
    <w:p w14:paraId="656FD9AD">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工程安全生产、文明施工标准均应达到国家和地方的管理要求。</w:t>
      </w:r>
    </w:p>
    <w:p w14:paraId="4F7B2500">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乙方向甲方承诺，在履行本协议书的过程中，甲方对乙方所进行的一切处罚和处理乙方均无异议，乙方在施工中应遵守项目现场安全生产、文明施工要求，若未遵守安全生产、文明施工要求，发生安全事故或被处罚由乙方负全责，处罚款项将从应付工程款、履约保证金中直接扣除。</w:t>
      </w:r>
    </w:p>
    <w:p w14:paraId="62631278">
      <w:pPr>
        <w:pStyle w:val="2"/>
        <w:numPr>
          <w:ilvl w:val="0"/>
          <w:numId w:val="19"/>
        </w:numPr>
        <w:spacing w:line="420" w:lineRule="exact"/>
        <w:ind w:left="426" w:hanging="426"/>
        <w:rPr>
          <w:color w:val="auto"/>
          <w:sz w:val="28"/>
          <w:szCs w:val="28"/>
        </w:rPr>
      </w:pPr>
      <w:r>
        <w:rPr>
          <w:color w:val="auto"/>
          <w:sz w:val="28"/>
          <w:szCs w:val="28"/>
        </w:rPr>
        <w:t>安全生产要求</w:t>
      </w:r>
    </w:p>
    <w:p w14:paraId="463EAC33">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乙方必须严格遵守、执行包括（但不限于）以下国家、行业主管部门和地方政府颁布实施的有关安全生产的法律、法规、规范、标准及各项规定：</w:t>
      </w:r>
    </w:p>
    <w:p w14:paraId="25B83E72">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（1）《中华人民共和国安全生产法》；</w:t>
      </w:r>
    </w:p>
    <w:p w14:paraId="4AECDD0C">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（2）《中华人民共和国建筑法》；</w:t>
      </w:r>
    </w:p>
    <w:p w14:paraId="1C2C21AD">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（3）《安全生产许可证条例》；</w:t>
      </w:r>
    </w:p>
    <w:p w14:paraId="5B7757D1">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（4）《建设工程安全生产管理条例》；</w:t>
      </w:r>
    </w:p>
    <w:p w14:paraId="5E8682B1">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（5）《国家建设部关于建设工程施工现场管理规定》；</w:t>
      </w:r>
    </w:p>
    <w:p w14:paraId="50454F65">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（6）《企业职工伤亡事故报告和处理规定》；</w:t>
      </w:r>
    </w:p>
    <w:p w14:paraId="7B030F31">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（7）《建筑施工现场环境与卫生标准》JGJ146-2004；</w:t>
      </w:r>
    </w:p>
    <w:p w14:paraId="55447364">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（8）《建筑施工安全检查标准》JGJ59-99；</w:t>
      </w:r>
    </w:p>
    <w:p w14:paraId="6E437DDA">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（9）《建筑施工高处作业安全技术规范》JGJ80-91；</w:t>
      </w:r>
    </w:p>
    <w:p w14:paraId="4C18C4DC">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（10）《施工现场临时用电安全技术规范》JGJ46-2005；</w:t>
      </w:r>
    </w:p>
    <w:p w14:paraId="6093D323">
      <w:pPr>
        <w:pStyle w:val="2"/>
        <w:numPr>
          <w:ilvl w:val="0"/>
          <w:numId w:val="19"/>
        </w:numPr>
        <w:spacing w:line="420" w:lineRule="exact"/>
        <w:ind w:left="426" w:hanging="426"/>
        <w:rPr>
          <w:color w:val="auto"/>
          <w:sz w:val="28"/>
          <w:szCs w:val="28"/>
        </w:rPr>
      </w:pPr>
      <w:r>
        <w:rPr>
          <w:color w:val="auto"/>
          <w:sz w:val="28"/>
          <w:szCs w:val="28"/>
        </w:rPr>
        <w:t>安全责任</w:t>
      </w:r>
    </w:p>
    <w:p w14:paraId="1A8D3A49">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甲乙双方必须认真贯彻国家和上级劳动保护、安全生产主管部门颁发的有关安全生产、消防工作的方针、政策，严格执行有关劳动保护法规、条例、规定。</w:t>
      </w:r>
    </w:p>
    <w:p w14:paraId="63850817">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甲乙双方应有各工种的安全操作规程，特种作业工人的审证考核制度及各级安全生产岗位责任制和定期安全检查制度。</w:t>
      </w:r>
    </w:p>
    <w:p w14:paraId="3C078C83">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甲乙双方在施工前要认真勘察现场：</w:t>
      </w:r>
    </w:p>
    <w:p w14:paraId="339E51A9">
      <w:pPr>
        <w:pStyle w:val="11"/>
        <w:numPr>
          <w:ilvl w:val="0"/>
          <w:numId w:val="21"/>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工程项目应由甲方编制施工组织设计，分包商负责编制各项专项施工方案；</w:t>
      </w:r>
    </w:p>
    <w:p w14:paraId="224B4C51">
      <w:pPr>
        <w:pStyle w:val="11"/>
        <w:numPr>
          <w:ilvl w:val="0"/>
          <w:numId w:val="21"/>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工程项目由乙方按甲方的要求自行编制施工作业计划；制订有针对性的安全技术措施，乙方必须严格按施工组织设计和方案的要求施工。</w:t>
      </w:r>
    </w:p>
    <w:p w14:paraId="720E65A3">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甲乙双方的领导必须认真对本单位职工进行安全生产制度及安全技术知识教育，增强法制观念，提高职工的安全生产思想意识和自我保护的能力，督促职工自觉遵守法律法规、安全制度和安全纪律。</w:t>
      </w:r>
    </w:p>
    <w:p w14:paraId="302BB15F">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应保证用工合法，与进场施工人员签订劳动合同，每期及时足额发放工资，每月进度款申请时，需提供上月工人工资付款证明，否则，甲方有权暂停支付进度款。如因工人工资未结清，对甲方造成影响的，甲方有权从剩余工程款中直接扣除并暂停结算。</w:t>
      </w:r>
    </w:p>
    <w:p w14:paraId="10E65007">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乙方应为进场的施工人员办理不低于100万的意外伤害保险，有从事特种作业或家庭中有2个以上子女需要抚养的情况下，意外伤害保险应不低于150万，保险未生效前不得进行施工作业。</w:t>
      </w:r>
    </w:p>
    <w:p w14:paraId="251E5A7F">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施工前，甲方应对乙方的管理、施工人员进行安全进场教育，介绍有关安全生产管理制度、规定和要求，乙方应组织召开管理、施工人员安全生产教育会议，并通知甲方委派有关人员出席会议。介绍施工中有关安全、防火等规章制度及要求，乙方必须检查、督促施工人员严格遵守、认真执行。根据工程项目内容特点，甲乙双方应做好安全技术交底，并有交底记录资料，双方参加人员须履行亲笔签字，甲、乙双方各执一份。乙方人员未参加甲方组织的安全教育和安全技术交底，不得进入施工现场施工。</w:t>
      </w:r>
    </w:p>
    <w:p w14:paraId="7D97582C">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施工期间，乙方指派</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同志负责本工程项目的有关安全、防火工作；甲方指派</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同志负责联系予以协助督促乙方执行有关安全、防火规定。甲乙双方应经常联系，相互协助检查工程项目中有关的安全、防火工作，共同预防事故发生。</w:t>
      </w:r>
    </w:p>
    <w:p w14:paraId="2A9AC2DB">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每天施工前，乙方安全责任人应组织班前安全教育，施工过程中应做到工完、料尽、场地清，并将其剩余设备、材料及用工器具放回指定位置，确保安全文明施工。</w:t>
      </w:r>
    </w:p>
    <w:p w14:paraId="39A97D2F">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在施工期间必须严格执行和遵守甲方的安全生产防火管理的各类规定，接受甲方的督促、检查和指导。甲方有协助乙方搞好安全生产防火管理以及督促定期检查的义务，对于查出的隐患，乙方必须限期整改，对乙方违反安全生产规定、制度等情况，甲方有要求乙方整改的权利。若乙方不按甲方要求时间完成整改工作，逾期承担300元/天的违约责任。</w:t>
      </w:r>
    </w:p>
    <w:p w14:paraId="1B51D6E8">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在生产操作过程中的个人安全防护用品，由乙方负责，保证安全帽、安全带等安全防护用具的数量和质量满足施工需要，且依法提供检验合格报告。甲乙方都应督促施工现场人员自觉穿带好安全防护用品。</w:t>
      </w:r>
    </w:p>
    <w:p w14:paraId="3674317F">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方向乙方移交的施工区域和作业环境，乙方必须认真检查，发现问题由甲方落实整改乙方接手施工。一经施工，就表示乙方确认施工场所和作业环境符合安全要求和处于安全状态。乙方施工过程中产生的后果自行负责。</w:t>
      </w:r>
    </w:p>
    <w:p w14:paraId="1F79121F">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现场的机械设备、脚手架等设备，在搭设、安装完毕提交使用前，应按规定由搭设和安装的一方负责，但须验收鉴定，另一方参加验收，验收鉴定合格后才能投入使用，并做好验收手续。严禁在未经验收或验收不合格的情况下投入使用，否则由此发生的后果概由擅自使用方负责。</w:t>
      </w:r>
    </w:p>
    <w:p w14:paraId="08C83148">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乙双方按分包合同约定提供各种设备和机具，并组织甲乙双方共同组成检查小组对机具进行验收和检查，保证所提供的施工用机械、工器具，完好无损，用电器具电气性能安全可靠，并做好书面记录。合同约定由乙方提供的机具，如乙方必须租赁，应由乙方负责租赁。应保证设备和工具符合安全要求。甲方提供的设备机具，经甲乙双方验收合格后，乙方一经接收，设备和工具的保管、维修以及在使用过程中发生的故障、损坏、遗失或造成伤亡事故均由乙方承担责任，负责赔偿。</w:t>
      </w:r>
    </w:p>
    <w:p w14:paraId="34136EB2">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乙双方的人员，对施工现场的脚手架、各类安全防护措施、安全标志和警告牌、不得擅自拆除、更动。如确实需要拆除更动的，必须经工地施工负责人和安全管理人员的同意，并采取必要、可靠的安全措施后方能拆除。任何一方人员，擅自拆除所造成的后果，均由该方人员及其单位负责承担。</w:t>
      </w:r>
    </w:p>
    <w:p w14:paraId="5418B7DC">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特种作业必须执行《国家特种作业人员安全技术培训考核管理规定》，经省、市、地区的特种作业安全技术考核站培训考核后持证上岗，按规定定期审证，并须经工程所在地有关特种作业考核站进行审证教育；中、小型机械的操作人员必须按规定做到“定机定人”和持证操作；起重吊装作业人员必须遵守“十不吊”规定，严禁违章指挥、无证操作；严禁不懂电器、机械设备的人员擅自操作使用电器、机械设备。</w:t>
      </w:r>
    </w:p>
    <w:p w14:paraId="1CA21218">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乙双方必须严格执行各类防火、防爆制度，易燃易爆场所严禁吸烟及动用明火，消防器材不准挪作他用。电焊、气割作业应按规定办理动火审批手续，严格遵守“十不烧”规定，严禁使用电炉。冬季施工如必须采用明火加热防冻措施时，应取得防火主管人员同意，落实防火、防中毒措施，并指派专人值班。</w:t>
      </w:r>
    </w:p>
    <w:p w14:paraId="294C3854">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使用的电气设备，在使用前应先进行检测，并做好检测记录送甲方备案，如不符安全规定的应及时整改，整改合格后方准使用，违反本规定或不经甲方同意擅自乱拉电气线路造成后果均由肇事者单位（乙方）负责。且未经甲方书面同意，不得擅自使用与施工无关的甲方设施设备。现场中断作业或遇故障时，应立即切断开关，防止事故发生，杜绝安全隐患。</w:t>
      </w:r>
    </w:p>
    <w:p w14:paraId="0ABCB780">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甲乙双方在施工中，应注意地下管线及高低压架空线路的保护。甲方对地下管线和障碍物应向乙方作详细交底。乙方应贯彻甲方的交底要求，如遇有新的情况，应及时向甲方和有关部门联系，采取保护措施。</w:t>
      </w:r>
    </w:p>
    <w:p w14:paraId="24ADFDCA">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乙方在签订建设工程施工承包协议后，应自觉地向当地公安派出所办理临时户口户籍手续，并向工程所在地建管办、安质监总站、劳动保护监察部门办理施工备案登记手续。</w:t>
      </w:r>
    </w:p>
    <w:p w14:paraId="218127E2">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贯彻谁施工谁负责安全的原则，乙方人员在施工期问，造成伤亡、火警、火灾、机械其它事故(包括由乙方责任造成甲方人员、它方人员、行人伤亡等)，甲方有协助紧急抢救伤员的义务，乙方负责事故上报，经济赔偿及善后处理。事故的损失和善后处理费用，应按责任，协商解决。</w:t>
      </w:r>
    </w:p>
    <w:p w14:paraId="617B146F">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禁止乙方在与甲方合同未履行完毕的情况下，私自承接总包/业主方工程，由此产生的安全事故，乙方承担全部责任，且甲方有权根据情况进行处罚。</w:t>
      </w:r>
    </w:p>
    <w:p w14:paraId="740690A6">
      <w:pPr>
        <w:pStyle w:val="11"/>
        <w:numPr>
          <w:ilvl w:val="1"/>
          <w:numId w:val="20"/>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若乙方不服从甲方安全管理，不主动整改安全隐患问题，甲方有权组织整改，费用由乙方承担且甲方有权根据情况进行处罚。</w:t>
      </w:r>
    </w:p>
    <w:p w14:paraId="33B31DB6">
      <w:pPr>
        <w:pStyle w:val="2"/>
        <w:numPr>
          <w:ilvl w:val="0"/>
          <w:numId w:val="19"/>
        </w:numPr>
        <w:spacing w:line="420" w:lineRule="exact"/>
        <w:ind w:left="426" w:hanging="426"/>
        <w:rPr>
          <w:color w:val="auto"/>
          <w:sz w:val="28"/>
          <w:szCs w:val="28"/>
        </w:rPr>
      </w:pPr>
      <w:bookmarkStart w:id="0" w:name="page1"/>
      <w:bookmarkEnd w:id="0"/>
      <w:r>
        <w:rPr>
          <w:color w:val="auto"/>
          <w:sz w:val="28"/>
          <w:szCs w:val="28"/>
        </w:rPr>
        <w:t>安全保证金及违约处罚</w:t>
      </w:r>
    </w:p>
    <w:p w14:paraId="0A8E8BDF">
      <w:pPr>
        <w:spacing w:line="400" w:lineRule="exact"/>
        <w:ind w:firstLine="420" w:firstLineChars="200"/>
        <w:rPr>
          <w:rFonts w:ascii="Times New Roman" w:hAnsi="Times New Roman" w:cs="Times New Roman"/>
          <w:color w:val="auto"/>
          <w:szCs w:val="21"/>
        </w:rPr>
      </w:pPr>
      <w:r>
        <w:rPr>
          <w:rFonts w:ascii="Times New Roman" w:hAnsi="Times New Roman" w:cs="Times New Roman"/>
          <w:color w:val="auto"/>
          <w:szCs w:val="21"/>
        </w:rPr>
        <w:t>乙方同意甲方预留履约保证金中的50%作为乙方的安全保证金，安全保证金存管在专用账户上。若施工过程无安全事故及下列事项的，并于工程竣工验收结算后，由项目经理申请，经甲方工程中心审批同意后将该保证金全额无息退还；若施工过程中发生安全事故及下列事项的，或甲方对乙方提出整改意见但乙方逾期未整改或违反施工现场甲方要求的，扣除相应数额的安全保证金；安全保证金不足支付的，甲方可从应支付给乙方的任何项目任何一笔工程款中直接扣除，无需先得到乙方同意，扣除的保证金用途用于班组年度安全评选奖励。</w:t>
      </w:r>
    </w:p>
    <w:tbl>
      <w:tblPr>
        <w:tblStyle w:val="8"/>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6379"/>
        <w:gridCol w:w="1417"/>
      </w:tblGrid>
      <w:tr w14:paraId="3F84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05822294">
            <w:pPr>
              <w:autoSpaceDE w:val="0"/>
              <w:autoSpaceDN w:val="0"/>
              <w:adjustRightInd w:val="0"/>
              <w:ind w:right="50"/>
              <w:jc w:val="center"/>
              <w:rPr>
                <w:rFonts w:ascii="Times New Roman" w:hAnsi="Times New Roman" w:cs="Times New Roman"/>
                <w:b/>
                <w:bCs/>
                <w:color w:val="auto"/>
                <w:kern w:val="0"/>
                <w:szCs w:val="21"/>
              </w:rPr>
            </w:pPr>
            <w:r>
              <w:rPr>
                <w:rFonts w:ascii="Times New Roman" w:hAnsi="Times New Roman" w:cs="Times New Roman"/>
                <w:b/>
                <w:bCs/>
                <w:color w:val="auto"/>
                <w:kern w:val="0"/>
                <w:szCs w:val="21"/>
              </w:rPr>
              <w:t>序号</w:t>
            </w:r>
          </w:p>
        </w:tc>
        <w:tc>
          <w:tcPr>
            <w:tcW w:w="1134" w:type="dxa"/>
            <w:vAlign w:val="center"/>
          </w:tcPr>
          <w:p w14:paraId="7CAC0A14">
            <w:pPr>
              <w:autoSpaceDE w:val="0"/>
              <w:autoSpaceDN w:val="0"/>
              <w:adjustRightInd w:val="0"/>
              <w:ind w:right="50"/>
              <w:jc w:val="center"/>
              <w:rPr>
                <w:rFonts w:ascii="Times New Roman" w:hAnsi="Times New Roman" w:cs="Times New Roman"/>
                <w:b/>
                <w:bCs/>
                <w:color w:val="auto"/>
                <w:kern w:val="0"/>
                <w:szCs w:val="21"/>
              </w:rPr>
            </w:pPr>
            <w:r>
              <w:rPr>
                <w:rFonts w:ascii="Times New Roman" w:hAnsi="Times New Roman" w:cs="Times New Roman"/>
                <w:b/>
                <w:bCs/>
                <w:color w:val="auto"/>
                <w:kern w:val="0"/>
                <w:szCs w:val="21"/>
              </w:rPr>
              <w:t>安全分项</w:t>
            </w:r>
          </w:p>
        </w:tc>
        <w:tc>
          <w:tcPr>
            <w:tcW w:w="6379" w:type="dxa"/>
            <w:vAlign w:val="center"/>
          </w:tcPr>
          <w:p w14:paraId="6671375C">
            <w:pPr>
              <w:autoSpaceDE w:val="0"/>
              <w:autoSpaceDN w:val="0"/>
              <w:adjustRightInd w:val="0"/>
              <w:ind w:right="50"/>
              <w:jc w:val="center"/>
              <w:rPr>
                <w:rFonts w:ascii="Times New Roman" w:hAnsi="Times New Roman" w:cs="Times New Roman"/>
                <w:b/>
                <w:bCs/>
                <w:color w:val="auto"/>
                <w:kern w:val="0"/>
                <w:szCs w:val="21"/>
              </w:rPr>
            </w:pPr>
            <w:r>
              <w:rPr>
                <w:rFonts w:ascii="Times New Roman" w:hAnsi="Times New Roman" w:cs="Times New Roman"/>
                <w:b/>
                <w:bCs/>
                <w:color w:val="auto"/>
                <w:kern w:val="0"/>
                <w:szCs w:val="21"/>
              </w:rPr>
              <w:t>事项</w:t>
            </w:r>
          </w:p>
        </w:tc>
        <w:tc>
          <w:tcPr>
            <w:tcW w:w="1417" w:type="dxa"/>
            <w:vAlign w:val="center"/>
          </w:tcPr>
          <w:p w14:paraId="05BDF3A1">
            <w:pPr>
              <w:autoSpaceDE w:val="0"/>
              <w:autoSpaceDN w:val="0"/>
              <w:adjustRightInd w:val="0"/>
              <w:ind w:right="50"/>
              <w:jc w:val="center"/>
              <w:rPr>
                <w:rFonts w:ascii="Times New Roman" w:hAnsi="Times New Roman" w:cs="Times New Roman"/>
                <w:b/>
                <w:bCs/>
                <w:color w:val="auto"/>
                <w:kern w:val="0"/>
                <w:szCs w:val="21"/>
              </w:rPr>
            </w:pPr>
            <w:r>
              <w:rPr>
                <w:rFonts w:ascii="Times New Roman" w:hAnsi="Times New Roman" w:cs="Times New Roman"/>
                <w:b/>
                <w:bCs/>
                <w:color w:val="auto"/>
                <w:kern w:val="0"/>
                <w:szCs w:val="21"/>
              </w:rPr>
              <w:t>违约处罚</w:t>
            </w:r>
          </w:p>
        </w:tc>
      </w:tr>
      <w:tr w14:paraId="46600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1FBC0879">
            <w:pPr>
              <w:jc w:val="center"/>
              <w:rPr>
                <w:rFonts w:ascii="Times New Roman" w:hAnsi="Times New Roman" w:cs="Times New Roman"/>
                <w:color w:val="auto"/>
                <w:szCs w:val="21"/>
              </w:rPr>
            </w:pPr>
            <w:r>
              <w:rPr>
                <w:rFonts w:ascii="Times New Roman" w:hAnsi="Times New Roman" w:cs="Times New Roman"/>
                <w:color w:val="auto"/>
                <w:szCs w:val="21"/>
              </w:rPr>
              <w:t>1</w:t>
            </w:r>
          </w:p>
        </w:tc>
        <w:tc>
          <w:tcPr>
            <w:tcW w:w="1134" w:type="dxa"/>
            <w:vMerge w:val="restart"/>
            <w:vAlign w:val="center"/>
          </w:tcPr>
          <w:p w14:paraId="120F0F27">
            <w:pPr>
              <w:jc w:val="center"/>
              <w:rPr>
                <w:rFonts w:ascii="Times New Roman" w:hAnsi="Times New Roman" w:cs="Times New Roman"/>
                <w:color w:val="auto"/>
                <w:szCs w:val="21"/>
              </w:rPr>
            </w:pPr>
            <w:r>
              <w:rPr>
                <w:rFonts w:ascii="Times New Roman" w:hAnsi="Times New Roman" w:cs="Times New Roman"/>
                <w:color w:val="auto"/>
                <w:szCs w:val="21"/>
              </w:rPr>
              <w:t>安全纪律</w:t>
            </w:r>
          </w:p>
        </w:tc>
        <w:tc>
          <w:tcPr>
            <w:tcW w:w="6379" w:type="dxa"/>
            <w:vAlign w:val="center"/>
          </w:tcPr>
          <w:p w14:paraId="6A35C966">
            <w:pPr>
              <w:rPr>
                <w:rFonts w:ascii="Times New Roman" w:hAnsi="Times New Roman" w:cs="Times New Roman"/>
                <w:color w:val="auto"/>
                <w:szCs w:val="21"/>
              </w:rPr>
            </w:pPr>
            <w:r>
              <w:rPr>
                <w:rFonts w:ascii="Times New Roman" w:hAnsi="Times New Roman" w:cs="Times New Roman"/>
                <w:color w:val="auto"/>
                <w:szCs w:val="21"/>
              </w:rPr>
              <w:t>施工人员在施工现场随地大小便</w:t>
            </w:r>
          </w:p>
        </w:tc>
        <w:tc>
          <w:tcPr>
            <w:tcW w:w="1417" w:type="dxa"/>
            <w:vAlign w:val="center"/>
          </w:tcPr>
          <w:p w14:paraId="2F556FA9">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100元/人/次</w:t>
            </w:r>
          </w:p>
        </w:tc>
      </w:tr>
      <w:tr w14:paraId="6512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384CF565">
            <w:pPr>
              <w:jc w:val="center"/>
              <w:rPr>
                <w:rFonts w:ascii="Times New Roman" w:hAnsi="Times New Roman" w:cs="Times New Roman"/>
                <w:color w:val="auto"/>
                <w:szCs w:val="21"/>
              </w:rPr>
            </w:pPr>
            <w:r>
              <w:rPr>
                <w:rFonts w:ascii="Times New Roman" w:hAnsi="Times New Roman" w:cs="Times New Roman"/>
                <w:color w:val="auto"/>
                <w:szCs w:val="21"/>
              </w:rPr>
              <w:t>2</w:t>
            </w:r>
          </w:p>
        </w:tc>
        <w:tc>
          <w:tcPr>
            <w:tcW w:w="1134" w:type="dxa"/>
            <w:vMerge w:val="continue"/>
            <w:vAlign w:val="center"/>
          </w:tcPr>
          <w:p w14:paraId="490A9FE5">
            <w:pPr>
              <w:jc w:val="center"/>
              <w:rPr>
                <w:rFonts w:ascii="Times New Roman" w:hAnsi="Times New Roman" w:cs="Times New Roman"/>
                <w:color w:val="auto"/>
                <w:szCs w:val="21"/>
              </w:rPr>
            </w:pPr>
          </w:p>
        </w:tc>
        <w:tc>
          <w:tcPr>
            <w:tcW w:w="6379" w:type="dxa"/>
            <w:vAlign w:val="center"/>
          </w:tcPr>
          <w:p w14:paraId="7FAA185F">
            <w:pPr>
              <w:rPr>
                <w:rFonts w:ascii="Times New Roman" w:hAnsi="Times New Roman" w:cs="Times New Roman"/>
                <w:color w:val="auto"/>
                <w:szCs w:val="21"/>
              </w:rPr>
            </w:pPr>
            <w:r>
              <w:rPr>
                <w:rFonts w:ascii="Times New Roman" w:hAnsi="Times New Roman" w:cs="Times New Roman"/>
                <w:color w:val="auto"/>
                <w:szCs w:val="21"/>
              </w:rPr>
              <w:t>施工人员酒后上岗作业</w:t>
            </w:r>
          </w:p>
        </w:tc>
        <w:tc>
          <w:tcPr>
            <w:tcW w:w="1417" w:type="dxa"/>
            <w:vAlign w:val="center"/>
          </w:tcPr>
          <w:p w14:paraId="20569E3F">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100元/人/次</w:t>
            </w:r>
          </w:p>
        </w:tc>
      </w:tr>
      <w:tr w14:paraId="04EE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46C942C1">
            <w:pPr>
              <w:jc w:val="center"/>
              <w:rPr>
                <w:rFonts w:ascii="Times New Roman" w:hAnsi="Times New Roman" w:cs="Times New Roman"/>
                <w:color w:val="auto"/>
                <w:szCs w:val="21"/>
              </w:rPr>
            </w:pPr>
            <w:r>
              <w:rPr>
                <w:rFonts w:ascii="Times New Roman" w:hAnsi="Times New Roman" w:cs="Times New Roman"/>
                <w:color w:val="auto"/>
                <w:szCs w:val="21"/>
              </w:rPr>
              <w:t>3</w:t>
            </w:r>
          </w:p>
        </w:tc>
        <w:tc>
          <w:tcPr>
            <w:tcW w:w="1134" w:type="dxa"/>
            <w:vMerge w:val="continue"/>
            <w:vAlign w:val="center"/>
          </w:tcPr>
          <w:p w14:paraId="4DF2B48C">
            <w:pPr>
              <w:jc w:val="center"/>
              <w:rPr>
                <w:rFonts w:ascii="Times New Roman" w:hAnsi="Times New Roman" w:cs="Times New Roman"/>
                <w:color w:val="auto"/>
                <w:szCs w:val="21"/>
              </w:rPr>
            </w:pPr>
          </w:p>
        </w:tc>
        <w:tc>
          <w:tcPr>
            <w:tcW w:w="6379" w:type="dxa"/>
            <w:vAlign w:val="center"/>
          </w:tcPr>
          <w:p w14:paraId="131FE0A3">
            <w:pPr>
              <w:rPr>
                <w:rFonts w:ascii="Times New Roman" w:hAnsi="Times New Roman" w:cs="Times New Roman"/>
                <w:color w:val="auto"/>
                <w:szCs w:val="21"/>
              </w:rPr>
            </w:pPr>
            <w:r>
              <w:rPr>
                <w:rFonts w:ascii="Times New Roman" w:hAnsi="Times New Roman" w:cs="Times New Roman"/>
                <w:color w:val="auto"/>
                <w:szCs w:val="21"/>
              </w:rPr>
              <w:t>施工人员</w:t>
            </w:r>
            <w:r>
              <w:rPr>
                <w:rFonts w:ascii="Times New Roman" w:hAnsi="Times New Roman" w:cs="Times New Roman"/>
                <w:color w:val="auto"/>
                <w:kern w:val="0"/>
                <w:szCs w:val="21"/>
              </w:rPr>
              <w:t>赤膊、赤脚、穿拖鞋、背心、短裤进场施工</w:t>
            </w:r>
          </w:p>
        </w:tc>
        <w:tc>
          <w:tcPr>
            <w:tcW w:w="1417" w:type="dxa"/>
            <w:vAlign w:val="center"/>
          </w:tcPr>
          <w:p w14:paraId="3C0C6698">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100元/人/次</w:t>
            </w:r>
          </w:p>
        </w:tc>
      </w:tr>
      <w:tr w14:paraId="5113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2A8A92AD">
            <w:pPr>
              <w:jc w:val="center"/>
              <w:rPr>
                <w:rFonts w:ascii="Times New Roman" w:hAnsi="Times New Roman" w:cs="Times New Roman"/>
                <w:color w:val="auto"/>
                <w:szCs w:val="21"/>
              </w:rPr>
            </w:pPr>
            <w:r>
              <w:rPr>
                <w:rFonts w:ascii="Times New Roman" w:hAnsi="Times New Roman" w:cs="Times New Roman"/>
                <w:color w:val="auto"/>
                <w:szCs w:val="21"/>
              </w:rPr>
              <w:t>4</w:t>
            </w:r>
          </w:p>
        </w:tc>
        <w:tc>
          <w:tcPr>
            <w:tcW w:w="1134" w:type="dxa"/>
            <w:vMerge w:val="continue"/>
            <w:vAlign w:val="center"/>
          </w:tcPr>
          <w:p w14:paraId="1F4B8E13">
            <w:pPr>
              <w:jc w:val="center"/>
              <w:rPr>
                <w:rFonts w:ascii="Times New Roman" w:hAnsi="Times New Roman" w:cs="Times New Roman"/>
                <w:color w:val="auto"/>
                <w:szCs w:val="21"/>
              </w:rPr>
            </w:pPr>
          </w:p>
        </w:tc>
        <w:tc>
          <w:tcPr>
            <w:tcW w:w="6379" w:type="dxa"/>
            <w:vAlign w:val="center"/>
          </w:tcPr>
          <w:p w14:paraId="7012D67E">
            <w:pPr>
              <w:rPr>
                <w:rFonts w:ascii="Times New Roman" w:hAnsi="Times New Roman" w:cs="Times New Roman"/>
                <w:color w:val="auto"/>
                <w:szCs w:val="21"/>
              </w:rPr>
            </w:pPr>
            <w:r>
              <w:rPr>
                <w:rFonts w:ascii="Times New Roman" w:hAnsi="Times New Roman" w:cs="Times New Roman"/>
                <w:color w:val="auto"/>
                <w:szCs w:val="21"/>
              </w:rPr>
              <w:t>施工人员进场或退场班组长未向项目部提前报备</w:t>
            </w:r>
          </w:p>
        </w:tc>
        <w:tc>
          <w:tcPr>
            <w:tcW w:w="1417" w:type="dxa"/>
            <w:vAlign w:val="center"/>
          </w:tcPr>
          <w:p w14:paraId="05AD83E0">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100元/人/次</w:t>
            </w:r>
          </w:p>
        </w:tc>
      </w:tr>
      <w:tr w14:paraId="1D26A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52407BB7">
            <w:pPr>
              <w:jc w:val="center"/>
              <w:rPr>
                <w:rFonts w:ascii="Times New Roman" w:hAnsi="Times New Roman" w:cs="Times New Roman"/>
                <w:color w:val="auto"/>
                <w:szCs w:val="21"/>
              </w:rPr>
            </w:pPr>
            <w:r>
              <w:rPr>
                <w:rFonts w:ascii="Times New Roman" w:hAnsi="Times New Roman" w:cs="Times New Roman"/>
                <w:color w:val="auto"/>
                <w:szCs w:val="21"/>
              </w:rPr>
              <w:t>5</w:t>
            </w:r>
          </w:p>
        </w:tc>
        <w:tc>
          <w:tcPr>
            <w:tcW w:w="1134" w:type="dxa"/>
            <w:vMerge w:val="continue"/>
            <w:vAlign w:val="center"/>
          </w:tcPr>
          <w:p w14:paraId="605AC7F5">
            <w:pPr>
              <w:jc w:val="center"/>
              <w:rPr>
                <w:rFonts w:ascii="Times New Roman" w:hAnsi="Times New Roman" w:cs="Times New Roman"/>
                <w:color w:val="auto"/>
                <w:szCs w:val="21"/>
              </w:rPr>
            </w:pPr>
          </w:p>
        </w:tc>
        <w:tc>
          <w:tcPr>
            <w:tcW w:w="6379" w:type="dxa"/>
            <w:vAlign w:val="center"/>
          </w:tcPr>
          <w:p w14:paraId="4F1506FA">
            <w:pPr>
              <w:rPr>
                <w:rFonts w:ascii="Times New Roman" w:hAnsi="Times New Roman" w:cs="Times New Roman"/>
                <w:color w:val="auto"/>
                <w:szCs w:val="21"/>
              </w:rPr>
            </w:pPr>
            <w:r>
              <w:rPr>
                <w:rFonts w:ascii="Times New Roman" w:hAnsi="Times New Roman" w:cs="Times New Roman"/>
                <w:color w:val="auto"/>
                <w:szCs w:val="21"/>
              </w:rPr>
              <w:t>超龄人员私自进场施工（未满18周岁或超过60周岁）</w:t>
            </w:r>
          </w:p>
        </w:tc>
        <w:tc>
          <w:tcPr>
            <w:tcW w:w="1417" w:type="dxa"/>
            <w:vAlign w:val="center"/>
          </w:tcPr>
          <w:p w14:paraId="1F1B9722">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100元/人/次</w:t>
            </w:r>
          </w:p>
        </w:tc>
      </w:tr>
      <w:tr w14:paraId="14F9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6439B5AF">
            <w:pPr>
              <w:jc w:val="center"/>
              <w:rPr>
                <w:rFonts w:ascii="Times New Roman" w:hAnsi="Times New Roman" w:cs="Times New Roman"/>
                <w:color w:val="auto"/>
                <w:szCs w:val="21"/>
              </w:rPr>
            </w:pPr>
            <w:r>
              <w:rPr>
                <w:rFonts w:ascii="Times New Roman" w:hAnsi="Times New Roman" w:cs="Times New Roman"/>
                <w:color w:val="auto"/>
                <w:szCs w:val="21"/>
              </w:rPr>
              <w:t>6</w:t>
            </w:r>
          </w:p>
        </w:tc>
        <w:tc>
          <w:tcPr>
            <w:tcW w:w="1134" w:type="dxa"/>
            <w:vMerge w:val="continue"/>
            <w:vAlign w:val="center"/>
          </w:tcPr>
          <w:p w14:paraId="2AF53119">
            <w:pPr>
              <w:jc w:val="center"/>
              <w:rPr>
                <w:rFonts w:ascii="Times New Roman" w:hAnsi="Times New Roman" w:cs="Times New Roman"/>
                <w:color w:val="auto"/>
                <w:szCs w:val="21"/>
              </w:rPr>
            </w:pPr>
          </w:p>
        </w:tc>
        <w:tc>
          <w:tcPr>
            <w:tcW w:w="6379" w:type="dxa"/>
            <w:vAlign w:val="center"/>
          </w:tcPr>
          <w:p w14:paraId="146F42FC">
            <w:pPr>
              <w:rPr>
                <w:rFonts w:ascii="Times New Roman" w:hAnsi="Times New Roman" w:cs="Times New Roman"/>
                <w:color w:val="auto"/>
                <w:szCs w:val="21"/>
              </w:rPr>
            </w:pPr>
            <w:r>
              <w:rPr>
                <w:rFonts w:ascii="Times New Roman" w:hAnsi="Times New Roman" w:cs="Times New Roman"/>
                <w:color w:val="auto"/>
                <w:kern w:val="0"/>
                <w:szCs w:val="21"/>
              </w:rPr>
              <w:t>不服从甲方管理，顶撞、辱骂甲方</w:t>
            </w:r>
          </w:p>
        </w:tc>
        <w:tc>
          <w:tcPr>
            <w:tcW w:w="1417" w:type="dxa"/>
            <w:vAlign w:val="center"/>
          </w:tcPr>
          <w:p w14:paraId="7494D1EA">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3902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78526E5D">
            <w:pPr>
              <w:jc w:val="center"/>
              <w:rPr>
                <w:rFonts w:ascii="Times New Roman" w:hAnsi="Times New Roman" w:cs="Times New Roman"/>
                <w:color w:val="auto"/>
                <w:szCs w:val="21"/>
              </w:rPr>
            </w:pPr>
            <w:r>
              <w:rPr>
                <w:rFonts w:ascii="Times New Roman" w:hAnsi="Times New Roman" w:cs="Times New Roman"/>
                <w:color w:val="auto"/>
                <w:szCs w:val="21"/>
              </w:rPr>
              <w:t>7</w:t>
            </w:r>
          </w:p>
        </w:tc>
        <w:tc>
          <w:tcPr>
            <w:tcW w:w="1134" w:type="dxa"/>
            <w:vMerge w:val="continue"/>
            <w:vAlign w:val="center"/>
          </w:tcPr>
          <w:p w14:paraId="0A495AE1">
            <w:pPr>
              <w:jc w:val="center"/>
              <w:rPr>
                <w:rFonts w:ascii="Times New Roman" w:hAnsi="Times New Roman" w:cs="Times New Roman"/>
                <w:color w:val="auto"/>
                <w:szCs w:val="21"/>
              </w:rPr>
            </w:pPr>
          </w:p>
        </w:tc>
        <w:tc>
          <w:tcPr>
            <w:tcW w:w="6379" w:type="dxa"/>
            <w:vAlign w:val="center"/>
          </w:tcPr>
          <w:p w14:paraId="03E59304">
            <w:pPr>
              <w:rPr>
                <w:rFonts w:ascii="Times New Roman" w:hAnsi="Times New Roman" w:cs="Times New Roman"/>
                <w:color w:val="auto"/>
                <w:szCs w:val="21"/>
              </w:rPr>
            </w:pPr>
            <w:r>
              <w:rPr>
                <w:rFonts w:ascii="Times New Roman" w:hAnsi="Times New Roman" w:cs="Times New Roman"/>
                <w:color w:val="auto"/>
                <w:szCs w:val="21"/>
              </w:rPr>
              <w:t>施工人员在项目周边下河（湖、海）游泳</w:t>
            </w:r>
          </w:p>
        </w:tc>
        <w:tc>
          <w:tcPr>
            <w:tcW w:w="1417" w:type="dxa"/>
            <w:vAlign w:val="center"/>
          </w:tcPr>
          <w:p w14:paraId="1202F709">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08DD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120214EA">
            <w:pPr>
              <w:jc w:val="center"/>
              <w:rPr>
                <w:rFonts w:ascii="Times New Roman" w:hAnsi="Times New Roman" w:cs="Times New Roman"/>
                <w:color w:val="auto"/>
                <w:szCs w:val="21"/>
              </w:rPr>
            </w:pPr>
            <w:r>
              <w:rPr>
                <w:rFonts w:ascii="Times New Roman" w:hAnsi="Times New Roman" w:cs="Times New Roman"/>
                <w:color w:val="auto"/>
                <w:szCs w:val="21"/>
              </w:rPr>
              <w:t>8</w:t>
            </w:r>
          </w:p>
        </w:tc>
        <w:tc>
          <w:tcPr>
            <w:tcW w:w="1134" w:type="dxa"/>
            <w:vMerge w:val="continue"/>
            <w:vAlign w:val="center"/>
          </w:tcPr>
          <w:p w14:paraId="3112C231">
            <w:pPr>
              <w:jc w:val="center"/>
              <w:rPr>
                <w:rFonts w:ascii="Times New Roman" w:hAnsi="Times New Roman" w:cs="Times New Roman"/>
                <w:color w:val="auto"/>
                <w:szCs w:val="21"/>
              </w:rPr>
            </w:pPr>
          </w:p>
        </w:tc>
        <w:tc>
          <w:tcPr>
            <w:tcW w:w="6379" w:type="dxa"/>
            <w:vAlign w:val="center"/>
          </w:tcPr>
          <w:p w14:paraId="3E95C36C">
            <w:pPr>
              <w:rPr>
                <w:rFonts w:ascii="Times New Roman" w:hAnsi="Times New Roman" w:cs="Times New Roman"/>
                <w:color w:val="auto"/>
                <w:szCs w:val="21"/>
              </w:rPr>
            </w:pPr>
            <w:r>
              <w:rPr>
                <w:rFonts w:ascii="Times New Roman" w:hAnsi="Times New Roman" w:cs="Times New Roman"/>
                <w:color w:val="auto"/>
                <w:szCs w:val="21"/>
              </w:rPr>
              <w:t>施工现场、生活区打架、斗殴</w:t>
            </w:r>
          </w:p>
        </w:tc>
        <w:tc>
          <w:tcPr>
            <w:tcW w:w="1417" w:type="dxa"/>
            <w:vAlign w:val="center"/>
          </w:tcPr>
          <w:p w14:paraId="64E30C00">
            <w:pPr>
              <w:jc w:val="center"/>
              <w:rPr>
                <w:rFonts w:ascii="Times New Roman" w:hAnsi="Times New Roman" w:cs="Times New Roman"/>
                <w:color w:val="auto"/>
                <w:kern w:val="0"/>
                <w:szCs w:val="21"/>
              </w:rPr>
            </w:pPr>
            <w:r>
              <w:rPr>
                <w:rFonts w:ascii="Times New Roman" w:hAnsi="Times New Roman" w:cs="Times New Roman"/>
                <w:color w:val="auto"/>
                <w:kern w:val="0"/>
                <w:szCs w:val="21"/>
              </w:rPr>
              <w:t>1000元/次</w:t>
            </w:r>
          </w:p>
        </w:tc>
      </w:tr>
      <w:tr w14:paraId="5B03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37B3629E">
            <w:pPr>
              <w:jc w:val="center"/>
              <w:rPr>
                <w:rFonts w:ascii="Times New Roman" w:hAnsi="Times New Roman" w:cs="Times New Roman"/>
                <w:color w:val="auto"/>
                <w:szCs w:val="21"/>
              </w:rPr>
            </w:pPr>
            <w:r>
              <w:rPr>
                <w:rFonts w:ascii="Times New Roman" w:hAnsi="Times New Roman" w:cs="Times New Roman"/>
                <w:color w:val="auto"/>
                <w:szCs w:val="21"/>
              </w:rPr>
              <w:t>9</w:t>
            </w:r>
          </w:p>
        </w:tc>
        <w:tc>
          <w:tcPr>
            <w:tcW w:w="1134" w:type="dxa"/>
            <w:vMerge w:val="restart"/>
            <w:vAlign w:val="center"/>
          </w:tcPr>
          <w:p w14:paraId="59991068">
            <w:pPr>
              <w:jc w:val="center"/>
              <w:rPr>
                <w:rFonts w:ascii="Times New Roman" w:hAnsi="Times New Roman" w:cs="Times New Roman"/>
                <w:color w:val="auto"/>
                <w:szCs w:val="21"/>
              </w:rPr>
            </w:pPr>
            <w:r>
              <w:rPr>
                <w:rFonts w:ascii="Times New Roman" w:hAnsi="Times New Roman" w:cs="Times New Roman"/>
                <w:color w:val="auto"/>
                <w:szCs w:val="21"/>
              </w:rPr>
              <w:t>劳保用品</w:t>
            </w:r>
          </w:p>
          <w:p w14:paraId="76FEB2D3">
            <w:pPr>
              <w:jc w:val="center"/>
              <w:rPr>
                <w:rFonts w:ascii="Times New Roman" w:hAnsi="Times New Roman" w:cs="Times New Roman"/>
                <w:color w:val="auto"/>
                <w:szCs w:val="21"/>
              </w:rPr>
            </w:pPr>
            <w:r>
              <w:rPr>
                <w:rFonts w:ascii="Times New Roman" w:hAnsi="Times New Roman" w:cs="Times New Roman"/>
                <w:color w:val="auto"/>
                <w:szCs w:val="21"/>
              </w:rPr>
              <w:t>使用</w:t>
            </w:r>
          </w:p>
        </w:tc>
        <w:tc>
          <w:tcPr>
            <w:tcW w:w="6379" w:type="dxa"/>
            <w:vAlign w:val="center"/>
          </w:tcPr>
          <w:p w14:paraId="18545405">
            <w:pPr>
              <w:rPr>
                <w:rFonts w:ascii="Times New Roman" w:hAnsi="Times New Roman" w:cs="Times New Roman"/>
                <w:color w:val="auto"/>
                <w:szCs w:val="21"/>
              </w:rPr>
            </w:pPr>
            <w:r>
              <w:rPr>
                <w:rFonts w:ascii="Times New Roman" w:hAnsi="Times New Roman" w:cs="Times New Roman"/>
                <w:color w:val="auto"/>
                <w:szCs w:val="21"/>
              </w:rPr>
              <w:t>进入施工现场未佩戴安全帽</w:t>
            </w:r>
          </w:p>
        </w:tc>
        <w:tc>
          <w:tcPr>
            <w:tcW w:w="1417" w:type="dxa"/>
            <w:vAlign w:val="center"/>
          </w:tcPr>
          <w:p w14:paraId="7FCDAFA1">
            <w:pPr>
              <w:jc w:val="center"/>
              <w:rPr>
                <w:rFonts w:ascii="Times New Roman" w:hAnsi="Times New Roman" w:cs="Times New Roman"/>
                <w:color w:val="auto"/>
                <w:szCs w:val="21"/>
              </w:rPr>
            </w:pPr>
            <w:r>
              <w:rPr>
                <w:rFonts w:ascii="Times New Roman" w:hAnsi="Times New Roman" w:cs="Times New Roman"/>
                <w:color w:val="auto"/>
                <w:kern w:val="0"/>
                <w:szCs w:val="21"/>
              </w:rPr>
              <w:t>100元/人/次</w:t>
            </w:r>
          </w:p>
        </w:tc>
      </w:tr>
      <w:tr w14:paraId="21C9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3502E9B0">
            <w:pPr>
              <w:jc w:val="center"/>
              <w:rPr>
                <w:rFonts w:ascii="Times New Roman" w:hAnsi="Times New Roman" w:cs="Times New Roman"/>
                <w:color w:val="auto"/>
                <w:szCs w:val="21"/>
              </w:rPr>
            </w:pPr>
            <w:r>
              <w:rPr>
                <w:rFonts w:ascii="Times New Roman" w:hAnsi="Times New Roman" w:cs="Times New Roman"/>
                <w:color w:val="auto"/>
                <w:szCs w:val="21"/>
              </w:rPr>
              <w:t>10</w:t>
            </w:r>
          </w:p>
        </w:tc>
        <w:tc>
          <w:tcPr>
            <w:tcW w:w="1134" w:type="dxa"/>
            <w:vMerge w:val="continue"/>
            <w:vAlign w:val="center"/>
          </w:tcPr>
          <w:p w14:paraId="1CE19480">
            <w:pPr>
              <w:jc w:val="center"/>
              <w:rPr>
                <w:rFonts w:ascii="Times New Roman" w:hAnsi="Times New Roman" w:cs="Times New Roman"/>
                <w:color w:val="auto"/>
                <w:szCs w:val="21"/>
              </w:rPr>
            </w:pPr>
          </w:p>
        </w:tc>
        <w:tc>
          <w:tcPr>
            <w:tcW w:w="6379" w:type="dxa"/>
            <w:vAlign w:val="center"/>
          </w:tcPr>
          <w:p w14:paraId="607E88EA">
            <w:pPr>
              <w:rPr>
                <w:rFonts w:ascii="Times New Roman" w:hAnsi="Times New Roman" w:cs="Times New Roman"/>
                <w:color w:val="auto"/>
                <w:szCs w:val="21"/>
              </w:rPr>
            </w:pPr>
            <w:r>
              <w:rPr>
                <w:rFonts w:ascii="Times New Roman" w:hAnsi="Times New Roman" w:cs="Times New Roman"/>
                <w:color w:val="auto"/>
                <w:szCs w:val="21"/>
              </w:rPr>
              <w:t>进入施工现场不按规范佩戴安全帽（含下颚带）</w:t>
            </w:r>
          </w:p>
        </w:tc>
        <w:tc>
          <w:tcPr>
            <w:tcW w:w="1417" w:type="dxa"/>
            <w:vAlign w:val="center"/>
          </w:tcPr>
          <w:p w14:paraId="36A1947D">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100元/人/次</w:t>
            </w:r>
          </w:p>
        </w:tc>
      </w:tr>
      <w:tr w14:paraId="72B1F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7B58E7A8">
            <w:pPr>
              <w:jc w:val="center"/>
              <w:rPr>
                <w:rFonts w:ascii="Times New Roman" w:hAnsi="Times New Roman" w:cs="Times New Roman"/>
                <w:color w:val="auto"/>
                <w:szCs w:val="21"/>
              </w:rPr>
            </w:pPr>
            <w:r>
              <w:rPr>
                <w:rFonts w:ascii="Times New Roman" w:hAnsi="Times New Roman" w:cs="Times New Roman"/>
                <w:color w:val="auto"/>
                <w:szCs w:val="21"/>
              </w:rPr>
              <w:t>11</w:t>
            </w:r>
          </w:p>
        </w:tc>
        <w:tc>
          <w:tcPr>
            <w:tcW w:w="1134" w:type="dxa"/>
            <w:vMerge w:val="continue"/>
            <w:vAlign w:val="center"/>
          </w:tcPr>
          <w:p w14:paraId="6DF0EB4C">
            <w:pPr>
              <w:jc w:val="center"/>
              <w:rPr>
                <w:rFonts w:ascii="Times New Roman" w:hAnsi="Times New Roman" w:cs="Times New Roman"/>
                <w:color w:val="auto"/>
                <w:szCs w:val="21"/>
              </w:rPr>
            </w:pPr>
          </w:p>
        </w:tc>
        <w:tc>
          <w:tcPr>
            <w:tcW w:w="6379" w:type="dxa"/>
            <w:vAlign w:val="center"/>
          </w:tcPr>
          <w:p w14:paraId="4B5041D6">
            <w:pPr>
              <w:rPr>
                <w:rFonts w:ascii="Times New Roman" w:hAnsi="Times New Roman" w:cs="Times New Roman"/>
                <w:color w:val="auto"/>
                <w:szCs w:val="21"/>
              </w:rPr>
            </w:pPr>
            <w:r>
              <w:rPr>
                <w:rFonts w:ascii="Times New Roman" w:hAnsi="Times New Roman" w:cs="Times New Roman"/>
                <w:color w:val="auto"/>
                <w:szCs w:val="21"/>
              </w:rPr>
              <w:t>进入施工现场未穿反光背心</w:t>
            </w:r>
          </w:p>
        </w:tc>
        <w:tc>
          <w:tcPr>
            <w:tcW w:w="1417" w:type="dxa"/>
            <w:vAlign w:val="center"/>
          </w:tcPr>
          <w:p w14:paraId="3B6DB8B9">
            <w:pPr>
              <w:jc w:val="center"/>
              <w:rPr>
                <w:rFonts w:ascii="Times New Roman" w:hAnsi="Times New Roman" w:cs="Times New Roman"/>
                <w:color w:val="auto"/>
                <w:szCs w:val="21"/>
              </w:rPr>
            </w:pPr>
            <w:r>
              <w:rPr>
                <w:rFonts w:ascii="Times New Roman" w:hAnsi="Times New Roman" w:cs="Times New Roman"/>
                <w:color w:val="auto"/>
                <w:kern w:val="0"/>
                <w:szCs w:val="21"/>
              </w:rPr>
              <w:t>100元/人/次</w:t>
            </w:r>
          </w:p>
        </w:tc>
      </w:tr>
      <w:tr w14:paraId="4A0F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1C56A2AE">
            <w:pPr>
              <w:jc w:val="center"/>
              <w:rPr>
                <w:rFonts w:ascii="Times New Roman" w:hAnsi="Times New Roman" w:cs="Times New Roman"/>
                <w:color w:val="auto"/>
                <w:szCs w:val="21"/>
              </w:rPr>
            </w:pPr>
            <w:r>
              <w:rPr>
                <w:rFonts w:ascii="Times New Roman" w:hAnsi="Times New Roman" w:cs="Times New Roman"/>
                <w:color w:val="auto"/>
                <w:szCs w:val="21"/>
              </w:rPr>
              <w:t>12</w:t>
            </w:r>
          </w:p>
        </w:tc>
        <w:tc>
          <w:tcPr>
            <w:tcW w:w="1134" w:type="dxa"/>
            <w:vMerge w:val="continue"/>
            <w:vAlign w:val="center"/>
          </w:tcPr>
          <w:p w14:paraId="4CC52605">
            <w:pPr>
              <w:jc w:val="center"/>
              <w:rPr>
                <w:rFonts w:ascii="Times New Roman" w:hAnsi="Times New Roman" w:cs="Times New Roman"/>
                <w:color w:val="auto"/>
                <w:szCs w:val="21"/>
              </w:rPr>
            </w:pPr>
          </w:p>
        </w:tc>
        <w:tc>
          <w:tcPr>
            <w:tcW w:w="6379" w:type="dxa"/>
            <w:vAlign w:val="center"/>
          </w:tcPr>
          <w:p w14:paraId="3439F883">
            <w:pPr>
              <w:rPr>
                <w:rFonts w:ascii="Times New Roman" w:hAnsi="Times New Roman" w:cs="Times New Roman"/>
                <w:color w:val="auto"/>
                <w:szCs w:val="21"/>
              </w:rPr>
            </w:pPr>
            <w:r>
              <w:rPr>
                <w:rFonts w:ascii="Times New Roman" w:hAnsi="Times New Roman" w:cs="Times New Roman"/>
                <w:color w:val="auto"/>
                <w:szCs w:val="21"/>
              </w:rPr>
              <w:t>使用各类切割机进行金属切割作业时未使用护目镜</w:t>
            </w:r>
          </w:p>
        </w:tc>
        <w:tc>
          <w:tcPr>
            <w:tcW w:w="1417" w:type="dxa"/>
            <w:vAlign w:val="center"/>
          </w:tcPr>
          <w:p w14:paraId="7A45540C">
            <w:pPr>
              <w:jc w:val="center"/>
              <w:rPr>
                <w:rFonts w:ascii="Times New Roman" w:hAnsi="Times New Roman" w:cs="Times New Roman"/>
                <w:color w:val="auto"/>
                <w:szCs w:val="21"/>
              </w:rPr>
            </w:pPr>
            <w:r>
              <w:rPr>
                <w:rFonts w:ascii="Times New Roman" w:hAnsi="Times New Roman" w:cs="Times New Roman"/>
                <w:color w:val="auto"/>
                <w:kern w:val="0"/>
                <w:szCs w:val="21"/>
              </w:rPr>
              <w:t>100元/人/次</w:t>
            </w:r>
          </w:p>
        </w:tc>
      </w:tr>
      <w:tr w14:paraId="3164F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21063E0E">
            <w:pPr>
              <w:jc w:val="center"/>
              <w:rPr>
                <w:rFonts w:ascii="Times New Roman" w:hAnsi="Times New Roman" w:cs="Times New Roman"/>
                <w:color w:val="auto"/>
                <w:szCs w:val="21"/>
              </w:rPr>
            </w:pPr>
            <w:r>
              <w:rPr>
                <w:rFonts w:ascii="Times New Roman" w:hAnsi="Times New Roman" w:cs="Times New Roman"/>
                <w:color w:val="auto"/>
                <w:szCs w:val="21"/>
              </w:rPr>
              <w:t>13</w:t>
            </w:r>
          </w:p>
        </w:tc>
        <w:tc>
          <w:tcPr>
            <w:tcW w:w="1134" w:type="dxa"/>
            <w:vMerge w:val="continue"/>
            <w:vAlign w:val="center"/>
          </w:tcPr>
          <w:p w14:paraId="49AB8EE0">
            <w:pPr>
              <w:jc w:val="center"/>
              <w:rPr>
                <w:rFonts w:ascii="Times New Roman" w:hAnsi="Times New Roman" w:cs="Times New Roman"/>
                <w:color w:val="auto"/>
                <w:szCs w:val="21"/>
              </w:rPr>
            </w:pPr>
          </w:p>
        </w:tc>
        <w:tc>
          <w:tcPr>
            <w:tcW w:w="6379" w:type="dxa"/>
            <w:vAlign w:val="center"/>
          </w:tcPr>
          <w:p w14:paraId="32D93E07">
            <w:pPr>
              <w:rPr>
                <w:rFonts w:ascii="Times New Roman" w:hAnsi="Times New Roman" w:cs="Times New Roman"/>
                <w:color w:val="auto"/>
                <w:szCs w:val="21"/>
              </w:rPr>
            </w:pPr>
            <w:r>
              <w:rPr>
                <w:rFonts w:ascii="Times New Roman" w:hAnsi="Times New Roman" w:cs="Times New Roman"/>
                <w:color w:val="auto"/>
                <w:szCs w:val="21"/>
              </w:rPr>
              <w:t>无有效防护的作业平台，登高作业、临边作业未使用安全带</w:t>
            </w:r>
          </w:p>
        </w:tc>
        <w:tc>
          <w:tcPr>
            <w:tcW w:w="1417" w:type="dxa"/>
            <w:vAlign w:val="center"/>
          </w:tcPr>
          <w:p w14:paraId="416346E1">
            <w:pPr>
              <w:jc w:val="center"/>
              <w:rPr>
                <w:rFonts w:ascii="Times New Roman" w:hAnsi="Times New Roman" w:cs="Times New Roman"/>
                <w:color w:val="auto"/>
                <w:szCs w:val="21"/>
              </w:rPr>
            </w:pPr>
            <w:r>
              <w:rPr>
                <w:rFonts w:ascii="Times New Roman" w:hAnsi="Times New Roman" w:cs="Times New Roman"/>
                <w:color w:val="auto"/>
                <w:kern w:val="0"/>
                <w:szCs w:val="21"/>
              </w:rPr>
              <w:t>100元/人/次</w:t>
            </w:r>
          </w:p>
        </w:tc>
      </w:tr>
      <w:tr w14:paraId="7254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484E5569">
            <w:pPr>
              <w:jc w:val="center"/>
              <w:rPr>
                <w:rFonts w:ascii="Times New Roman" w:hAnsi="Times New Roman" w:cs="Times New Roman"/>
                <w:color w:val="auto"/>
                <w:szCs w:val="21"/>
              </w:rPr>
            </w:pPr>
            <w:r>
              <w:rPr>
                <w:rFonts w:ascii="Times New Roman" w:hAnsi="Times New Roman" w:cs="Times New Roman"/>
                <w:color w:val="auto"/>
                <w:szCs w:val="21"/>
              </w:rPr>
              <w:t>14</w:t>
            </w:r>
          </w:p>
        </w:tc>
        <w:tc>
          <w:tcPr>
            <w:tcW w:w="1134" w:type="dxa"/>
            <w:vMerge w:val="restart"/>
            <w:vAlign w:val="center"/>
          </w:tcPr>
          <w:p w14:paraId="62846D37">
            <w:pPr>
              <w:jc w:val="center"/>
              <w:rPr>
                <w:rFonts w:ascii="Times New Roman" w:hAnsi="Times New Roman" w:cs="Times New Roman"/>
                <w:color w:val="auto"/>
                <w:szCs w:val="21"/>
              </w:rPr>
            </w:pPr>
            <w:r>
              <w:rPr>
                <w:rFonts w:ascii="Times New Roman" w:hAnsi="Times New Roman" w:cs="Times New Roman"/>
                <w:color w:val="auto"/>
                <w:szCs w:val="21"/>
              </w:rPr>
              <w:t>文明施工</w:t>
            </w:r>
          </w:p>
        </w:tc>
        <w:tc>
          <w:tcPr>
            <w:tcW w:w="6379" w:type="dxa"/>
            <w:vAlign w:val="center"/>
          </w:tcPr>
          <w:p w14:paraId="44DE6335">
            <w:pPr>
              <w:rPr>
                <w:rFonts w:ascii="Times New Roman" w:hAnsi="Times New Roman" w:cs="Times New Roman"/>
                <w:color w:val="auto"/>
                <w:szCs w:val="21"/>
              </w:rPr>
            </w:pPr>
            <w:r>
              <w:rPr>
                <w:rFonts w:ascii="Times New Roman" w:hAnsi="Times New Roman" w:cs="Times New Roman"/>
                <w:color w:val="auto"/>
                <w:szCs w:val="21"/>
              </w:rPr>
              <w:t>随意倾倒垃圾、废料</w:t>
            </w:r>
          </w:p>
        </w:tc>
        <w:tc>
          <w:tcPr>
            <w:tcW w:w="1417" w:type="dxa"/>
            <w:vAlign w:val="center"/>
          </w:tcPr>
          <w:p w14:paraId="3F962F90">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6395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568955D3">
            <w:pPr>
              <w:jc w:val="center"/>
              <w:rPr>
                <w:rFonts w:ascii="Times New Roman" w:hAnsi="Times New Roman" w:cs="Times New Roman"/>
                <w:color w:val="auto"/>
                <w:szCs w:val="21"/>
              </w:rPr>
            </w:pPr>
            <w:r>
              <w:rPr>
                <w:rFonts w:ascii="Times New Roman" w:hAnsi="Times New Roman" w:cs="Times New Roman"/>
                <w:color w:val="auto"/>
                <w:szCs w:val="21"/>
              </w:rPr>
              <w:t>15</w:t>
            </w:r>
          </w:p>
        </w:tc>
        <w:tc>
          <w:tcPr>
            <w:tcW w:w="1134" w:type="dxa"/>
            <w:vMerge w:val="continue"/>
            <w:vAlign w:val="center"/>
          </w:tcPr>
          <w:p w14:paraId="5FFE6FFC">
            <w:pPr>
              <w:jc w:val="center"/>
              <w:rPr>
                <w:rFonts w:ascii="Times New Roman" w:hAnsi="Times New Roman" w:cs="Times New Roman"/>
                <w:color w:val="auto"/>
                <w:szCs w:val="21"/>
              </w:rPr>
            </w:pPr>
          </w:p>
        </w:tc>
        <w:tc>
          <w:tcPr>
            <w:tcW w:w="6379" w:type="dxa"/>
            <w:vAlign w:val="center"/>
          </w:tcPr>
          <w:p w14:paraId="1F7B8498">
            <w:pPr>
              <w:rPr>
                <w:rFonts w:ascii="Times New Roman" w:hAnsi="Times New Roman" w:cs="Times New Roman"/>
                <w:color w:val="auto"/>
                <w:szCs w:val="21"/>
              </w:rPr>
            </w:pPr>
            <w:r>
              <w:rPr>
                <w:rFonts w:ascii="Times New Roman" w:hAnsi="Times New Roman" w:cs="Times New Roman"/>
                <w:color w:val="auto"/>
                <w:szCs w:val="21"/>
              </w:rPr>
              <w:t>施工作业点未做到工完废料清</w:t>
            </w:r>
          </w:p>
        </w:tc>
        <w:tc>
          <w:tcPr>
            <w:tcW w:w="1417" w:type="dxa"/>
            <w:vAlign w:val="center"/>
          </w:tcPr>
          <w:p w14:paraId="0616A568">
            <w:pPr>
              <w:jc w:val="center"/>
              <w:rPr>
                <w:rFonts w:ascii="Times New Roman" w:hAnsi="Times New Roman" w:cs="Times New Roman"/>
                <w:color w:val="auto"/>
                <w:szCs w:val="21"/>
              </w:rPr>
            </w:pPr>
            <w:r>
              <w:rPr>
                <w:rFonts w:ascii="Times New Roman" w:hAnsi="Times New Roman" w:cs="Times New Roman"/>
                <w:color w:val="auto"/>
                <w:kern w:val="0"/>
                <w:szCs w:val="21"/>
              </w:rPr>
              <w:t>100元/处</w:t>
            </w:r>
          </w:p>
        </w:tc>
      </w:tr>
      <w:tr w14:paraId="4AA4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6B1EFA86">
            <w:pPr>
              <w:jc w:val="center"/>
              <w:rPr>
                <w:rFonts w:ascii="Times New Roman" w:hAnsi="Times New Roman" w:cs="Times New Roman"/>
                <w:color w:val="auto"/>
                <w:szCs w:val="21"/>
              </w:rPr>
            </w:pPr>
            <w:r>
              <w:rPr>
                <w:rFonts w:ascii="Times New Roman" w:hAnsi="Times New Roman" w:cs="Times New Roman"/>
                <w:color w:val="auto"/>
                <w:szCs w:val="21"/>
              </w:rPr>
              <w:t>16</w:t>
            </w:r>
          </w:p>
        </w:tc>
        <w:tc>
          <w:tcPr>
            <w:tcW w:w="1134" w:type="dxa"/>
            <w:vMerge w:val="continue"/>
            <w:vAlign w:val="center"/>
          </w:tcPr>
          <w:p w14:paraId="6FDC7B3F">
            <w:pPr>
              <w:jc w:val="center"/>
              <w:rPr>
                <w:rFonts w:ascii="Times New Roman" w:hAnsi="Times New Roman" w:cs="Times New Roman"/>
                <w:color w:val="auto"/>
                <w:szCs w:val="21"/>
              </w:rPr>
            </w:pPr>
          </w:p>
        </w:tc>
        <w:tc>
          <w:tcPr>
            <w:tcW w:w="6379" w:type="dxa"/>
            <w:vAlign w:val="center"/>
          </w:tcPr>
          <w:p w14:paraId="4ABD9543">
            <w:pPr>
              <w:rPr>
                <w:rFonts w:ascii="Times New Roman" w:hAnsi="Times New Roman" w:cs="Times New Roman"/>
                <w:color w:val="auto"/>
                <w:szCs w:val="21"/>
              </w:rPr>
            </w:pPr>
            <w:r>
              <w:rPr>
                <w:rFonts w:ascii="Times New Roman" w:hAnsi="Times New Roman" w:cs="Times New Roman"/>
                <w:color w:val="auto"/>
                <w:szCs w:val="21"/>
              </w:rPr>
              <w:t>材料堆放不整齐、未按规定堆放</w:t>
            </w:r>
          </w:p>
        </w:tc>
        <w:tc>
          <w:tcPr>
            <w:tcW w:w="1417" w:type="dxa"/>
            <w:vAlign w:val="center"/>
          </w:tcPr>
          <w:p w14:paraId="1C34E037">
            <w:pPr>
              <w:jc w:val="center"/>
              <w:rPr>
                <w:rFonts w:ascii="Times New Roman" w:hAnsi="Times New Roman" w:cs="Times New Roman"/>
                <w:color w:val="auto"/>
                <w:szCs w:val="21"/>
              </w:rPr>
            </w:pPr>
            <w:r>
              <w:rPr>
                <w:rFonts w:ascii="Times New Roman" w:hAnsi="Times New Roman" w:cs="Times New Roman"/>
                <w:color w:val="auto"/>
                <w:kern w:val="0"/>
                <w:szCs w:val="21"/>
              </w:rPr>
              <w:t>100元/处</w:t>
            </w:r>
          </w:p>
        </w:tc>
      </w:tr>
      <w:tr w14:paraId="469BD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567856AA">
            <w:pPr>
              <w:jc w:val="center"/>
              <w:rPr>
                <w:rFonts w:ascii="Times New Roman" w:hAnsi="Times New Roman" w:cs="Times New Roman"/>
                <w:color w:val="auto"/>
                <w:szCs w:val="21"/>
              </w:rPr>
            </w:pPr>
            <w:r>
              <w:rPr>
                <w:rFonts w:ascii="Times New Roman" w:hAnsi="Times New Roman" w:cs="Times New Roman"/>
                <w:color w:val="auto"/>
                <w:szCs w:val="21"/>
              </w:rPr>
              <w:t>17</w:t>
            </w:r>
          </w:p>
        </w:tc>
        <w:tc>
          <w:tcPr>
            <w:tcW w:w="1134" w:type="dxa"/>
            <w:vMerge w:val="continue"/>
            <w:vAlign w:val="center"/>
          </w:tcPr>
          <w:p w14:paraId="70EB6B02">
            <w:pPr>
              <w:jc w:val="center"/>
              <w:rPr>
                <w:rFonts w:ascii="Times New Roman" w:hAnsi="Times New Roman" w:cs="Times New Roman"/>
                <w:color w:val="auto"/>
                <w:szCs w:val="21"/>
              </w:rPr>
            </w:pPr>
          </w:p>
        </w:tc>
        <w:tc>
          <w:tcPr>
            <w:tcW w:w="6379" w:type="dxa"/>
            <w:vAlign w:val="center"/>
          </w:tcPr>
          <w:p w14:paraId="5ACE3B34">
            <w:pPr>
              <w:rPr>
                <w:rFonts w:ascii="Times New Roman" w:hAnsi="Times New Roman" w:cs="Times New Roman"/>
                <w:color w:val="auto"/>
                <w:szCs w:val="21"/>
              </w:rPr>
            </w:pPr>
            <w:r>
              <w:rPr>
                <w:rFonts w:ascii="Times New Roman" w:hAnsi="Times New Roman" w:cs="Times New Roman"/>
                <w:color w:val="auto"/>
                <w:szCs w:val="21"/>
              </w:rPr>
              <w:t>材料、机具仓库不整洁、杂乱</w:t>
            </w:r>
          </w:p>
        </w:tc>
        <w:tc>
          <w:tcPr>
            <w:tcW w:w="1417" w:type="dxa"/>
            <w:vAlign w:val="center"/>
          </w:tcPr>
          <w:p w14:paraId="551078FF">
            <w:pPr>
              <w:jc w:val="center"/>
              <w:rPr>
                <w:rFonts w:ascii="Times New Roman" w:hAnsi="Times New Roman" w:cs="Times New Roman"/>
                <w:color w:val="auto"/>
                <w:szCs w:val="21"/>
              </w:rPr>
            </w:pPr>
            <w:r>
              <w:rPr>
                <w:rFonts w:ascii="Times New Roman" w:hAnsi="Times New Roman" w:cs="Times New Roman"/>
                <w:color w:val="auto"/>
                <w:kern w:val="0"/>
                <w:szCs w:val="21"/>
              </w:rPr>
              <w:t>100元/处</w:t>
            </w:r>
          </w:p>
        </w:tc>
      </w:tr>
      <w:tr w14:paraId="2C04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7A8FA792">
            <w:pPr>
              <w:jc w:val="center"/>
              <w:rPr>
                <w:rFonts w:ascii="Times New Roman" w:hAnsi="Times New Roman" w:cs="Times New Roman"/>
                <w:color w:val="auto"/>
                <w:szCs w:val="21"/>
              </w:rPr>
            </w:pPr>
            <w:r>
              <w:rPr>
                <w:rFonts w:ascii="Times New Roman" w:hAnsi="Times New Roman" w:cs="Times New Roman"/>
                <w:color w:val="auto"/>
                <w:szCs w:val="21"/>
              </w:rPr>
              <w:t>18</w:t>
            </w:r>
          </w:p>
        </w:tc>
        <w:tc>
          <w:tcPr>
            <w:tcW w:w="1134" w:type="dxa"/>
            <w:vMerge w:val="restart"/>
            <w:vAlign w:val="center"/>
          </w:tcPr>
          <w:p w14:paraId="13F5796E">
            <w:pPr>
              <w:jc w:val="center"/>
              <w:rPr>
                <w:rFonts w:ascii="Times New Roman" w:hAnsi="Times New Roman" w:cs="Times New Roman"/>
                <w:color w:val="auto"/>
                <w:szCs w:val="21"/>
              </w:rPr>
            </w:pPr>
            <w:r>
              <w:rPr>
                <w:rFonts w:ascii="Times New Roman" w:hAnsi="Times New Roman" w:cs="Times New Roman"/>
                <w:color w:val="auto"/>
                <w:szCs w:val="21"/>
              </w:rPr>
              <w:t>施工用电</w:t>
            </w:r>
          </w:p>
        </w:tc>
        <w:tc>
          <w:tcPr>
            <w:tcW w:w="6379" w:type="dxa"/>
            <w:vAlign w:val="center"/>
          </w:tcPr>
          <w:p w14:paraId="288BA648">
            <w:pPr>
              <w:rPr>
                <w:rFonts w:ascii="Times New Roman" w:hAnsi="Times New Roman" w:cs="Times New Roman"/>
                <w:color w:val="auto"/>
                <w:szCs w:val="21"/>
              </w:rPr>
            </w:pPr>
            <w:r>
              <w:rPr>
                <w:rFonts w:ascii="Times New Roman" w:hAnsi="Times New Roman" w:cs="Times New Roman"/>
                <w:color w:val="auto"/>
                <w:szCs w:val="21"/>
              </w:rPr>
              <w:t>使用不规范取电设施（拖线板、简易插座等）</w:t>
            </w:r>
          </w:p>
        </w:tc>
        <w:tc>
          <w:tcPr>
            <w:tcW w:w="1417" w:type="dxa"/>
            <w:vAlign w:val="center"/>
          </w:tcPr>
          <w:p w14:paraId="25B13189">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70F5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25CA2B66">
            <w:pPr>
              <w:jc w:val="center"/>
              <w:rPr>
                <w:rFonts w:ascii="Times New Roman" w:hAnsi="Times New Roman" w:cs="Times New Roman"/>
                <w:color w:val="auto"/>
                <w:szCs w:val="21"/>
              </w:rPr>
            </w:pPr>
            <w:r>
              <w:rPr>
                <w:rFonts w:ascii="Times New Roman" w:hAnsi="Times New Roman" w:cs="Times New Roman"/>
                <w:color w:val="auto"/>
                <w:szCs w:val="21"/>
              </w:rPr>
              <w:t>19</w:t>
            </w:r>
          </w:p>
        </w:tc>
        <w:tc>
          <w:tcPr>
            <w:tcW w:w="1134" w:type="dxa"/>
            <w:vMerge w:val="continue"/>
            <w:vAlign w:val="center"/>
          </w:tcPr>
          <w:p w14:paraId="357EA12B">
            <w:pPr>
              <w:jc w:val="center"/>
              <w:rPr>
                <w:rFonts w:ascii="Times New Roman" w:hAnsi="Times New Roman" w:cs="Times New Roman"/>
                <w:color w:val="auto"/>
                <w:szCs w:val="21"/>
              </w:rPr>
            </w:pPr>
          </w:p>
        </w:tc>
        <w:tc>
          <w:tcPr>
            <w:tcW w:w="6379" w:type="dxa"/>
            <w:vAlign w:val="center"/>
          </w:tcPr>
          <w:p w14:paraId="50962CF2">
            <w:pPr>
              <w:rPr>
                <w:rFonts w:ascii="Times New Roman" w:hAnsi="Times New Roman" w:cs="Times New Roman"/>
                <w:color w:val="auto"/>
                <w:szCs w:val="21"/>
              </w:rPr>
            </w:pPr>
            <w:r>
              <w:rPr>
                <w:rFonts w:ascii="Times New Roman" w:hAnsi="Times New Roman" w:cs="Times New Roman"/>
                <w:color w:val="auto"/>
                <w:kern w:val="0"/>
                <w:szCs w:val="21"/>
              </w:rPr>
              <w:t>私拉乱接电源电线、随意拆接电动工具电源线</w:t>
            </w:r>
          </w:p>
        </w:tc>
        <w:tc>
          <w:tcPr>
            <w:tcW w:w="1417" w:type="dxa"/>
            <w:vAlign w:val="center"/>
          </w:tcPr>
          <w:p w14:paraId="678CE2FF">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084D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31DA1B32">
            <w:pPr>
              <w:jc w:val="center"/>
              <w:rPr>
                <w:rFonts w:ascii="Times New Roman" w:hAnsi="Times New Roman" w:cs="Times New Roman"/>
                <w:color w:val="auto"/>
                <w:szCs w:val="21"/>
              </w:rPr>
            </w:pPr>
            <w:r>
              <w:rPr>
                <w:rFonts w:ascii="Times New Roman" w:hAnsi="Times New Roman" w:cs="Times New Roman"/>
                <w:color w:val="auto"/>
                <w:szCs w:val="21"/>
              </w:rPr>
              <w:t>20</w:t>
            </w:r>
          </w:p>
        </w:tc>
        <w:tc>
          <w:tcPr>
            <w:tcW w:w="1134" w:type="dxa"/>
            <w:vMerge w:val="continue"/>
            <w:vAlign w:val="center"/>
          </w:tcPr>
          <w:p w14:paraId="7EAC9E68">
            <w:pPr>
              <w:jc w:val="center"/>
              <w:rPr>
                <w:rFonts w:ascii="Times New Roman" w:hAnsi="Times New Roman" w:cs="Times New Roman"/>
                <w:color w:val="auto"/>
                <w:szCs w:val="21"/>
              </w:rPr>
            </w:pPr>
          </w:p>
        </w:tc>
        <w:tc>
          <w:tcPr>
            <w:tcW w:w="6379" w:type="dxa"/>
            <w:vAlign w:val="center"/>
          </w:tcPr>
          <w:p w14:paraId="530C4626">
            <w:pPr>
              <w:rPr>
                <w:rFonts w:ascii="Times New Roman" w:hAnsi="Times New Roman" w:cs="Times New Roman"/>
                <w:color w:val="auto"/>
                <w:szCs w:val="21"/>
              </w:rPr>
            </w:pPr>
            <w:r>
              <w:rPr>
                <w:rFonts w:ascii="Times New Roman" w:hAnsi="Times New Roman" w:cs="Times New Roman"/>
                <w:color w:val="auto"/>
                <w:szCs w:val="21"/>
              </w:rPr>
              <w:t>使用绝缘性能不符合规范的电线、电缆（破损、裸露、花线）</w:t>
            </w:r>
          </w:p>
        </w:tc>
        <w:tc>
          <w:tcPr>
            <w:tcW w:w="1417" w:type="dxa"/>
            <w:vAlign w:val="center"/>
          </w:tcPr>
          <w:p w14:paraId="06E2AE71">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3A14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2241CB0F">
            <w:pPr>
              <w:jc w:val="center"/>
              <w:rPr>
                <w:rFonts w:ascii="Times New Roman" w:hAnsi="Times New Roman" w:cs="Times New Roman"/>
                <w:color w:val="auto"/>
                <w:szCs w:val="21"/>
              </w:rPr>
            </w:pPr>
            <w:r>
              <w:rPr>
                <w:rFonts w:ascii="Times New Roman" w:hAnsi="Times New Roman" w:cs="Times New Roman"/>
                <w:color w:val="auto"/>
                <w:szCs w:val="21"/>
              </w:rPr>
              <w:t>21</w:t>
            </w:r>
          </w:p>
        </w:tc>
        <w:tc>
          <w:tcPr>
            <w:tcW w:w="1134" w:type="dxa"/>
            <w:vMerge w:val="continue"/>
            <w:vAlign w:val="center"/>
          </w:tcPr>
          <w:p w14:paraId="3BFF1BBC">
            <w:pPr>
              <w:jc w:val="center"/>
              <w:rPr>
                <w:rFonts w:ascii="Times New Roman" w:hAnsi="Times New Roman" w:cs="Times New Roman"/>
                <w:color w:val="auto"/>
                <w:szCs w:val="21"/>
              </w:rPr>
            </w:pPr>
          </w:p>
        </w:tc>
        <w:tc>
          <w:tcPr>
            <w:tcW w:w="6379" w:type="dxa"/>
            <w:vAlign w:val="center"/>
          </w:tcPr>
          <w:p w14:paraId="2C22814C">
            <w:pPr>
              <w:rPr>
                <w:rFonts w:ascii="Times New Roman" w:hAnsi="Times New Roman" w:cs="Times New Roman"/>
                <w:color w:val="auto"/>
                <w:szCs w:val="21"/>
              </w:rPr>
            </w:pPr>
            <w:r>
              <w:rPr>
                <w:rFonts w:ascii="Times New Roman" w:hAnsi="Times New Roman" w:cs="Times New Roman"/>
                <w:color w:val="auto"/>
                <w:szCs w:val="21"/>
              </w:rPr>
              <w:t>使用有触漏电隐患的照明灯具（无防护罩碘钨灯、草坪灯等）</w:t>
            </w:r>
          </w:p>
        </w:tc>
        <w:tc>
          <w:tcPr>
            <w:tcW w:w="1417" w:type="dxa"/>
            <w:vAlign w:val="center"/>
          </w:tcPr>
          <w:p w14:paraId="5B0E9607">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3DE3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0A7FCF93">
            <w:pPr>
              <w:jc w:val="center"/>
              <w:rPr>
                <w:rFonts w:ascii="Times New Roman" w:hAnsi="Times New Roman" w:cs="Times New Roman"/>
                <w:color w:val="auto"/>
                <w:szCs w:val="21"/>
              </w:rPr>
            </w:pPr>
            <w:r>
              <w:rPr>
                <w:rFonts w:ascii="Times New Roman" w:hAnsi="Times New Roman" w:cs="Times New Roman"/>
                <w:color w:val="auto"/>
                <w:szCs w:val="21"/>
              </w:rPr>
              <w:t>22</w:t>
            </w:r>
          </w:p>
        </w:tc>
        <w:tc>
          <w:tcPr>
            <w:tcW w:w="1134" w:type="dxa"/>
            <w:vMerge w:val="continue"/>
            <w:vAlign w:val="center"/>
          </w:tcPr>
          <w:p w14:paraId="0D117FEF">
            <w:pPr>
              <w:jc w:val="center"/>
              <w:rPr>
                <w:rFonts w:ascii="Times New Roman" w:hAnsi="Times New Roman" w:cs="Times New Roman"/>
                <w:color w:val="auto"/>
                <w:szCs w:val="21"/>
              </w:rPr>
            </w:pPr>
          </w:p>
        </w:tc>
        <w:tc>
          <w:tcPr>
            <w:tcW w:w="6379" w:type="dxa"/>
            <w:vAlign w:val="center"/>
          </w:tcPr>
          <w:p w14:paraId="5638138E">
            <w:pPr>
              <w:rPr>
                <w:rFonts w:ascii="Times New Roman" w:hAnsi="Times New Roman" w:cs="Times New Roman"/>
                <w:color w:val="auto"/>
                <w:szCs w:val="21"/>
              </w:rPr>
            </w:pPr>
            <w:r>
              <w:rPr>
                <w:rFonts w:ascii="Times New Roman" w:hAnsi="Times New Roman" w:cs="Times New Roman"/>
                <w:color w:val="auto"/>
                <w:szCs w:val="21"/>
              </w:rPr>
              <w:t>充电工具在充电状态下无人看护，人离开时未断电。</w:t>
            </w:r>
          </w:p>
        </w:tc>
        <w:tc>
          <w:tcPr>
            <w:tcW w:w="1417" w:type="dxa"/>
            <w:vAlign w:val="center"/>
          </w:tcPr>
          <w:p w14:paraId="4EF8AF2C">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3E773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1F352C76">
            <w:pPr>
              <w:jc w:val="center"/>
              <w:rPr>
                <w:rFonts w:ascii="Times New Roman" w:hAnsi="Times New Roman" w:cs="Times New Roman"/>
                <w:color w:val="auto"/>
                <w:szCs w:val="21"/>
              </w:rPr>
            </w:pPr>
            <w:r>
              <w:rPr>
                <w:rFonts w:ascii="Times New Roman" w:hAnsi="Times New Roman" w:cs="Times New Roman"/>
                <w:color w:val="auto"/>
                <w:szCs w:val="21"/>
              </w:rPr>
              <w:t>23</w:t>
            </w:r>
          </w:p>
        </w:tc>
        <w:tc>
          <w:tcPr>
            <w:tcW w:w="1134" w:type="dxa"/>
            <w:vMerge w:val="continue"/>
            <w:vAlign w:val="center"/>
          </w:tcPr>
          <w:p w14:paraId="52CE6063">
            <w:pPr>
              <w:jc w:val="center"/>
              <w:rPr>
                <w:rFonts w:ascii="Times New Roman" w:hAnsi="Times New Roman" w:cs="Times New Roman"/>
                <w:color w:val="auto"/>
                <w:szCs w:val="21"/>
              </w:rPr>
            </w:pPr>
          </w:p>
        </w:tc>
        <w:tc>
          <w:tcPr>
            <w:tcW w:w="6379" w:type="dxa"/>
            <w:vAlign w:val="center"/>
          </w:tcPr>
          <w:p w14:paraId="7C489F42">
            <w:pPr>
              <w:rPr>
                <w:rFonts w:ascii="Times New Roman" w:hAnsi="Times New Roman" w:cs="Times New Roman"/>
                <w:color w:val="auto"/>
                <w:szCs w:val="21"/>
              </w:rPr>
            </w:pPr>
            <w:r>
              <w:rPr>
                <w:rFonts w:ascii="Times New Roman" w:hAnsi="Times New Roman" w:cs="Times New Roman"/>
                <w:color w:val="auto"/>
                <w:szCs w:val="21"/>
              </w:rPr>
              <w:t>蓄意破坏施工现场电箱、电缆（</w:t>
            </w:r>
            <w:r>
              <w:rPr>
                <w:rFonts w:ascii="Times New Roman" w:hAnsi="Times New Roman" w:cs="Times New Roman"/>
                <w:color w:val="auto"/>
                <w:kern w:val="0"/>
                <w:szCs w:val="21"/>
              </w:rPr>
              <w:t>照价赔偿</w:t>
            </w:r>
            <w:r>
              <w:rPr>
                <w:rFonts w:ascii="Times New Roman" w:hAnsi="Times New Roman" w:cs="Times New Roman"/>
                <w:color w:val="auto"/>
                <w:szCs w:val="21"/>
              </w:rPr>
              <w:t>）</w:t>
            </w:r>
          </w:p>
        </w:tc>
        <w:tc>
          <w:tcPr>
            <w:tcW w:w="1417" w:type="dxa"/>
            <w:vAlign w:val="center"/>
          </w:tcPr>
          <w:p w14:paraId="124A7424">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2F4C1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0EC0F677">
            <w:pPr>
              <w:jc w:val="center"/>
              <w:rPr>
                <w:rFonts w:ascii="Times New Roman" w:hAnsi="Times New Roman" w:cs="Times New Roman"/>
                <w:color w:val="auto"/>
                <w:szCs w:val="21"/>
              </w:rPr>
            </w:pPr>
            <w:r>
              <w:rPr>
                <w:rFonts w:ascii="Times New Roman" w:hAnsi="Times New Roman" w:cs="Times New Roman"/>
                <w:color w:val="auto"/>
                <w:szCs w:val="21"/>
              </w:rPr>
              <w:t>24</w:t>
            </w:r>
          </w:p>
        </w:tc>
        <w:tc>
          <w:tcPr>
            <w:tcW w:w="1134" w:type="dxa"/>
            <w:vMerge w:val="restart"/>
            <w:vAlign w:val="center"/>
          </w:tcPr>
          <w:p w14:paraId="143D3D01">
            <w:pPr>
              <w:jc w:val="center"/>
              <w:rPr>
                <w:rFonts w:ascii="Times New Roman" w:hAnsi="Times New Roman" w:cs="Times New Roman"/>
                <w:color w:val="auto"/>
                <w:szCs w:val="21"/>
              </w:rPr>
            </w:pPr>
            <w:r>
              <w:rPr>
                <w:rFonts w:ascii="Times New Roman" w:hAnsi="Times New Roman" w:cs="Times New Roman"/>
                <w:color w:val="auto"/>
                <w:szCs w:val="21"/>
              </w:rPr>
              <w:t>高处作业</w:t>
            </w:r>
          </w:p>
          <w:p w14:paraId="33AF93B0">
            <w:pPr>
              <w:jc w:val="center"/>
              <w:rPr>
                <w:rFonts w:ascii="Times New Roman" w:hAnsi="Times New Roman" w:cs="Times New Roman"/>
                <w:color w:val="auto"/>
                <w:szCs w:val="21"/>
              </w:rPr>
            </w:pPr>
            <w:r>
              <w:rPr>
                <w:rFonts w:ascii="Times New Roman" w:hAnsi="Times New Roman" w:cs="Times New Roman"/>
                <w:color w:val="auto"/>
                <w:szCs w:val="21"/>
              </w:rPr>
              <w:t>平台</w:t>
            </w:r>
          </w:p>
        </w:tc>
        <w:tc>
          <w:tcPr>
            <w:tcW w:w="6379" w:type="dxa"/>
            <w:vAlign w:val="center"/>
          </w:tcPr>
          <w:p w14:paraId="3D139169">
            <w:pPr>
              <w:rPr>
                <w:rFonts w:ascii="Times New Roman" w:hAnsi="Times New Roman" w:cs="Times New Roman"/>
                <w:color w:val="auto"/>
                <w:szCs w:val="21"/>
              </w:rPr>
            </w:pPr>
            <w:r>
              <w:rPr>
                <w:rFonts w:ascii="Times New Roman" w:hAnsi="Times New Roman" w:cs="Times New Roman"/>
                <w:color w:val="auto"/>
                <w:szCs w:val="21"/>
              </w:rPr>
              <w:t>用人字梯作为高处作业平台支撑部件</w:t>
            </w:r>
          </w:p>
        </w:tc>
        <w:tc>
          <w:tcPr>
            <w:tcW w:w="1417" w:type="dxa"/>
            <w:vAlign w:val="center"/>
          </w:tcPr>
          <w:p w14:paraId="3D453CBE">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071F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3E32A094">
            <w:pPr>
              <w:jc w:val="center"/>
              <w:rPr>
                <w:rFonts w:ascii="Times New Roman" w:hAnsi="Times New Roman" w:cs="Times New Roman"/>
                <w:color w:val="auto"/>
                <w:szCs w:val="21"/>
              </w:rPr>
            </w:pPr>
            <w:r>
              <w:rPr>
                <w:rFonts w:ascii="Times New Roman" w:hAnsi="Times New Roman" w:cs="Times New Roman"/>
                <w:color w:val="auto"/>
                <w:szCs w:val="21"/>
              </w:rPr>
              <w:t>25</w:t>
            </w:r>
          </w:p>
        </w:tc>
        <w:tc>
          <w:tcPr>
            <w:tcW w:w="1134" w:type="dxa"/>
            <w:vMerge w:val="continue"/>
            <w:vAlign w:val="center"/>
          </w:tcPr>
          <w:p w14:paraId="19EAF83C">
            <w:pPr>
              <w:rPr>
                <w:rFonts w:ascii="Times New Roman" w:hAnsi="Times New Roman" w:cs="Times New Roman"/>
                <w:color w:val="auto"/>
                <w:szCs w:val="21"/>
              </w:rPr>
            </w:pPr>
          </w:p>
        </w:tc>
        <w:tc>
          <w:tcPr>
            <w:tcW w:w="6379" w:type="dxa"/>
            <w:vAlign w:val="center"/>
          </w:tcPr>
          <w:p w14:paraId="058A32DC">
            <w:pPr>
              <w:rPr>
                <w:rFonts w:ascii="Times New Roman" w:hAnsi="Times New Roman" w:cs="Times New Roman"/>
                <w:color w:val="auto"/>
                <w:szCs w:val="21"/>
              </w:rPr>
            </w:pPr>
            <w:r>
              <w:rPr>
                <w:rFonts w:ascii="Times New Roman" w:hAnsi="Times New Roman" w:cs="Times New Roman"/>
                <w:color w:val="auto"/>
                <w:szCs w:val="21"/>
              </w:rPr>
              <w:t>活动脚手架组装、支撑不牢固，作业面无可靠防护栏杆</w:t>
            </w:r>
          </w:p>
        </w:tc>
        <w:tc>
          <w:tcPr>
            <w:tcW w:w="1417" w:type="dxa"/>
            <w:vAlign w:val="center"/>
          </w:tcPr>
          <w:p w14:paraId="05A04625">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3221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0712C5BE">
            <w:pPr>
              <w:jc w:val="center"/>
              <w:rPr>
                <w:rFonts w:ascii="Times New Roman" w:hAnsi="Times New Roman" w:cs="Times New Roman"/>
                <w:color w:val="auto"/>
                <w:szCs w:val="21"/>
              </w:rPr>
            </w:pPr>
            <w:r>
              <w:rPr>
                <w:rFonts w:ascii="Times New Roman" w:hAnsi="Times New Roman" w:cs="Times New Roman"/>
                <w:color w:val="auto"/>
                <w:szCs w:val="21"/>
              </w:rPr>
              <w:t>26</w:t>
            </w:r>
          </w:p>
        </w:tc>
        <w:tc>
          <w:tcPr>
            <w:tcW w:w="1134" w:type="dxa"/>
            <w:vMerge w:val="continue"/>
            <w:vAlign w:val="center"/>
          </w:tcPr>
          <w:p w14:paraId="1024FE48">
            <w:pPr>
              <w:rPr>
                <w:rFonts w:ascii="Times New Roman" w:hAnsi="Times New Roman" w:cs="Times New Roman"/>
                <w:color w:val="auto"/>
                <w:szCs w:val="21"/>
              </w:rPr>
            </w:pPr>
          </w:p>
        </w:tc>
        <w:tc>
          <w:tcPr>
            <w:tcW w:w="6379" w:type="dxa"/>
            <w:vAlign w:val="center"/>
          </w:tcPr>
          <w:p w14:paraId="2731AFB7">
            <w:pPr>
              <w:rPr>
                <w:rFonts w:ascii="Times New Roman" w:hAnsi="Times New Roman" w:cs="Times New Roman"/>
                <w:color w:val="auto"/>
                <w:szCs w:val="21"/>
              </w:rPr>
            </w:pPr>
            <w:r>
              <w:rPr>
                <w:rFonts w:ascii="Times New Roman" w:hAnsi="Times New Roman" w:cs="Times New Roman"/>
                <w:color w:val="auto"/>
                <w:szCs w:val="21"/>
              </w:rPr>
              <w:t>各类移动式操作平台在移动过程中站人</w:t>
            </w:r>
          </w:p>
        </w:tc>
        <w:tc>
          <w:tcPr>
            <w:tcW w:w="1417" w:type="dxa"/>
            <w:vAlign w:val="center"/>
          </w:tcPr>
          <w:p w14:paraId="3AF0340F">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7B88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596696DE">
            <w:pPr>
              <w:jc w:val="center"/>
              <w:rPr>
                <w:rFonts w:ascii="Times New Roman" w:hAnsi="Times New Roman" w:cs="Times New Roman"/>
                <w:color w:val="auto"/>
                <w:szCs w:val="21"/>
              </w:rPr>
            </w:pPr>
            <w:r>
              <w:rPr>
                <w:rFonts w:ascii="Times New Roman" w:hAnsi="Times New Roman" w:cs="Times New Roman"/>
                <w:color w:val="auto"/>
                <w:szCs w:val="21"/>
              </w:rPr>
              <w:t>27</w:t>
            </w:r>
          </w:p>
        </w:tc>
        <w:tc>
          <w:tcPr>
            <w:tcW w:w="1134" w:type="dxa"/>
            <w:vMerge w:val="continue"/>
            <w:vAlign w:val="center"/>
          </w:tcPr>
          <w:p w14:paraId="070155F7">
            <w:pPr>
              <w:rPr>
                <w:rFonts w:ascii="Times New Roman" w:hAnsi="Times New Roman" w:cs="Times New Roman"/>
                <w:color w:val="auto"/>
                <w:szCs w:val="21"/>
              </w:rPr>
            </w:pPr>
          </w:p>
        </w:tc>
        <w:tc>
          <w:tcPr>
            <w:tcW w:w="6379" w:type="dxa"/>
            <w:vAlign w:val="center"/>
          </w:tcPr>
          <w:p w14:paraId="415E1B35">
            <w:pPr>
              <w:rPr>
                <w:rFonts w:ascii="Times New Roman" w:hAnsi="Times New Roman" w:cs="Times New Roman"/>
                <w:color w:val="auto"/>
                <w:szCs w:val="21"/>
              </w:rPr>
            </w:pPr>
            <w:r>
              <w:rPr>
                <w:rFonts w:ascii="Times New Roman" w:hAnsi="Times New Roman" w:cs="Times New Roman"/>
                <w:color w:val="auto"/>
                <w:szCs w:val="21"/>
              </w:rPr>
              <w:t>高处作业平台集中码放材料（超出荷载要求），易坠物未入箱入袋</w:t>
            </w:r>
          </w:p>
        </w:tc>
        <w:tc>
          <w:tcPr>
            <w:tcW w:w="1417" w:type="dxa"/>
            <w:vAlign w:val="center"/>
          </w:tcPr>
          <w:p w14:paraId="4E0E557A">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17CC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4" w:type="dxa"/>
            <w:vAlign w:val="center"/>
          </w:tcPr>
          <w:p w14:paraId="56C166C4">
            <w:pPr>
              <w:jc w:val="center"/>
              <w:rPr>
                <w:rFonts w:ascii="Times New Roman" w:hAnsi="Times New Roman" w:cs="Times New Roman"/>
                <w:color w:val="auto"/>
                <w:szCs w:val="21"/>
              </w:rPr>
            </w:pPr>
            <w:r>
              <w:rPr>
                <w:rFonts w:ascii="Times New Roman" w:hAnsi="Times New Roman" w:cs="Times New Roman"/>
                <w:color w:val="auto"/>
                <w:szCs w:val="21"/>
              </w:rPr>
              <w:t>28</w:t>
            </w:r>
          </w:p>
        </w:tc>
        <w:tc>
          <w:tcPr>
            <w:tcW w:w="1134" w:type="dxa"/>
            <w:vMerge w:val="continue"/>
            <w:vAlign w:val="center"/>
          </w:tcPr>
          <w:p w14:paraId="109CDE94">
            <w:pPr>
              <w:rPr>
                <w:rFonts w:ascii="Times New Roman" w:hAnsi="Times New Roman" w:cs="Times New Roman"/>
                <w:color w:val="auto"/>
                <w:szCs w:val="21"/>
              </w:rPr>
            </w:pPr>
          </w:p>
        </w:tc>
        <w:tc>
          <w:tcPr>
            <w:tcW w:w="6379" w:type="dxa"/>
            <w:vAlign w:val="center"/>
          </w:tcPr>
          <w:p w14:paraId="0F2AFAE9">
            <w:pPr>
              <w:rPr>
                <w:rFonts w:ascii="Times New Roman" w:hAnsi="Times New Roman" w:cs="Times New Roman"/>
                <w:color w:val="auto"/>
                <w:szCs w:val="21"/>
              </w:rPr>
            </w:pPr>
            <w:r>
              <w:rPr>
                <w:rFonts w:ascii="Times New Roman" w:hAnsi="Times New Roman" w:cs="Times New Roman"/>
                <w:color w:val="auto"/>
                <w:szCs w:val="21"/>
              </w:rPr>
              <w:t>私自拆除各类操作平台受力构件、作业层及临边洞口防护设施</w:t>
            </w:r>
          </w:p>
        </w:tc>
        <w:tc>
          <w:tcPr>
            <w:tcW w:w="1417" w:type="dxa"/>
            <w:vAlign w:val="center"/>
          </w:tcPr>
          <w:p w14:paraId="2E0658A3">
            <w:pPr>
              <w:jc w:val="center"/>
              <w:rPr>
                <w:rFonts w:ascii="Times New Roman" w:hAnsi="Times New Roman" w:cs="Times New Roman"/>
                <w:color w:val="auto"/>
                <w:szCs w:val="21"/>
              </w:rPr>
            </w:pPr>
            <w:r>
              <w:rPr>
                <w:rFonts w:ascii="Times New Roman" w:hAnsi="Times New Roman" w:cs="Times New Roman"/>
                <w:color w:val="auto"/>
                <w:kern w:val="0"/>
                <w:szCs w:val="21"/>
              </w:rPr>
              <w:t>1000元/次</w:t>
            </w:r>
          </w:p>
        </w:tc>
      </w:tr>
      <w:tr w14:paraId="5E277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04" w:type="dxa"/>
            <w:vAlign w:val="center"/>
          </w:tcPr>
          <w:p w14:paraId="0C1F1A94">
            <w:pPr>
              <w:jc w:val="center"/>
              <w:rPr>
                <w:rFonts w:ascii="Times New Roman" w:hAnsi="Times New Roman" w:eastAsia="宋体" w:cs="Times New Roman"/>
                <w:color w:val="auto"/>
                <w:szCs w:val="21"/>
              </w:rPr>
            </w:pPr>
            <w:r>
              <w:rPr>
                <w:rFonts w:ascii="Times New Roman" w:hAnsi="Times New Roman" w:eastAsia="宋体" w:cs="Times New Roman"/>
                <w:b/>
                <w:bCs/>
                <w:color w:val="auto"/>
                <w:kern w:val="0"/>
                <w:szCs w:val="21"/>
              </w:rPr>
              <w:t>序号</w:t>
            </w:r>
          </w:p>
        </w:tc>
        <w:tc>
          <w:tcPr>
            <w:tcW w:w="1134" w:type="dxa"/>
            <w:vAlign w:val="center"/>
          </w:tcPr>
          <w:p w14:paraId="52C23C84">
            <w:pPr>
              <w:jc w:val="center"/>
              <w:rPr>
                <w:rFonts w:ascii="Times New Roman" w:hAnsi="Times New Roman" w:eastAsia="宋体" w:cs="Times New Roman"/>
                <w:color w:val="auto"/>
                <w:szCs w:val="21"/>
              </w:rPr>
            </w:pPr>
            <w:r>
              <w:rPr>
                <w:rFonts w:ascii="Times New Roman" w:hAnsi="Times New Roman" w:eastAsia="宋体" w:cs="Times New Roman"/>
                <w:b/>
                <w:bCs/>
                <w:color w:val="auto"/>
                <w:kern w:val="0"/>
                <w:szCs w:val="21"/>
              </w:rPr>
              <w:t>安全分项</w:t>
            </w:r>
          </w:p>
        </w:tc>
        <w:tc>
          <w:tcPr>
            <w:tcW w:w="6379" w:type="dxa"/>
            <w:vAlign w:val="center"/>
          </w:tcPr>
          <w:p w14:paraId="5410F84E">
            <w:pPr>
              <w:jc w:val="center"/>
              <w:rPr>
                <w:rFonts w:ascii="Times New Roman" w:hAnsi="Times New Roman" w:eastAsia="宋体" w:cs="Times New Roman"/>
                <w:color w:val="auto"/>
                <w:szCs w:val="21"/>
              </w:rPr>
            </w:pPr>
            <w:r>
              <w:rPr>
                <w:rFonts w:ascii="Times New Roman" w:hAnsi="Times New Roman" w:eastAsia="宋体" w:cs="Times New Roman"/>
                <w:b/>
                <w:bCs/>
                <w:color w:val="auto"/>
                <w:kern w:val="0"/>
                <w:szCs w:val="21"/>
              </w:rPr>
              <w:t>事项</w:t>
            </w:r>
          </w:p>
        </w:tc>
        <w:tc>
          <w:tcPr>
            <w:tcW w:w="1417" w:type="dxa"/>
            <w:vAlign w:val="center"/>
          </w:tcPr>
          <w:p w14:paraId="43D1B47A">
            <w:pPr>
              <w:jc w:val="center"/>
              <w:rPr>
                <w:rFonts w:ascii="Times New Roman" w:hAnsi="Times New Roman" w:eastAsia="宋体" w:cs="Times New Roman"/>
                <w:color w:val="auto"/>
                <w:kern w:val="0"/>
                <w:szCs w:val="21"/>
              </w:rPr>
            </w:pPr>
            <w:r>
              <w:rPr>
                <w:rFonts w:ascii="Times New Roman" w:hAnsi="Times New Roman" w:eastAsia="宋体" w:cs="Times New Roman"/>
                <w:b/>
                <w:bCs/>
                <w:color w:val="auto"/>
                <w:kern w:val="0"/>
                <w:szCs w:val="21"/>
              </w:rPr>
              <w:t>违约处罚</w:t>
            </w:r>
          </w:p>
        </w:tc>
      </w:tr>
      <w:tr w14:paraId="45DE6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3668145E">
            <w:pPr>
              <w:jc w:val="center"/>
              <w:rPr>
                <w:rFonts w:ascii="Times New Roman" w:hAnsi="Times New Roman" w:cs="Times New Roman"/>
                <w:color w:val="auto"/>
                <w:szCs w:val="21"/>
              </w:rPr>
            </w:pPr>
            <w:r>
              <w:rPr>
                <w:rFonts w:ascii="Times New Roman" w:hAnsi="Times New Roman" w:cs="Times New Roman"/>
                <w:color w:val="auto"/>
                <w:szCs w:val="21"/>
              </w:rPr>
              <w:t>29</w:t>
            </w:r>
          </w:p>
        </w:tc>
        <w:tc>
          <w:tcPr>
            <w:tcW w:w="1134" w:type="dxa"/>
            <w:vMerge w:val="restart"/>
            <w:vAlign w:val="center"/>
          </w:tcPr>
          <w:p w14:paraId="66900724">
            <w:pPr>
              <w:jc w:val="center"/>
              <w:rPr>
                <w:rFonts w:ascii="Times New Roman" w:hAnsi="Times New Roman" w:cs="Times New Roman"/>
                <w:color w:val="auto"/>
                <w:szCs w:val="21"/>
              </w:rPr>
            </w:pPr>
            <w:r>
              <w:rPr>
                <w:rFonts w:ascii="Times New Roman" w:hAnsi="Times New Roman" w:cs="Times New Roman"/>
                <w:color w:val="auto"/>
                <w:szCs w:val="21"/>
              </w:rPr>
              <w:t>施工机械</w:t>
            </w:r>
          </w:p>
          <w:p w14:paraId="2517FC34">
            <w:pPr>
              <w:jc w:val="center"/>
              <w:rPr>
                <w:rFonts w:ascii="Times New Roman" w:hAnsi="Times New Roman" w:cs="Times New Roman"/>
                <w:color w:val="auto"/>
                <w:szCs w:val="21"/>
              </w:rPr>
            </w:pPr>
            <w:r>
              <w:rPr>
                <w:rFonts w:ascii="Times New Roman" w:hAnsi="Times New Roman" w:cs="Times New Roman"/>
                <w:color w:val="auto"/>
                <w:szCs w:val="21"/>
              </w:rPr>
              <w:t>及操作</w:t>
            </w:r>
          </w:p>
        </w:tc>
        <w:tc>
          <w:tcPr>
            <w:tcW w:w="6379" w:type="dxa"/>
            <w:vAlign w:val="center"/>
          </w:tcPr>
          <w:p w14:paraId="368C0E0C">
            <w:pPr>
              <w:jc w:val="left"/>
              <w:rPr>
                <w:rFonts w:ascii="Times New Roman" w:hAnsi="Times New Roman" w:cs="Times New Roman"/>
                <w:color w:val="auto"/>
                <w:szCs w:val="21"/>
              </w:rPr>
            </w:pPr>
            <w:r>
              <w:rPr>
                <w:rFonts w:ascii="Times New Roman" w:hAnsi="Times New Roman" w:cs="Times New Roman"/>
                <w:color w:val="auto"/>
                <w:szCs w:val="21"/>
              </w:rPr>
              <w:t>交流电焊机未安装二次降压保护器</w:t>
            </w:r>
          </w:p>
        </w:tc>
        <w:tc>
          <w:tcPr>
            <w:tcW w:w="1417" w:type="dxa"/>
            <w:vAlign w:val="center"/>
          </w:tcPr>
          <w:p w14:paraId="50FD6F74">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0E06B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544E1515">
            <w:pPr>
              <w:jc w:val="center"/>
              <w:rPr>
                <w:rFonts w:ascii="Times New Roman" w:hAnsi="Times New Roman" w:cs="Times New Roman"/>
                <w:color w:val="auto"/>
                <w:szCs w:val="21"/>
              </w:rPr>
            </w:pPr>
            <w:r>
              <w:rPr>
                <w:rFonts w:ascii="Times New Roman" w:hAnsi="Times New Roman" w:cs="Times New Roman"/>
                <w:color w:val="auto"/>
                <w:szCs w:val="21"/>
              </w:rPr>
              <w:t>30</w:t>
            </w:r>
          </w:p>
        </w:tc>
        <w:tc>
          <w:tcPr>
            <w:tcW w:w="1134" w:type="dxa"/>
            <w:vMerge w:val="continue"/>
            <w:vAlign w:val="center"/>
          </w:tcPr>
          <w:p w14:paraId="2089B29E">
            <w:pPr>
              <w:jc w:val="center"/>
              <w:rPr>
                <w:rFonts w:ascii="Times New Roman" w:hAnsi="Times New Roman" w:cs="Times New Roman"/>
                <w:color w:val="auto"/>
                <w:szCs w:val="21"/>
              </w:rPr>
            </w:pPr>
          </w:p>
        </w:tc>
        <w:tc>
          <w:tcPr>
            <w:tcW w:w="6379" w:type="dxa"/>
            <w:vAlign w:val="center"/>
          </w:tcPr>
          <w:p w14:paraId="2792DFBB">
            <w:pPr>
              <w:jc w:val="left"/>
              <w:rPr>
                <w:rFonts w:ascii="Times New Roman" w:hAnsi="Times New Roman" w:cs="Times New Roman"/>
                <w:color w:val="auto"/>
                <w:szCs w:val="21"/>
              </w:rPr>
            </w:pPr>
            <w:r>
              <w:rPr>
                <w:rFonts w:ascii="Times New Roman" w:hAnsi="Times New Roman" w:cs="Times New Roman"/>
                <w:color w:val="auto"/>
                <w:szCs w:val="21"/>
              </w:rPr>
              <w:t>功率大于3KW机械未配备动力开关箱</w:t>
            </w:r>
          </w:p>
        </w:tc>
        <w:tc>
          <w:tcPr>
            <w:tcW w:w="1417" w:type="dxa"/>
            <w:vAlign w:val="center"/>
          </w:tcPr>
          <w:p w14:paraId="689A4441">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65F7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1101A144">
            <w:pPr>
              <w:jc w:val="center"/>
              <w:rPr>
                <w:rFonts w:ascii="Times New Roman" w:hAnsi="Times New Roman" w:cs="Times New Roman"/>
                <w:color w:val="auto"/>
                <w:szCs w:val="21"/>
              </w:rPr>
            </w:pPr>
            <w:r>
              <w:rPr>
                <w:rFonts w:ascii="Times New Roman" w:hAnsi="Times New Roman" w:cs="Times New Roman"/>
                <w:color w:val="auto"/>
                <w:szCs w:val="21"/>
              </w:rPr>
              <w:t>31</w:t>
            </w:r>
          </w:p>
        </w:tc>
        <w:tc>
          <w:tcPr>
            <w:tcW w:w="1134" w:type="dxa"/>
            <w:vMerge w:val="continue"/>
            <w:vAlign w:val="center"/>
          </w:tcPr>
          <w:p w14:paraId="2AE32719">
            <w:pPr>
              <w:jc w:val="center"/>
              <w:rPr>
                <w:rFonts w:ascii="Times New Roman" w:hAnsi="Times New Roman" w:cs="Times New Roman"/>
                <w:color w:val="auto"/>
                <w:szCs w:val="21"/>
              </w:rPr>
            </w:pPr>
          </w:p>
        </w:tc>
        <w:tc>
          <w:tcPr>
            <w:tcW w:w="6379" w:type="dxa"/>
            <w:vAlign w:val="center"/>
          </w:tcPr>
          <w:p w14:paraId="64F1ECB3">
            <w:pPr>
              <w:jc w:val="left"/>
              <w:rPr>
                <w:rFonts w:ascii="Times New Roman" w:hAnsi="Times New Roman" w:cs="Times New Roman"/>
                <w:color w:val="auto"/>
                <w:szCs w:val="21"/>
              </w:rPr>
            </w:pPr>
            <w:r>
              <w:rPr>
                <w:rFonts w:ascii="Times New Roman" w:hAnsi="Times New Roman" w:cs="Times New Roman"/>
                <w:color w:val="auto"/>
                <w:szCs w:val="21"/>
              </w:rPr>
              <w:t>施工机械各类安全防护罩缺失或失效</w:t>
            </w:r>
          </w:p>
        </w:tc>
        <w:tc>
          <w:tcPr>
            <w:tcW w:w="1417" w:type="dxa"/>
            <w:vAlign w:val="center"/>
          </w:tcPr>
          <w:p w14:paraId="6E24E2CA">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516BA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188C683D">
            <w:pPr>
              <w:jc w:val="center"/>
              <w:rPr>
                <w:rFonts w:ascii="Times New Roman" w:hAnsi="Times New Roman" w:cs="Times New Roman"/>
                <w:color w:val="auto"/>
                <w:szCs w:val="21"/>
              </w:rPr>
            </w:pPr>
            <w:r>
              <w:rPr>
                <w:rFonts w:ascii="Times New Roman" w:hAnsi="Times New Roman" w:cs="Times New Roman"/>
                <w:color w:val="auto"/>
                <w:szCs w:val="21"/>
              </w:rPr>
              <w:t>32</w:t>
            </w:r>
          </w:p>
        </w:tc>
        <w:tc>
          <w:tcPr>
            <w:tcW w:w="1134" w:type="dxa"/>
            <w:vMerge w:val="continue"/>
            <w:vAlign w:val="center"/>
          </w:tcPr>
          <w:p w14:paraId="78670D65">
            <w:pPr>
              <w:jc w:val="center"/>
              <w:rPr>
                <w:rFonts w:ascii="Times New Roman" w:hAnsi="Times New Roman" w:cs="Times New Roman"/>
                <w:color w:val="auto"/>
                <w:szCs w:val="21"/>
              </w:rPr>
            </w:pPr>
          </w:p>
        </w:tc>
        <w:tc>
          <w:tcPr>
            <w:tcW w:w="6379" w:type="dxa"/>
            <w:vAlign w:val="center"/>
          </w:tcPr>
          <w:p w14:paraId="0C58336E">
            <w:pPr>
              <w:jc w:val="left"/>
              <w:rPr>
                <w:rFonts w:ascii="Times New Roman" w:hAnsi="Times New Roman" w:cs="Times New Roman"/>
                <w:color w:val="auto"/>
                <w:szCs w:val="21"/>
              </w:rPr>
            </w:pPr>
            <w:r>
              <w:rPr>
                <w:rFonts w:ascii="Times New Roman" w:hAnsi="Times New Roman" w:cs="Times New Roman"/>
                <w:color w:val="auto"/>
                <w:szCs w:val="21"/>
              </w:rPr>
              <w:t>施工机械金属外壳无有效接地保护措施</w:t>
            </w:r>
          </w:p>
        </w:tc>
        <w:tc>
          <w:tcPr>
            <w:tcW w:w="1417" w:type="dxa"/>
            <w:vAlign w:val="center"/>
          </w:tcPr>
          <w:p w14:paraId="7242E4D1">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471A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672E5379">
            <w:pPr>
              <w:jc w:val="center"/>
              <w:rPr>
                <w:rFonts w:ascii="Times New Roman" w:hAnsi="Times New Roman" w:cs="Times New Roman"/>
                <w:color w:val="auto"/>
                <w:szCs w:val="21"/>
              </w:rPr>
            </w:pPr>
            <w:r>
              <w:rPr>
                <w:rFonts w:ascii="Times New Roman" w:hAnsi="Times New Roman" w:cs="Times New Roman"/>
                <w:color w:val="auto"/>
                <w:szCs w:val="21"/>
              </w:rPr>
              <w:t>33</w:t>
            </w:r>
          </w:p>
        </w:tc>
        <w:tc>
          <w:tcPr>
            <w:tcW w:w="1134" w:type="dxa"/>
            <w:vMerge w:val="continue"/>
            <w:vAlign w:val="center"/>
          </w:tcPr>
          <w:p w14:paraId="6815B366">
            <w:pPr>
              <w:jc w:val="center"/>
              <w:rPr>
                <w:rFonts w:ascii="Times New Roman" w:hAnsi="Times New Roman" w:cs="Times New Roman"/>
                <w:color w:val="auto"/>
                <w:szCs w:val="21"/>
              </w:rPr>
            </w:pPr>
          </w:p>
        </w:tc>
        <w:tc>
          <w:tcPr>
            <w:tcW w:w="6379" w:type="dxa"/>
            <w:vAlign w:val="center"/>
          </w:tcPr>
          <w:p w14:paraId="272BAC14">
            <w:pPr>
              <w:jc w:val="left"/>
              <w:rPr>
                <w:rFonts w:ascii="Times New Roman" w:hAnsi="Times New Roman" w:cs="Times New Roman"/>
                <w:color w:val="auto"/>
                <w:szCs w:val="21"/>
              </w:rPr>
            </w:pPr>
            <w:r>
              <w:rPr>
                <w:rFonts w:ascii="Times New Roman" w:hAnsi="Times New Roman" w:cs="Times New Roman"/>
                <w:color w:val="auto"/>
                <w:szCs w:val="21"/>
              </w:rPr>
              <w:t>带线手套操作带齿、带丝牙类转动机具</w:t>
            </w:r>
          </w:p>
        </w:tc>
        <w:tc>
          <w:tcPr>
            <w:tcW w:w="1417" w:type="dxa"/>
            <w:vAlign w:val="center"/>
          </w:tcPr>
          <w:p w14:paraId="153AEE67">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5F48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78AD9C40">
            <w:pPr>
              <w:jc w:val="center"/>
              <w:rPr>
                <w:rFonts w:ascii="Times New Roman" w:hAnsi="Times New Roman" w:cs="Times New Roman"/>
                <w:color w:val="auto"/>
                <w:szCs w:val="21"/>
              </w:rPr>
            </w:pPr>
            <w:r>
              <w:rPr>
                <w:rFonts w:ascii="Times New Roman" w:hAnsi="Times New Roman" w:cs="Times New Roman"/>
                <w:color w:val="auto"/>
                <w:szCs w:val="21"/>
              </w:rPr>
              <w:t>34</w:t>
            </w:r>
          </w:p>
        </w:tc>
        <w:tc>
          <w:tcPr>
            <w:tcW w:w="1134" w:type="dxa"/>
            <w:vMerge w:val="continue"/>
            <w:vAlign w:val="center"/>
          </w:tcPr>
          <w:p w14:paraId="65A64496">
            <w:pPr>
              <w:jc w:val="center"/>
              <w:rPr>
                <w:rFonts w:ascii="Times New Roman" w:hAnsi="Times New Roman" w:cs="Times New Roman"/>
                <w:color w:val="auto"/>
                <w:szCs w:val="21"/>
              </w:rPr>
            </w:pPr>
          </w:p>
        </w:tc>
        <w:tc>
          <w:tcPr>
            <w:tcW w:w="6379" w:type="dxa"/>
            <w:vAlign w:val="center"/>
          </w:tcPr>
          <w:p w14:paraId="5C2EBE67">
            <w:pPr>
              <w:jc w:val="left"/>
              <w:rPr>
                <w:rFonts w:ascii="Times New Roman" w:hAnsi="Times New Roman" w:cs="Times New Roman"/>
                <w:color w:val="auto"/>
                <w:szCs w:val="21"/>
              </w:rPr>
            </w:pPr>
            <w:r>
              <w:rPr>
                <w:rFonts w:ascii="Times New Roman" w:hAnsi="Times New Roman" w:cs="Times New Roman"/>
                <w:color w:val="auto"/>
                <w:szCs w:val="21"/>
              </w:rPr>
              <w:t>使用砂轮机以外设备打磨金属构件</w:t>
            </w:r>
          </w:p>
        </w:tc>
        <w:tc>
          <w:tcPr>
            <w:tcW w:w="1417" w:type="dxa"/>
            <w:vAlign w:val="center"/>
          </w:tcPr>
          <w:p w14:paraId="53D93F3C">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2724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7ECB2F32">
            <w:pPr>
              <w:jc w:val="center"/>
              <w:rPr>
                <w:rFonts w:ascii="Times New Roman" w:hAnsi="Times New Roman" w:cs="Times New Roman"/>
                <w:color w:val="auto"/>
                <w:szCs w:val="21"/>
              </w:rPr>
            </w:pPr>
            <w:r>
              <w:rPr>
                <w:rFonts w:ascii="Times New Roman" w:hAnsi="Times New Roman" w:cs="Times New Roman"/>
                <w:color w:val="auto"/>
                <w:szCs w:val="21"/>
              </w:rPr>
              <w:t>35</w:t>
            </w:r>
          </w:p>
        </w:tc>
        <w:tc>
          <w:tcPr>
            <w:tcW w:w="1134" w:type="dxa"/>
            <w:vMerge w:val="continue"/>
            <w:vAlign w:val="center"/>
          </w:tcPr>
          <w:p w14:paraId="542EAFE8">
            <w:pPr>
              <w:jc w:val="center"/>
              <w:rPr>
                <w:rFonts w:ascii="Times New Roman" w:hAnsi="Times New Roman" w:cs="Times New Roman"/>
                <w:color w:val="auto"/>
                <w:szCs w:val="21"/>
              </w:rPr>
            </w:pPr>
          </w:p>
        </w:tc>
        <w:tc>
          <w:tcPr>
            <w:tcW w:w="6379" w:type="dxa"/>
            <w:vAlign w:val="center"/>
          </w:tcPr>
          <w:p w14:paraId="606D7938">
            <w:pPr>
              <w:jc w:val="left"/>
              <w:rPr>
                <w:rFonts w:ascii="Times New Roman" w:hAnsi="Times New Roman" w:cs="Times New Roman"/>
                <w:color w:val="auto"/>
                <w:szCs w:val="21"/>
              </w:rPr>
            </w:pPr>
            <w:r>
              <w:rPr>
                <w:rFonts w:ascii="Times New Roman" w:hAnsi="Times New Roman" w:cs="Times New Roman"/>
                <w:color w:val="auto"/>
                <w:szCs w:val="21"/>
              </w:rPr>
              <w:t>使用的施工机械启停开关不符合规范要求</w:t>
            </w:r>
          </w:p>
        </w:tc>
        <w:tc>
          <w:tcPr>
            <w:tcW w:w="1417" w:type="dxa"/>
            <w:vAlign w:val="center"/>
          </w:tcPr>
          <w:p w14:paraId="2CB89852">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18AB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08288EEB">
            <w:pPr>
              <w:jc w:val="center"/>
              <w:rPr>
                <w:rFonts w:ascii="Times New Roman" w:hAnsi="Times New Roman" w:cs="Times New Roman"/>
                <w:color w:val="auto"/>
                <w:szCs w:val="21"/>
              </w:rPr>
            </w:pPr>
            <w:r>
              <w:rPr>
                <w:rFonts w:ascii="Times New Roman" w:hAnsi="Times New Roman" w:cs="Times New Roman"/>
                <w:color w:val="auto"/>
                <w:szCs w:val="21"/>
              </w:rPr>
              <w:t>36</w:t>
            </w:r>
          </w:p>
        </w:tc>
        <w:tc>
          <w:tcPr>
            <w:tcW w:w="1134" w:type="dxa"/>
            <w:vMerge w:val="continue"/>
            <w:vAlign w:val="center"/>
          </w:tcPr>
          <w:p w14:paraId="74AAA892">
            <w:pPr>
              <w:jc w:val="center"/>
              <w:rPr>
                <w:rFonts w:ascii="Times New Roman" w:hAnsi="Times New Roman" w:cs="Times New Roman"/>
                <w:color w:val="auto"/>
                <w:szCs w:val="21"/>
              </w:rPr>
            </w:pPr>
          </w:p>
        </w:tc>
        <w:tc>
          <w:tcPr>
            <w:tcW w:w="6379" w:type="dxa"/>
            <w:vAlign w:val="center"/>
          </w:tcPr>
          <w:p w14:paraId="4FA4C63D">
            <w:pPr>
              <w:jc w:val="left"/>
              <w:rPr>
                <w:rFonts w:ascii="Times New Roman" w:hAnsi="Times New Roman" w:cs="Times New Roman"/>
                <w:color w:val="auto"/>
                <w:szCs w:val="21"/>
              </w:rPr>
            </w:pPr>
            <w:r>
              <w:rPr>
                <w:rFonts w:ascii="Times New Roman" w:hAnsi="Times New Roman" w:cs="Times New Roman"/>
                <w:color w:val="auto"/>
                <w:szCs w:val="21"/>
              </w:rPr>
              <w:t>擅自使用项目部验收不合格或明令禁止使用的设备进行施工</w:t>
            </w:r>
          </w:p>
        </w:tc>
        <w:tc>
          <w:tcPr>
            <w:tcW w:w="1417" w:type="dxa"/>
            <w:vAlign w:val="center"/>
          </w:tcPr>
          <w:p w14:paraId="2210ADA6">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4C44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04E94585">
            <w:pPr>
              <w:jc w:val="center"/>
              <w:rPr>
                <w:rFonts w:ascii="Times New Roman" w:hAnsi="Times New Roman" w:cs="Times New Roman"/>
                <w:color w:val="auto"/>
                <w:szCs w:val="21"/>
              </w:rPr>
            </w:pPr>
            <w:r>
              <w:rPr>
                <w:rFonts w:ascii="Times New Roman" w:hAnsi="Times New Roman" w:cs="Times New Roman"/>
                <w:color w:val="auto"/>
                <w:szCs w:val="21"/>
              </w:rPr>
              <w:t>37</w:t>
            </w:r>
          </w:p>
        </w:tc>
        <w:tc>
          <w:tcPr>
            <w:tcW w:w="1134" w:type="dxa"/>
            <w:vMerge w:val="continue"/>
            <w:vAlign w:val="center"/>
          </w:tcPr>
          <w:p w14:paraId="3AC74CF5">
            <w:pPr>
              <w:jc w:val="center"/>
              <w:rPr>
                <w:rFonts w:ascii="Times New Roman" w:hAnsi="Times New Roman" w:cs="Times New Roman"/>
                <w:color w:val="auto"/>
                <w:szCs w:val="21"/>
              </w:rPr>
            </w:pPr>
          </w:p>
        </w:tc>
        <w:tc>
          <w:tcPr>
            <w:tcW w:w="6379" w:type="dxa"/>
            <w:vAlign w:val="center"/>
          </w:tcPr>
          <w:p w14:paraId="3D921EEC">
            <w:pPr>
              <w:jc w:val="left"/>
              <w:rPr>
                <w:rFonts w:ascii="Times New Roman" w:hAnsi="Times New Roman" w:cs="Times New Roman"/>
                <w:color w:val="auto"/>
                <w:szCs w:val="21"/>
              </w:rPr>
            </w:pPr>
            <w:r>
              <w:rPr>
                <w:rFonts w:ascii="Times New Roman" w:hAnsi="Times New Roman" w:cs="Times New Roman"/>
                <w:color w:val="auto"/>
                <w:szCs w:val="21"/>
              </w:rPr>
              <w:t>违反施工机械其他各类操作规程进行施工</w:t>
            </w:r>
          </w:p>
        </w:tc>
        <w:tc>
          <w:tcPr>
            <w:tcW w:w="1417" w:type="dxa"/>
            <w:vAlign w:val="center"/>
          </w:tcPr>
          <w:p w14:paraId="3B71D462">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6747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1EB1BF64">
            <w:pPr>
              <w:jc w:val="center"/>
              <w:rPr>
                <w:rFonts w:ascii="Times New Roman" w:hAnsi="Times New Roman" w:cs="Times New Roman"/>
                <w:color w:val="auto"/>
                <w:szCs w:val="21"/>
              </w:rPr>
            </w:pPr>
            <w:r>
              <w:rPr>
                <w:rFonts w:ascii="Times New Roman" w:hAnsi="Times New Roman" w:cs="Times New Roman"/>
                <w:color w:val="auto"/>
                <w:szCs w:val="21"/>
              </w:rPr>
              <w:t>38</w:t>
            </w:r>
          </w:p>
        </w:tc>
        <w:tc>
          <w:tcPr>
            <w:tcW w:w="1134" w:type="dxa"/>
            <w:vMerge w:val="restart"/>
            <w:vAlign w:val="center"/>
          </w:tcPr>
          <w:p w14:paraId="6C0BAFE9">
            <w:pPr>
              <w:jc w:val="center"/>
              <w:rPr>
                <w:rFonts w:ascii="Times New Roman" w:hAnsi="Times New Roman" w:cs="Times New Roman"/>
                <w:color w:val="auto"/>
                <w:szCs w:val="21"/>
              </w:rPr>
            </w:pPr>
            <w:r>
              <w:rPr>
                <w:rFonts w:ascii="Times New Roman" w:hAnsi="Times New Roman" w:cs="Times New Roman"/>
                <w:color w:val="auto"/>
                <w:szCs w:val="21"/>
              </w:rPr>
              <w:t>消防安全</w:t>
            </w:r>
          </w:p>
        </w:tc>
        <w:tc>
          <w:tcPr>
            <w:tcW w:w="6379" w:type="dxa"/>
            <w:vAlign w:val="center"/>
          </w:tcPr>
          <w:p w14:paraId="28A2D3E9">
            <w:pPr>
              <w:jc w:val="left"/>
              <w:rPr>
                <w:rFonts w:ascii="Times New Roman" w:hAnsi="Times New Roman" w:cs="Times New Roman"/>
                <w:color w:val="auto"/>
                <w:szCs w:val="21"/>
              </w:rPr>
            </w:pPr>
            <w:r>
              <w:rPr>
                <w:rFonts w:ascii="Times New Roman" w:hAnsi="Times New Roman" w:cs="Times New Roman"/>
                <w:color w:val="auto"/>
                <w:szCs w:val="21"/>
              </w:rPr>
              <w:t>施工人员在施工现场非指定区域吸烟</w:t>
            </w:r>
          </w:p>
        </w:tc>
        <w:tc>
          <w:tcPr>
            <w:tcW w:w="1417" w:type="dxa"/>
            <w:vAlign w:val="center"/>
          </w:tcPr>
          <w:p w14:paraId="5A638B27">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758CF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51D8BA3D">
            <w:pPr>
              <w:jc w:val="center"/>
              <w:rPr>
                <w:rFonts w:ascii="Times New Roman" w:hAnsi="Times New Roman" w:cs="Times New Roman"/>
                <w:color w:val="auto"/>
                <w:szCs w:val="21"/>
              </w:rPr>
            </w:pPr>
            <w:r>
              <w:rPr>
                <w:rFonts w:ascii="Times New Roman" w:hAnsi="Times New Roman" w:cs="Times New Roman"/>
                <w:color w:val="auto"/>
                <w:szCs w:val="21"/>
              </w:rPr>
              <w:t>39</w:t>
            </w:r>
          </w:p>
        </w:tc>
        <w:tc>
          <w:tcPr>
            <w:tcW w:w="1134" w:type="dxa"/>
            <w:vMerge w:val="continue"/>
            <w:vAlign w:val="center"/>
          </w:tcPr>
          <w:p w14:paraId="7E63C5E4">
            <w:pPr>
              <w:jc w:val="center"/>
              <w:rPr>
                <w:rFonts w:ascii="Times New Roman" w:hAnsi="Times New Roman" w:cs="Times New Roman"/>
                <w:color w:val="auto"/>
                <w:szCs w:val="21"/>
              </w:rPr>
            </w:pPr>
          </w:p>
        </w:tc>
        <w:tc>
          <w:tcPr>
            <w:tcW w:w="6379" w:type="dxa"/>
            <w:vAlign w:val="center"/>
          </w:tcPr>
          <w:p w14:paraId="30FA23A4">
            <w:pPr>
              <w:jc w:val="left"/>
              <w:rPr>
                <w:rFonts w:ascii="Times New Roman" w:hAnsi="Times New Roman" w:cs="Times New Roman"/>
                <w:color w:val="auto"/>
                <w:szCs w:val="21"/>
              </w:rPr>
            </w:pPr>
            <w:r>
              <w:rPr>
                <w:rFonts w:ascii="Times New Roman" w:hAnsi="Times New Roman" w:cs="Times New Roman"/>
                <w:color w:val="auto"/>
                <w:szCs w:val="21"/>
              </w:rPr>
              <w:t>易燃品存放和使用违反消防管理要求</w:t>
            </w:r>
          </w:p>
        </w:tc>
        <w:tc>
          <w:tcPr>
            <w:tcW w:w="1417" w:type="dxa"/>
            <w:vAlign w:val="center"/>
          </w:tcPr>
          <w:p w14:paraId="77957089">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130D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2C5484BE">
            <w:pPr>
              <w:jc w:val="center"/>
              <w:rPr>
                <w:rFonts w:ascii="Times New Roman" w:hAnsi="Times New Roman" w:cs="Times New Roman"/>
                <w:color w:val="auto"/>
                <w:szCs w:val="21"/>
              </w:rPr>
            </w:pPr>
            <w:r>
              <w:rPr>
                <w:rFonts w:ascii="Times New Roman" w:hAnsi="Times New Roman" w:cs="Times New Roman"/>
                <w:color w:val="auto"/>
                <w:szCs w:val="21"/>
              </w:rPr>
              <w:t>40</w:t>
            </w:r>
          </w:p>
        </w:tc>
        <w:tc>
          <w:tcPr>
            <w:tcW w:w="1134" w:type="dxa"/>
            <w:vMerge w:val="continue"/>
            <w:vAlign w:val="center"/>
          </w:tcPr>
          <w:p w14:paraId="55909C07">
            <w:pPr>
              <w:jc w:val="center"/>
              <w:rPr>
                <w:rFonts w:ascii="Times New Roman" w:hAnsi="Times New Roman" w:cs="Times New Roman"/>
                <w:color w:val="auto"/>
                <w:szCs w:val="21"/>
              </w:rPr>
            </w:pPr>
          </w:p>
        </w:tc>
        <w:tc>
          <w:tcPr>
            <w:tcW w:w="6379" w:type="dxa"/>
            <w:vAlign w:val="center"/>
          </w:tcPr>
          <w:p w14:paraId="6BDBCBAD">
            <w:pPr>
              <w:jc w:val="left"/>
              <w:rPr>
                <w:rFonts w:ascii="Times New Roman" w:hAnsi="Times New Roman" w:cs="Times New Roman"/>
                <w:color w:val="auto"/>
                <w:szCs w:val="21"/>
              </w:rPr>
            </w:pPr>
            <w:r>
              <w:rPr>
                <w:rFonts w:ascii="Times New Roman" w:hAnsi="Times New Roman" w:cs="Times New Roman"/>
                <w:color w:val="auto"/>
                <w:kern w:val="0"/>
                <w:szCs w:val="21"/>
              </w:rPr>
              <w:t>未发生火灾随意动用、毁坏灭火器、消防栓等消防器材</w:t>
            </w:r>
          </w:p>
        </w:tc>
        <w:tc>
          <w:tcPr>
            <w:tcW w:w="1417" w:type="dxa"/>
            <w:vAlign w:val="center"/>
          </w:tcPr>
          <w:p w14:paraId="34BBD08B">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19D3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4CCDE4BE">
            <w:pPr>
              <w:jc w:val="center"/>
              <w:rPr>
                <w:rFonts w:ascii="Times New Roman" w:hAnsi="Times New Roman" w:cs="Times New Roman"/>
                <w:color w:val="auto"/>
                <w:szCs w:val="21"/>
              </w:rPr>
            </w:pPr>
            <w:r>
              <w:rPr>
                <w:rFonts w:ascii="Times New Roman" w:hAnsi="Times New Roman" w:cs="Times New Roman"/>
                <w:color w:val="auto"/>
                <w:szCs w:val="21"/>
              </w:rPr>
              <w:t>41</w:t>
            </w:r>
          </w:p>
        </w:tc>
        <w:tc>
          <w:tcPr>
            <w:tcW w:w="1134" w:type="dxa"/>
            <w:vMerge w:val="continue"/>
            <w:vAlign w:val="center"/>
          </w:tcPr>
          <w:p w14:paraId="6CB33401">
            <w:pPr>
              <w:jc w:val="center"/>
              <w:rPr>
                <w:rFonts w:ascii="Times New Roman" w:hAnsi="Times New Roman" w:cs="Times New Roman"/>
                <w:color w:val="auto"/>
                <w:szCs w:val="21"/>
              </w:rPr>
            </w:pPr>
          </w:p>
        </w:tc>
        <w:tc>
          <w:tcPr>
            <w:tcW w:w="6379" w:type="dxa"/>
            <w:vAlign w:val="center"/>
          </w:tcPr>
          <w:p w14:paraId="6B2EC499">
            <w:pPr>
              <w:jc w:val="left"/>
              <w:rPr>
                <w:rFonts w:ascii="Times New Roman" w:hAnsi="Times New Roman" w:cs="Times New Roman"/>
                <w:color w:val="auto"/>
                <w:kern w:val="0"/>
                <w:szCs w:val="21"/>
              </w:rPr>
            </w:pPr>
            <w:r>
              <w:rPr>
                <w:rFonts w:ascii="Times New Roman" w:hAnsi="Times New Roman" w:cs="Times New Roman"/>
                <w:color w:val="auto"/>
                <w:kern w:val="0"/>
                <w:szCs w:val="21"/>
              </w:rPr>
              <w:t>施工现场动火作业消防措施不到位、无看火人</w:t>
            </w:r>
          </w:p>
        </w:tc>
        <w:tc>
          <w:tcPr>
            <w:tcW w:w="1417" w:type="dxa"/>
            <w:vAlign w:val="center"/>
          </w:tcPr>
          <w:p w14:paraId="503C33E2">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6108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6D6104A1">
            <w:pPr>
              <w:jc w:val="center"/>
              <w:rPr>
                <w:rFonts w:ascii="Times New Roman" w:hAnsi="Times New Roman" w:cs="Times New Roman"/>
                <w:color w:val="auto"/>
                <w:szCs w:val="21"/>
              </w:rPr>
            </w:pPr>
            <w:r>
              <w:rPr>
                <w:rFonts w:ascii="Times New Roman" w:hAnsi="Times New Roman" w:cs="Times New Roman"/>
                <w:color w:val="auto"/>
                <w:szCs w:val="21"/>
              </w:rPr>
              <w:t>42</w:t>
            </w:r>
          </w:p>
        </w:tc>
        <w:tc>
          <w:tcPr>
            <w:tcW w:w="1134" w:type="dxa"/>
            <w:vMerge w:val="continue"/>
            <w:vAlign w:val="center"/>
          </w:tcPr>
          <w:p w14:paraId="1AB237A8">
            <w:pPr>
              <w:jc w:val="center"/>
              <w:rPr>
                <w:rFonts w:ascii="Times New Roman" w:hAnsi="Times New Roman" w:cs="Times New Roman"/>
                <w:color w:val="auto"/>
                <w:szCs w:val="21"/>
              </w:rPr>
            </w:pPr>
          </w:p>
        </w:tc>
        <w:tc>
          <w:tcPr>
            <w:tcW w:w="6379" w:type="dxa"/>
            <w:vAlign w:val="center"/>
          </w:tcPr>
          <w:p w14:paraId="1E2566FE">
            <w:pPr>
              <w:jc w:val="left"/>
              <w:rPr>
                <w:rFonts w:ascii="Times New Roman" w:hAnsi="Times New Roman" w:cs="Times New Roman"/>
                <w:color w:val="auto"/>
                <w:kern w:val="0"/>
                <w:szCs w:val="21"/>
              </w:rPr>
            </w:pPr>
            <w:r>
              <w:rPr>
                <w:rFonts w:ascii="Times New Roman" w:hAnsi="Times New Roman" w:cs="Times New Roman"/>
                <w:color w:val="auto"/>
                <w:kern w:val="0"/>
                <w:szCs w:val="21"/>
              </w:rPr>
              <w:t>动火作业人员无证上岗或无动火许可手续擅自动火</w:t>
            </w:r>
          </w:p>
        </w:tc>
        <w:tc>
          <w:tcPr>
            <w:tcW w:w="1417" w:type="dxa"/>
            <w:vAlign w:val="center"/>
          </w:tcPr>
          <w:p w14:paraId="1FA4BB22">
            <w:pPr>
              <w:jc w:val="center"/>
              <w:rPr>
                <w:rFonts w:ascii="Times New Roman" w:hAnsi="Times New Roman" w:cs="Times New Roman"/>
                <w:color w:val="auto"/>
                <w:kern w:val="0"/>
                <w:szCs w:val="21"/>
              </w:rPr>
            </w:pPr>
            <w:r>
              <w:rPr>
                <w:rFonts w:ascii="Times New Roman" w:hAnsi="Times New Roman" w:cs="Times New Roman"/>
                <w:color w:val="auto"/>
                <w:kern w:val="0"/>
                <w:szCs w:val="21"/>
              </w:rPr>
              <w:t>1000元/次</w:t>
            </w:r>
          </w:p>
        </w:tc>
      </w:tr>
      <w:tr w14:paraId="44B94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1AF2CB2A">
            <w:pPr>
              <w:jc w:val="center"/>
              <w:rPr>
                <w:rFonts w:ascii="Times New Roman" w:hAnsi="Times New Roman" w:cs="Times New Roman"/>
                <w:color w:val="auto"/>
                <w:szCs w:val="21"/>
              </w:rPr>
            </w:pPr>
            <w:r>
              <w:rPr>
                <w:rFonts w:ascii="Times New Roman" w:hAnsi="Times New Roman" w:cs="Times New Roman"/>
                <w:color w:val="auto"/>
                <w:szCs w:val="21"/>
              </w:rPr>
              <w:t>43</w:t>
            </w:r>
          </w:p>
        </w:tc>
        <w:tc>
          <w:tcPr>
            <w:tcW w:w="1134" w:type="dxa"/>
            <w:vMerge w:val="continue"/>
            <w:vAlign w:val="center"/>
          </w:tcPr>
          <w:p w14:paraId="7D608D40">
            <w:pPr>
              <w:jc w:val="center"/>
              <w:rPr>
                <w:rFonts w:ascii="Times New Roman" w:hAnsi="Times New Roman" w:cs="Times New Roman"/>
                <w:color w:val="auto"/>
                <w:szCs w:val="21"/>
              </w:rPr>
            </w:pPr>
          </w:p>
        </w:tc>
        <w:tc>
          <w:tcPr>
            <w:tcW w:w="6379" w:type="dxa"/>
            <w:vAlign w:val="center"/>
          </w:tcPr>
          <w:p w14:paraId="2A7E0E25">
            <w:pPr>
              <w:jc w:val="left"/>
              <w:rPr>
                <w:rFonts w:ascii="Times New Roman" w:hAnsi="Times New Roman" w:cs="Times New Roman"/>
                <w:color w:val="auto"/>
                <w:kern w:val="0"/>
                <w:szCs w:val="21"/>
              </w:rPr>
            </w:pPr>
            <w:r>
              <w:rPr>
                <w:rFonts w:ascii="Times New Roman" w:hAnsi="Times New Roman" w:cs="Times New Roman"/>
                <w:color w:val="auto"/>
                <w:kern w:val="0"/>
                <w:szCs w:val="21"/>
              </w:rPr>
              <w:t>生活区宿舍内使用大功率用电设备</w:t>
            </w:r>
          </w:p>
        </w:tc>
        <w:tc>
          <w:tcPr>
            <w:tcW w:w="1417" w:type="dxa"/>
            <w:vAlign w:val="center"/>
          </w:tcPr>
          <w:p w14:paraId="4ED42984">
            <w:pPr>
              <w:jc w:val="center"/>
              <w:rPr>
                <w:rFonts w:ascii="Times New Roman" w:hAnsi="Times New Roman" w:cs="Times New Roman"/>
                <w:color w:val="auto"/>
                <w:kern w:val="0"/>
                <w:szCs w:val="21"/>
              </w:rPr>
            </w:pPr>
            <w:r>
              <w:rPr>
                <w:rFonts w:ascii="Times New Roman" w:hAnsi="Times New Roman" w:cs="Times New Roman"/>
                <w:color w:val="auto"/>
                <w:kern w:val="0"/>
                <w:szCs w:val="21"/>
              </w:rPr>
              <w:t>100元/次</w:t>
            </w:r>
          </w:p>
        </w:tc>
      </w:tr>
      <w:tr w14:paraId="2537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1F936530">
            <w:pPr>
              <w:jc w:val="center"/>
              <w:rPr>
                <w:rFonts w:ascii="Times New Roman" w:hAnsi="Times New Roman" w:cs="Times New Roman"/>
                <w:color w:val="auto"/>
                <w:szCs w:val="21"/>
              </w:rPr>
            </w:pPr>
            <w:r>
              <w:rPr>
                <w:rFonts w:ascii="Times New Roman" w:hAnsi="Times New Roman" w:cs="Times New Roman"/>
                <w:color w:val="auto"/>
                <w:szCs w:val="21"/>
              </w:rPr>
              <w:t>44</w:t>
            </w:r>
          </w:p>
        </w:tc>
        <w:tc>
          <w:tcPr>
            <w:tcW w:w="1134" w:type="dxa"/>
            <w:vMerge w:val="continue"/>
            <w:vAlign w:val="center"/>
          </w:tcPr>
          <w:p w14:paraId="515FEAAC">
            <w:pPr>
              <w:jc w:val="center"/>
              <w:rPr>
                <w:rFonts w:ascii="Times New Roman" w:hAnsi="Times New Roman" w:cs="Times New Roman"/>
                <w:color w:val="auto"/>
                <w:szCs w:val="21"/>
              </w:rPr>
            </w:pPr>
          </w:p>
        </w:tc>
        <w:tc>
          <w:tcPr>
            <w:tcW w:w="6379" w:type="dxa"/>
            <w:vAlign w:val="center"/>
          </w:tcPr>
          <w:p w14:paraId="04D50382">
            <w:pPr>
              <w:jc w:val="left"/>
              <w:rPr>
                <w:rFonts w:ascii="Times New Roman" w:hAnsi="Times New Roman" w:cs="Times New Roman"/>
                <w:color w:val="auto"/>
                <w:kern w:val="0"/>
                <w:szCs w:val="21"/>
              </w:rPr>
            </w:pPr>
            <w:r>
              <w:rPr>
                <w:rFonts w:ascii="Times New Roman" w:hAnsi="Times New Roman" w:cs="Times New Roman"/>
                <w:color w:val="auto"/>
                <w:kern w:val="0"/>
                <w:szCs w:val="21"/>
              </w:rPr>
              <w:t>生活区宿舍内存放易燃易爆物品、材料</w:t>
            </w:r>
          </w:p>
        </w:tc>
        <w:tc>
          <w:tcPr>
            <w:tcW w:w="1417" w:type="dxa"/>
            <w:vAlign w:val="center"/>
          </w:tcPr>
          <w:p w14:paraId="2159CB34">
            <w:pPr>
              <w:jc w:val="center"/>
              <w:rPr>
                <w:rFonts w:ascii="Times New Roman" w:hAnsi="Times New Roman" w:cs="Times New Roman"/>
                <w:color w:val="auto"/>
                <w:kern w:val="0"/>
                <w:szCs w:val="21"/>
              </w:rPr>
            </w:pPr>
            <w:r>
              <w:rPr>
                <w:rFonts w:ascii="Times New Roman" w:hAnsi="Times New Roman" w:cs="Times New Roman"/>
                <w:color w:val="auto"/>
                <w:kern w:val="0"/>
                <w:szCs w:val="21"/>
              </w:rPr>
              <w:t>1000元/次</w:t>
            </w:r>
          </w:p>
        </w:tc>
      </w:tr>
      <w:tr w14:paraId="2197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04" w:type="dxa"/>
            <w:vAlign w:val="center"/>
          </w:tcPr>
          <w:p w14:paraId="6DEC1850">
            <w:pPr>
              <w:jc w:val="center"/>
              <w:rPr>
                <w:rFonts w:ascii="Times New Roman" w:hAnsi="Times New Roman" w:cs="Times New Roman"/>
                <w:color w:val="auto"/>
                <w:szCs w:val="21"/>
              </w:rPr>
            </w:pPr>
            <w:r>
              <w:rPr>
                <w:rFonts w:ascii="Times New Roman" w:hAnsi="Times New Roman" w:cs="Times New Roman"/>
                <w:color w:val="auto"/>
                <w:szCs w:val="21"/>
              </w:rPr>
              <w:t>45</w:t>
            </w:r>
          </w:p>
        </w:tc>
        <w:tc>
          <w:tcPr>
            <w:tcW w:w="1134" w:type="dxa"/>
            <w:vMerge w:val="continue"/>
            <w:vAlign w:val="center"/>
          </w:tcPr>
          <w:p w14:paraId="529A92C1">
            <w:pPr>
              <w:jc w:val="center"/>
              <w:rPr>
                <w:rFonts w:ascii="Times New Roman" w:hAnsi="Times New Roman" w:cs="Times New Roman"/>
                <w:color w:val="auto"/>
                <w:szCs w:val="21"/>
              </w:rPr>
            </w:pPr>
          </w:p>
        </w:tc>
        <w:tc>
          <w:tcPr>
            <w:tcW w:w="6379" w:type="dxa"/>
            <w:vAlign w:val="center"/>
          </w:tcPr>
          <w:p w14:paraId="3D0595CD">
            <w:pPr>
              <w:jc w:val="left"/>
              <w:rPr>
                <w:rFonts w:ascii="Times New Roman" w:hAnsi="Times New Roman" w:cs="Times New Roman"/>
                <w:color w:val="auto"/>
                <w:kern w:val="0"/>
                <w:szCs w:val="21"/>
              </w:rPr>
            </w:pPr>
            <w:r>
              <w:rPr>
                <w:rFonts w:ascii="Times New Roman" w:hAnsi="Times New Roman" w:cs="Times New Roman"/>
                <w:color w:val="auto"/>
                <w:kern w:val="0"/>
                <w:szCs w:val="21"/>
              </w:rPr>
              <w:t>生活区宿舍内使用液化气灶等明火煮饭</w:t>
            </w:r>
          </w:p>
        </w:tc>
        <w:tc>
          <w:tcPr>
            <w:tcW w:w="1417" w:type="dxa"/>
            <w:vAlign w:val="center"/>
          </w:tcPr>
          <w:p w14:paraId="55D29E9C">
            <w:pPr>
              <w:jc w:val="center"/>
              <w:rPr>
                <w:rFonts w:ascii="Times New Roman" w:hAnsi="Times New Roman" w:cs="Times New Roman"/>
                <w:color w:val="auto"/>
                <w:kern w:val="0"/>
                <w:szCs w:val="21"/>
              </w:rPr>
            </w:pPr>
            <w:r>
              <w:rPr>
                <w:rFonts w:ascii="Times New Roman" w:hAnsi="Times New Roman" w:cs="Times New Roman"/>
                <w:color w:val="auto"/>
                <w:kern w:val="0"/>
                <w:szCs w:val="21"/>
              </w:rPr>
              <w:t>1000元/次</w:t>
            </w:r>
          </w:p>
        </w:tc>
      </w:tr>
      <w:tr w14:paraId="650F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Align w:val="center"/>
          </w:tcPr>
          <w:p w14:paraId="464F8E99">
            <w:pPr>
              <w:jc w:val="center"/>
              <w:rPr>
                <w:rFonts w:ascii="Times New Roman" w:hAnsi="Times New Roman" w:cs="Times New Roman"/>
                <w:color w:val="auto"/>
                <w:szCs w:val="21"/>
              </w:rPr>
            </w:pPr>
            <w:r>
              <w:rPr>
                <w:rFonts w:ascii="Times New Roman" w:hAnsi="Times New Roman" w:cs="Times New Roman"/>
                <w:color w:val="auto"/>
                <w:szCs w:val="21"/>
              </w:rPr>
              <w:t>46</w:t>
            </w:r>
          </w:p>
        </w:tc>
        <w:tc>
          <w:tcPr>
            <w:tcW w:w="1134" w:type="dxa"/>
            <w:vAlign w:val="center"/>
          </w:tcPr>
          <w:p w14:paraId="3EF68722">
            <w:pPr>
              <w:jc w:val="center"/>
              <w:rPr>
                <w:rFonts w:ascii="Times New Roman" w:hAnsi="Times New Roman" w:cs="Times New Roman"/>
                <w:color w:val="auto"/>
                <w:szCs w:val="21"/>
              </w:rPr>
            </w:pPr>
            <w:r>
              <w:rPr>
                <w:rFonts w:ascii="Times New Roman" w:hAnsi="Times New Roman" w:cs="Times New Roman"/>
                <w:color w:val="auto"/>
                <w:szCs w:val="21"/>
              </w:rPr>
              <w:t>特种作业</w:t>
            </w:r>
          </w:p>
          <w:p w14:paraId="15ACDF99">
            <w:pPr>
              <w:jc w:val="center"/>
              <w:rPr>
                <w:rFonts w:ascii="Times New Roman" w:hAnsi="Times New Roman" w:cs="Times New Roman"/>
                <w:color w:val="auto"/>
                <w:szCs w:val="21"/>
              </w:rPr>
            </w:pPr>
            <w:r>
              <w:rPr>
                <w:rFonts w:ascii="Times New Roman" w:hAnsi="Times New Roman" w:cs="Times New Roman"/>
                <w:color w:val="auto"/>
                <w:szCs w:val="21"/>
              </w:rPr>
              <w:t>施工</w:t>
            </w:r>
          </w:p>
        </w:tc>
        <w:tc>
          <w:tcPr>
            <w:tcW w:w="6379" w:type="dxa"/>
            <w:vAlign w:val="center"/>
          </w:tcPr>
          <w:p w14:paraId="4462ABB9">
            <w:pPr>
              <w:jc w:val="left"/>
              <w:rPr>
                <w:rFonts w:ascii="Times New Roman" w:hAnsi="Times New Roman" w:cs="Times New Roman"/>
                <w:color w:val="auto"/>
                <w:szCs w:val="21"/>
              </w:rPr>
            </w:pPr>
            <w:r>
              <w:rPr>
                <w:rFonts w:ascii="Times New Roman" w:hAnsi="Times New Roman" w:cs="Times New Roman"/>
                <w:color w:val="auto"/>
                <w:szCs w:val="21"/>
              </w:rPr>
              <w:t>人员无证从事特种作业（电工、电焊工、架子工等）</w:t>
            </w:r>
          </w:p>
        </w:tc>
        <w:tc>
          <w:tcPr>
            <w:tcW w:w="1417" w:type="dxa"/>
            <w:vAlign w:val="center"/>
          </w:tcPr>
          <w:p w14:paraId="3AFA933C">
            <w:pPr>
              <w:jc w:val="center"/>
              <w:rPr>
                <w:rFonts w:ascii="Times New Roman" w:hAnsi="Times New Roman" w:cs="Times New Roman"/>
                <w:color w:val="auto"/>
                <w:kern w:val="0"/>
                <w:szCs w:val="21"/>
              </w:rPr>
            </w:pPr>
            <w:r>
              <w:rPr>
                <w:rFonts w:ascii="Times New Roman" w:hAnsi="Times New Roman" w:cs="Times New Roman"/>
                <w:color w:val="auto"/>
                <w:kern w:val="0"/>
                <w:szCs w:val="21"/>
              </w:rPr>
              <w:t>1000元/次</w:t>
            </w:r>
          </w:p>
        </w:tc>
      </w:tr>
      <w:tr w14:paraId="72EC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04" w:type="dxa"/>
            <w:vAlign w:val="center"/>
          </w:tcPr>
          <w:p w14:paraId="092BF760">
            <w:pPr>
              <w:jc w:val="center"/>
              <w:rPr>
                <w:rFonts w:ascii="Times New Roman" w:hAnsi="Times New Roman" w:cs="Times New Roman"/>
                <w:color w:val="auto"/>
                <w:szCs w:val="21"/>
              </w:rPr>
            </w:pPr>
            <w:r>
              <w:rPr>
                <w:rFonts w:ascii="Times New Roman" w:hAnsi="Times New Roman" w:cs="Times New Roman"/>
                <w:color w:val="auto"/>
                <w:szCs w:val="21"/>
              </w:rPr>
              <w:t>47</w:t>
            </w:r>
          </w:p>
        </w:tc>
        <w:tc>
          <w:tcPr>
            <w:tcW w:w="1134" w:type="dxa"/>
            <w:vMerge w:val="restart"/>
            <w:vAlign w:val="center"/>
          </w:tcPr>
          <w:p w14:paraId="03DF94BC">
            <w:pPr>
              <w:jc w:val="center"/>
              <w:rPr>
                <w:rFonts w:ascii="Times New Roman" w:hAnsi="Times New Roman" w:cs="Times New Roman"/>
                <w:color w:val="auto"/>
                <w:szCs w:val="21"/>
              </w:rPr>
            </w:pPr>
            <w:r>
              <w:rPr>
                <w:rFonts w:ascii="Times New Roman" w:hAnsi="Times New Roman" w:cs="Times New Roman"/>
                <w:color w:val="auto"/>
                <w:szCs w:val="21"/>
              </w:rPr>
              <w:t>成品保护</w:t>
            </w:r>
          </w:p>
        </w:tc>
        <w:tc>
          <w:tcPr>
            <w:tcW w:w="6379" w:type="dxa"/>
            <w:vAlign w:val="center"/>
          </w:tcPr>
          <w:p w14:paraId="32B19DB1">
            <w:pPr>
              <w:jc w:val="left"/>
              <w:rPr>
                <w:rFonts w:ascii="Times New Roman" w:hAnsi="Times New Roman" w:cs="Times New Roman"/>
                <w:color w:val="auto"/>
                <w:szCs w:val="21"/>
              </w:rPr>
            </w:pPr>
            <w:r>
              <w:rPr>
                <w:rFonts w:ascii="Times New Roman" w:hAnsi="Times New Roman" w:cs="Times New Roman"/>
                <w:color w:val="auto"/>
                <w:kern w:val="0"/>
                <w:szCs w:val="21"/>
              </w:rPr>
              <w:t>在施工成品上乱涂乱画（照价赔偿）</w:t>
            </w:r>
          </w:p>
        </w:tc>
        <w:tc>
          <w:tcPr>
            <w:tcW w:w="1417" w:type="dxa"/>
            <w:vAlign w:val="center"/>
          </w:tcPr>
          <w:p w14:paraId="3D63F5BE">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5B56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04" w:type="dxa"/>
            <w:vAlign w:val="center"/>
          </w:tcPr>
          <w:p w14:paraId="2F2224D1">
            <w:pPr>
              <w:jc w:val="center"/>
              <w:rPr>
                <w:rFonts w:ascii="Times New Roman" w:hAnsi="Times New Roman" w:cs="Times New Roman"/>
                <w:color w:val="auto"/>
                <w:szCs w:val="21"/>
              </w:rPr>
            </w:pPr>
            <w:r>
              <w:rPr>
                <w:rFonts w:ascii="Times New Roman" w:hAnsi="Times New Roman" w:cs="Times New Roman"/>
                <w:color w:val="auto"/>
                <w:szCs w:val="21"/>
              </w:rPr>
              <w:t>48</w:t>
            </w:r>
          </w:p>
        </w:tc>
        <w:tc>
          <w:tcPr>
            <w:tcW w:w="1134" w:type="dxa"/>
            <w:vMerge w:val="continue"/>
            <w:vAlign w:val="center"/>
          </w:tcPr>
          <w:p w14:paraId="7549B6AE">
            <w:pPr>
              <w:jc w:val="center"/>
              <w:rPr>
                <w:rFonts w:ascii="Times New Roman" w:hAnsi="Times New Roman" w:cs="Times New Roman"/>
                <w:color w:val="auto"/>
                <w:szCs w:val="21"/>
              </w:rPr>
            </w:pPr>
          </w:p>
        </w:tc>
        <w:tc>
          <w:tcPr>
            <w:tcW w:w="6379" w:type="dxa"/>
            <w:vAlign w:val="center"/>
          </w:tcPr>
          <w:p w14:paraId="27FFE58F">
            <w:pPr>
              <w:jc w:val="left"/>
              <w:rPr>
                <w:rFonts w:ascii="Times New Roman" w:hAnsi="Times New Roman" w:cs="Times New Roman"/>
                <w:color w:val="auto"/>
                <w:szCs w:val="21"/>
              </w:rPr>
            </w:pPr>
            <w:r>
              <w:rPr>
                <w:rFonts w:ascii="Times New Roman" w:hAnsi="Times New Roman" w:cs="Times New Roman"/>
                <w:color w:val="auto"/>
                <w:kern w:val="0"/>
                <w:szCs w:val="21"/>
              </w:rPr>
              <w:t>在施工成品上无遮盖措施进行施工</w:t>
            </w:r>
          </w:p>
        </w:tc>
        <w:tc>
          <w:tcPr>
            <w:tcW w:w="1417" w:type="dxa"/>
            <w:vAlign w:val="center"/>
          </w:tcPr>
          <w:p w14:paraId="128CACF4">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7B782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04" w:type="dxa"/>
            <w:vAlign w:val="center"/>
          </w:tcPr>
          <w:p w14:paraId="48F306E4">
            <w:pPr>
              <w:jc w:val="center"/>
              <w:rPr>
                <w:rFonts w:ascii="Times New Roman" w:hAnsi="Times New Roman" w:cs="Times New Roman"/>
                <w:color w:val="auto"/>
                <w:szCs w:val="21"/>
              </w:rPr>
            </w:pPr>
            <w:r>
              <w:rPr>
                <w:rFonts w:ascii="Times New Roman" w:hAnsi="Times New Roman" w:cs="Times New Roman"/>
                <w:color w:val="auto"/>
                <w:szCs w:val="21"/>
              </w:rPr>
              <w:t>49</w:t>
            </w:r>
          </w:p>
        </w:tc>
        <w:tc>
          <w:tcPr>
            <w:tcW w:w="1134" w:type="dxa"/>
            <w:vMerge w:val="continue"/>
            <w:vAlign w:val="center"/>
          </w:tcPr>
          <w:p w14:paraId="7BCF0106">
            <w:pPr>
              <w:jc w:val="center"/>
              <w:rPr>
                <w:rFonts w:ascii="Times New Roman" w:hAnsi="Times New Roman" w:cs="Times New Roman"/>
                <w:color w:val="auto"/>
                <w:szCs w:val="21"/>
              </w:rPr>
            </w:pPr>
          </w:p>
        </w:tc>
        <w:tc>
          <w:tcPr>
            <w:tcW w:w="6379" w:type="dxa"/>
            <w:vAlign w:val="center"/>
          </w:tcPr>
          <w:p w14:paraId="6738930D">
            <w:pPr>
              <w:jc w:val="left"/>
              <w:rPr>
                <w:rFonts w:ascii="Times New Roman" w:hAnsi="Times New Roman" w:cs="Times New Roman"/>
                <w:color w:val="auto"/>
                <w:szCs w:val="21"/>
              </w:rPr>
            </w:pPr>
            <w:r>
              <w:rPr>
                <w:rFonts w:ascii="Times New Roman" w:hAnsi="Times New Roman" w:cs="Times New Roman"/>
                <w:color w:val="auto"/>
                <w:szCs w:val="21"/>
              </w:rPr>
              <w:t>使用的人字梯、小推车等器具尖锐部位无软防护在成品饰面上拖划</w:t>
            </w:r>
          </w:p>
        </w:tc>
        <w:tc>
          <w:tcPr>
            <w:tcW w:w="1417" w:type="dxa"/>
            <w:vAlign w:val="center"/>
          </w:tcPr>
          <w:p w14:paraId="4BA47FE9">
            <w:pPr>
              <w:jc w:val="center"/>
              <w:rPr>
                <w:rFonts w:ascii="Times New Roman" w:hAnsi="Times New Roman" w:cs="Times New Roman"/>
                <w:color w:val="auto"/>
                <w:szCs w:val="21"/>
              </w:rPr>
            </w:pPr>
            <w:r>
              <w:rPr>
                <w:rFonts w:ascii="Times New Roman" w:hAnsi="Times New Roman" w:cs="Times New Roman"/>
                <w:color w:val="auto"/>
                <w:kern w:val="0"/>
                <w:szCs w:val="21"/>
              </w:rPr>
              <w:t>100元/次</w:t>
            </w:r>
          </w:p>
        </w:tc>
      </w:tr>
      <w:tr w14:paraId="26F17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2" w:hRule="exact"/>
          <w:jc w:val="center"/>
        </w:trPr>
        <w:tc>
          <w:tcPr>
            <w:tcW w:w="704" w:type="dxa"/>
            <w:vAlign w:val="center"/>
          </w:tcPr>
          <w:p w14:paraId="53E05574">
            <w:pPr>
              <w:jc w:val="center"/>
              <w:rPr>
                <w:rFonts w:ascii="Times New Roman" w:hAnsi="Times New Roman" w:cs="Times New Roman"/>
                <w:color w:val="auto"/>
                <w:szCs w:val="21"/>
              </w:rPr>
            </w:pPr>
            <w:r>
              <w:rPr>
                <w:rFonts w:ascii="Times New Roman" w:hAnsi="Times New Roman" w:cs="Times New Roman"/>
                <w:color w:val="auto"/>
                <w:szCs w:val="21"/>
              </w:rPr>
              <w:t>50</w:t>
            </w:r>
          </w:p>
        </w:tc>
        <w:tc>
          <w:tcPr>
            <w:tcW w:w="1134" w:type="dxa"/>
            <w:vAlign w:val="center"/>
          </w:tcPr>
          <w:p w14:paraId="6845B80F">
            <w:pPr>
              <w:jc w:val="center"/>
              <w:rPr>
                <w:rFonts w:ascii="Times New Roman" w:hAnsi="Times New Roman" w:cs="Times New Roman"/>
                <w:color w:val="auto"/>
                <w:kern w:val="0"/>
                <w:szCs w:val="21"/>
              </w:rPr>
            </w:pPr>
            <w:r>
              <w:rPr>
                <w:rFonts w:ascii="Times New Roman" w:hAnsi="Times New Roman" w:cs="Times New Roman"/>
                <w:color w:val="auto"/>
                <w:kern w:val="0"/>
                <w:szCs w:val="21"/>
              </w:rPr>
              <w:t>人身伤亡</w:t>
            </w:r>
          </w:p>
          <w:p w14:paraId="4D181F00">
            <w:pPr>
              <w:jc w:val="center"/>
              <w:rPr>
                <w:rFonts w:ascii="Times New Roman" w:hAnsi="Times New Roman" w:cs="Times New Roman"/>
                <w:color w:val="auto"/>
                <w:szCs w:val="21"/>
              </w:rPr>
            </w:pPr>
            <w:r>
              <w:rPr>
                <w:rFonts w:ascii="Times New Roman" w:hAnsi="Times New Roman" w:cs="Times New Roman"/>
                <w:color w:val="auto"/>
                <w:kern w:val="0"/>
                <w:szCs w:val="21"/>
              </w:rPr>
              <w:t>事故</w:t>
            </w:r>
          </w:p>
        </w:tc>
        <w:tc>
          <w:tcPr>
            <w:tcW w:w="7796" w:type="dxa"/>
            <w:gridSpan w:val="2"/>
            <w:vAlign w:val="center"/>
          </w:tcPr>
          <w:p w14:paraId="152719F4">
            <w:pPr>
              <w:rPr>
                <w:rFonts w:ascii="Times New Roman" w:hAnsi="Times New Roman" w:cs="Times New Roman"/>
                <w:color w:val="auto"/>
                <w:szCs w:val="21"/>
              </w:rPr>
            </w:pPr>
            <w:r>
              <w:rPr>
                <w:rFonts w:ascii="Times New Roman" w:hAnsi="Times New Roman" w:cs="Times New Roman"/>
                <w:b/>
                <w:color w:val="auto"/>
                <w:szCs w:val="21"/>
              </w:rPr>
              <w:t>对事故发生负有责任的，依照下列规定处以罚款：</w:t>
            </w:r>
          </w:p>
          <w:p w14:paraId="786EA5F6">
            <w:pPr>
              <w:rPr>
                <w:rFonts w:ascii="Times New Roman" w:hAnsi="Times New Roman" w:cs="Times New Roman"/>
                <w:color w:val="auto"/>
                <w:kern w:val="0"/>
                <w:szCs w:val="21"/>
              </w:rPr>
            </w:pPr>
            <w:r>
              <w:rPr>
                <w:rFonts w:ascii="Times New Roman" w:hAnsi="Times New Roman" w:cs="Times New Roman"/>
                <w:color w:val="auto"/>
                <w:kern w:val="0"/>
                <w:szCs w:val="21"/>
              </w:rPr>
              <w:t>1、发生一般安全事故的，班组负责人罚款5000元从安全保证金中扣除并上调10%安全保证金比例，班组长罚款750元从安全保证金中扣除。</w:t>
            </w:r>
          </w:p>
          <w:p w14:paraId="4582EB89">
            <w:pPr>
              <w:rPr>
                <w:rFonts w:ascii="Times New Roman" w:hAnsi="Times New Roman" w:cs="Times New Roman"/>
                <w:color w:val="auto"/>
                <w:kern w:val="0"/>
                <w:szCs w:val="21"/>
              </w:rPr>
            </w:pPr>
            <w:r>
              <w:rPr>
                <w:rFonts w:ascii="Times New Roman" w:hAnsi="Times New Roman" w:cs="Times New Roman"/>
                <w:color w:val="auto"/>
                <w:kern w:val="0"/>
                <w:szCs w:val="21"/>
              </w:rPr>
              <w:t>2、发生较大安全事故的，班组负责人罚款10000元从安全保证金中扣除并上调25%安全保证金比例，班组长罚款1500元从安全保证金中扣除。</w:t>
            </w:r>
          </w:p>
          <w:p w14:paraId="557D58E8">
            <w:pPr>
              <w:rPr>
                <w:rFonts w:ascii="Times New Roman" w:hAnsi="Times New Roman" w:cs="Times New Roman"/>
                <w:color w:val="auto"/>
                <w:kern w:val="0"/>
                <w:szCs w:val="21"/>
              </w:rPr>
            </w:pPr>
            <w:r>
              <w:rPr>
                <w:rFonts w:ascii="Times New Roman" w:hAnsi="Times New Roman" w:cs="Times New Roman"/>
                <w:color w:val="auto"/>
                <w:kern w:val="0"/>
                <w:szCs w:val="21"/>
              </w:rPr>
              <w:t>3、发生重大安全事故的，班组负责人罚款20000元从安全保证金中扣除并上调50%安全保证金比例，班组长罚款3000元从安全保证金中扣除。</w:t>
            </w:r>
          </w:p>
          <w:p w14:paraId="3D7681E4">
            <w:pPr>
              <w:rPr>
                <w:rFonts w:ascii="Times New Roman" w:hAnsi="Times New Roman" w:cs="Times New Roman"/>
                <w:color w:val="auto"/>
                <w:kern w:val="0"/>
                <w:szCs w:val="21"/>
              </w:rPr>
            </w:pPr>
            <w:r>
              <w:rPr>
                <w:rFonts w:ascii="Times New Roman" w:hAnsi="Times New Roman" w:cs="Times New Roman"/>
                <w:color w:val="auto"/>
                <w:kern w:val="0"/>
                <w:szCs w:val="21"/>
              </w:rPr>
              <w:t>4、发生特别重大安全事故的，班组负责人罚款40000元从安全保证金中扣除并上调100%安全保证金比例，班组长罚款6000元从安全保证金中扣除并更换班组长。</w:t>
            </w:r>
          </w:p>
        </w:tc>
      </w:tr>
      <w:tr w14:paraId="0141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704" w:type="dxa"/>
            <w:vAlign w:val="center"/>
          </w:tcPr>
          <w:p w14:paraId="3168067C">
            <w:pPr>
              <w:jc w:val="center"/>
              <w:rPr>
                <w:rFonts w:ascii="Times New Roman" w:hAnsi="Times New Roman" w:cs="Times New Roman"/>
                <w:color w:val="auto"/>
                <w:szCs w:val="21"/>
              </w:rPr>
            </w:pPr>
            <w:r>
              <w:rPr>
                <w:rFonts w:ascii="Times New Roman" w:hAnsi="Times New Roman" w:cs="Times New Roman"/>
                <w:color w:val="auto"/>
                <w:szCs w:val="21"/>
              </w:rPr>
              <w:t>51</w:t>
            </w:r>
          </w:p>
        </w:tc>
        <w:tc>
          <w:tcPr>
            <w:tcW w:w="1134" w:type="dxa"/>
            <w:vAlign w:val="center"/>
          </w:tcPr>
          <w:p w14:paraId="3969929E">
            <w:pPr>
              <w:jc w:val="center"/>
              <w:rPr>
                <w:rFonts w:ascii="Times New Roman" w:hAnsi="Times New Roman" w:cs="Times New Roman"/>
                <w:color w:val="auto"/>
                <w:szCs w:val="21"/>
              </w:rPr>
            </w:pPr>
            <w:r>
              <w:rPr>
                <w:rFonts w:ascii="Times New Roman" w:hAnsi="Times New Roman" w:cs="Times New Roman"/>
                <w:color w:val="auto"/>
                <w:szCs w:val="21"/>
              </w:rPr>
              <w:t>其他</w:t>
            </w:r>
          </w:p>
        </w:tc>
        <w:tc>
          <w:tcPr>
            <w:tcW w:w="6379" w:type="dxa"/>
            <w:vAlign w:val="center"/>
          </w:tcPr>
          <w:p w14:paraId="35CDEA6E">
            <w:pPr>
              <w:jc w:val="left"/>
              <w:rPr>
                <w:rFonts w:ascii="Times New Roman" w:hAnsi="Times New Roman" w:cs="Times New Roman"/>
                <w:color w:val="auto"/>
                <w:szCs w:val="21"/>
              </w:rPr>
            </w:pPr>
            <w:r>
              <w:rPr>
                <w:rFonts w:ascii="Times New Roman" w:hAnsi="Times New Roman" w:cs="Times New Roman"/>
                <w:color w:val="auto"/>
                <w:kern w:val="0"/>
                <w:szCs w:val="21"/>
              </w:rPr>
              <w:t>项目部根据项目实际情况及国家、地方、部门安全管理规定的要求，添加上述条款以外的违章内容</w:t>
            </w:r>
          </w:p>
        </w:tc>
        <w:tc>
          <w:tcPr>
            <w:tcW w:w="1417" w:type="dxa"/>
            <w:vAlign w:val="center"/>
          </w:tcPr>
          <w:p w14:paraId="31DB1838">
            <w:pPr>
              <w:jc w:val="center"/>
              <w:rPr>
                <w:rFonts w:ascii="Times New Roman" w:hAnsi="Times New Roman" w:cs="Times New Roman"/>
                <w:color w:val="auto"/>
                <w:szCs w:val="21"/>
              </w:rPr>
            </w:pPr>
            <w:r>
              <w:rPr>
                <w:rFonts w:ascii="Times New Roman" w:hAnsi="Times New Roman" w:cs="Times New Roman"/>
                <w:color w:val="auto"/>
                <w:szCs w:val="21"/>
              </w:rPr>
              <w:t>项目部制定</w:t>
            </w:r>
          </w:p>
        </w:tc>
      </w:tr>
    </w:tbl>
    <w:p w14:paraId="404273CD">
      <w:pPr>
        <w:pStyle w:val="2"/>
        <w:numPr>
          <w:ilvl w:val="0"/>
          <w:numId w:val="19"/>
        </w:numPr>
        <w:spacing w:line="420" w:lineRule="exact"/>
        <w:ind w:left="426" w:hanging="426"/>
        <w:rPr>
          <w:color w:val="auto"/>
          <w:sz w:val="28"/>
          <w:szCs w:val="28"/>
        </w:rPr>
      </w:pPr>
      <w:r>
        <w:rPr>
          <w:color w:val="auto"/>
          <w:sz w:val="28"/>
          <w:szCs w:val="28"/>
        </w:rPr>
        <w:t>其他</w:t>
      </w:r>
    </w:p>
    <w:p w14:paraId="7ECFF4C2">
      <w:pPr>
        <w:pStyle w:val="11"/>
        <w:numPr>
          <w:ilvl w:val="1"/>
          <w:numId w:val="22"/>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本协议订的各项规定适用于立协单位双方。如遇有同国家和工程所在地的有关法规不符的按国家和工程所在地的有关规定执行。</w:t>
      </w:r>
    </w:p>
    <w:p w14:paraId="7363EC8A">
      <w:pPr>
        <w:pStyle w:val="11"/>
        <w:numPr>
          <w:ilvl w:val="1"/>
          <w:numId w:val="22"/>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本协议经双方盖章后生效，本协议作为施工承包协议的附件之一，一式肆份，甲、乙双方各贰份。</w:t>
      </w:r>
    </w:p>
    <w:p w14:paraId="4F04EE48">
      <w:pPr>
        <w:pStyle w:val="11"/>
        <w:numPr>
          <w:ilvl w:val="1"/>
          <w:numId w:val="22"/>
        </w:numPr>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本协议同工程分包合同同日生效，甲、乙双方必须严格执行，由于违反本协议而造成伤亡事故，由违约方承担一切经济损失。</w:t>
      </w:r>
    </w:p>
    <w:p w14:paraId="1E2233EB">
      <w:pPr>
        <w:autoSpaceDE w:val="0"/>
        <w:autoSpaceDN w:val="0"/>
        <w:adjustRightInd w:val="0"/>
        <w:spacing w:line="360" w:lineRule="auto"/>
        <w:jc w:val="left"/>
        <w:rPr>
          <w:rFonts w:ascii="Times New Roman" w:hAnsi="Times New Roman" w:cs="Times New Roman"/>
          <w:color w:val="auto"/>
          <w:kern w:val="0"/>
          <w:sz w:val="18"/>
          <w:szCs w:val="18"/>
        </w:rPr>
      </w:pPr>
    </w:p>
    <w:p w14:paraId="6057AAAE">
      <w:pPr>
        <w:autoSpaceDE w:val="0"/>
        <w:autoSpaceDN w:val="0"/>
        <w:adjustRightInd w:val="0"/>
        <w:spacing w:line="360" w:lineRule="auto"/>
        <w:jc w:val="left"/>
        <w:rPr>
          <w:rFonts w:ascii="Times New Roman" w:hAnsi="Times New Roman" w:cs="Times New Roman"/>
          <w:color w:val="auto"/>
          <w:kern w:val="0"/>
          <w:sz w:val="18"/>
          <w:szCs w:val="18"/>
        </w:rPr>
      </w:pPr>
    </w:p>
    <w:p w14:paraId="13D6D785">
      <w:pPr>
        <w:autoSpaceDE w:val="0"/>
        <w:autoSpaceDN w:val="0"/>
        <w:adjustRightInd w:val="0"/>
        <w:spacing w:line="360" w:lineRule="auto"/>
        <w:jc w:val="left"/>
        <w:rPr>
          <w:rFonts w:ascii="Times New Roman" w:hAnsi="Times New Roman" w:cs="Times New Roman"/>
          <w:color w:val="auto"/>
          <w:kern w:val="0"/>
          <w:sz w:val="18"/>
          <w:szCs w:val="18"/>
        </w:rPr>
      </w:pPr>
    </w:p>
    <w:tbl>
      <w:tblPr>
        <w:tblStyle w:val="8"/>
        <w:tblW w:w="0" w:type="auto"/>
        <w:tblInd w:w="0" w:type="dxa"/>
        <w:tblLayout w:type="autofit"/>
        <w:tblCellMar>
          <w:top w:w="0" w:type="dxa"/>
          <w:left w:w="108" w:type="dxa"/>
          <w:bottom w:w="0" w:type="dxa"/>
          <w:right w:w="108" w:type="dxa"/>
        </w:tblCellMar>
      </w:tblPr>
      <w:tblGrid>
        <w:gridCol w:w="4927"/>
        <w:gridCol w:w="4927"/>
      </w:tblGrid>
      <w:tr w14:paraId="192ABE31">
        <w:tblPrEx>
          <w:tblCellMar>
            <w:top w:w="0" w:type="dxa"/>
            <w:left w:w="108" w:type="dxa"/>
            <w:bottom w:w="0" w:type="dxa"/>
            <w:right w:w="108" w:type="dxa"/>
          </w:tblCellMar>
        </w:tblPrEx>
        <w:trPr>
          <w:trHeight w:val="678" w:hRule="atLeast"/>
        </w:trPr>
        <w:tc>
          <w:tcPr>
            <w:tcW w:w="4927" w:type="dxa"/>
          </w:tcPr>
          <w:p w14:paraId="35D8092F">
            <w:pPr>
              <w:pStyle w:val="11"/>
              <w:spacing w:line="480" w:lineRule="auto"/>
              <w:rPr>
                <w:rFonts w:hint="eastAsia" w:ascii="Times New Roman" w:hAnsi="Times New Roman" w:cs="Times New Roman" w:eastAsiaTheme="minorEastAsia"/>
                <w:color w:val="auto"/>
                <w:szCs w:val="21"/>
                <w:lang w:eastAsia="zh-CN"/>
              </w:rPr>
            </w:pPr>
            <w:r>
              <w:rPr>
                <w:rFonts w:ascii="Times New Roman" w:hAnsi="Times New Roman" w:cs="Times New Roman" w:eastAsiaTheme="minorEastAsia"/>
                <w:color w:val="auto"/>
                <w:sz w:val="21"/>
                <w:szCs w:val="21"/>
              </w:rPr>
              <w:t>甲方：（签字盖章）</w:t>
            </w:r>
            <w:r>
              <w:rPr>
                <w:rFonts w:hint="eastAsia" w:ascii="Times New Roman" w:hAnsi="Times New Roman" w:eastAsia="宋体" w:cs="Times New Roman"/>
                <w:color w:val="auto"/>
                <w:sz w:val="21"/>
                <w:szCs w:val="21"/>
                <w:lang w:eastAsia="zh-CN"/>
              </w:rPr>
              <w:t>厦门国贸智慧城市科技有限公司</w:t>
            </w:r>
          </w:p>
        </w:tc>
        <w:tc>
          <w:tcPr>
            <w:tcW w:w="4927" w:type="dxa"/>
          </w:tcPr>
          <w:p w14:paraId="1CC8B8D2">
            <w:pPr>
              <w:pStyle w:val="11"/>
              <w:spacing w:line="480" w:lineRule="auto"/>
              <w:rPr>
                <w:rFonts w:ascii="Times New Roman" w:hAnsi="Times New Roman" w:cs="Times New Roman"/>
                <w:color w:val="auto"/>
                <w:szCs w:val="21"/>
              </w:rPr>
            </w:pPr>
            <w:r>
              <w:rPr>
                <w:rFonts w:ascii="Times New Roman" w:hAnsi="Times New Roman" w:cs="Times New Roman" w:eastAsiaTheme="minorEastAsia"/>
                <w:color w:val="auto"/>
                <w:sz w:val="21"/>
                <w:szCs w:val="21"/>
              </w:rPr>
              <w:t>乙方：（签字盖章）</w:t>
            </w:r>
          </w:p>
        </w:tc>
      </w:tr>
      <w:tr w14:paraId="6F2979B6">
        <w:tblPrEx>
          <w:tblCellMar>
            <w:top w:w="0" w:type="dxa"/>
            <w:left w:w="108" w:type="dxa"/>
            <w:bottom w:w="0" w:type="dxa"/>
            <w:right w:w="108" w:type="dxa"/>
          </w:tblCellMar>
        </w:tblPrEx>
        <w:tc>
          <w:tcPr>
            <w:tcW w:w="4927" w:type="dxa"/>
          </w:tcPr>
          <w:p w14:paraId="43BA7C44">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代表人：</w:t>
            </w:r>
          </w:p>
        </w:tc>
        <w:tc>
          <w:tcPr>
            <w:tcW w:w="4927" w:type="dxa"/>
          </w:tcPr>
          <w:p w14:paraId="273338E0">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代表人：</w:t>
            </w:r>
          </w:p>
        </w:tc>
      </w:tr>
      <w:tr w14:paraId="0438D398">
        <w:tblPrEx>
          <w:tblCellMar>
            <w:top w:w="0" w:type="dxa"/>
            <w:left w:w="108" w:type="dxa"/>
            <w:bottom w:w="0" w:type="dxa"/>
            <w:right w:w="108" w:type="dxa"/>
          </w:tblCellMar>
        </w:tblPrEx>
        <w:tc>
          <w:tcPr>
            <w:tcW w:w="4927" w:type="dxa"/>
          </w:tcPr>
          <w:p w14:paraId="1D334ADE">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电话：</w:t>
            </w:r>
          </w:p>
        </w:tc>
        <w:tc>
          <w:tcPr>
            <w:tcW w:w="4927" w:type="dxa"/>
          </w:tcPr>
          <w:p w14:paraId="01C37600">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电话：</w:t>
            </w:r>
          </w:p>
        </w:tc>
      </w:tr>
      <w:tr w14:paraId="0D627155">
        <w:tblPrEx>
          <w:tblCellMar>
            <w:top w:w="0" w:type="dxa"/>
            <w:left w:w="108" w:type="dxa"/>
            <w:bottom w:w="0" w:type="dxa"/>
            <w:right w:w="108" w:type="dxa"/>
          </w:tblCellMar>
        </w:tblPrEx>
        <w:tc>
          <w:tcPr>
            <w:tcW w:w="4927" w:type="dxa"/>
          </w:tcPr>
          <w:p w14:paraId="3F55C513">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日期：         年    月    日</w:t>
            </w:r>
          </w:p>
        </w:tc>
        <w:tc>
          <w:tcPr>
            <w:tcW w:w="4927" w:type="dxa"/>
          </w:tcPr>
          <w:p w14:paraId="25401FED">
            <w:pPr>
              <w:pStyle w:val="11"/>
              <w:spacing w:line="400" w:lineRule="exact"/>
              <w:rPr>
                <w:rFonts w:ascii="Times New Roman" w:hAnsi="Times New Roman" w:cs="Times New Roman"/>
                <w:color w:val="auto"/>
                <w:szCs w:val="21"/>
              </w:rPr>
            </w:pPr>
            <w:r>
              <w:rPr>
                <w:rFonts w:ascii="Times New Roman" w:hAnsi="Times New Roman" w:cs="Times New Roman" w:eastAsiaTheme="minorEastAsia"/>
                <w:color w:val="auto"/>
                <w:sz w:val="21"/>
                <w:szCs w:val="21"/>
              </w:rPr>
              <w:t>日期：         年    月    日</w:t>
            </w:r>
          </w:p>
        </w:tc>
      </w:tr>
    </w:tbl>
    <w:p w14:paraId="7C74AE13">
      <w:pPr>
        <w:widowControl/>
        <w:jc w:val="left"/>
        <w:rPr>
          <w:rFonts w:ascii="Times New Roman" w:hAnsi="Times New Roman" w:eastAsia="宋体" w:cs="Times New Roman"/>
          <w:color w:val="auto"/>
          <w:kern w:val="0"/>
          <w:szCs w:val="21"/>
        </w:rPr>
      </w:pPr>
      <w:r>
        <w:rPr>
          <w:rFonts w:ascii="Times New Roman" w:hAnsi="Times New Roman" w:eastAsia="宋体" w:cs="Times New Roman"/>
          <w:color w:val="auto"/>
          <w:szCs w:val="21"/>
        </w:rPr>
        <w:br w:type="page"/>
      </w:r>
    </w:p>
    <w:p w14:paraId="2FD57625">
      <w:pPr>
        <w:pStyle w:val="11"/>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附件2： </w:t>
      </w:r>
    </w:p>
    <w:p w14:paraId="6E9505B3">
      <w:pPr>
        <w:pStyle w:val="11"/>
        <w:spacing w:line="400" w:lineRule="exact"/>
        <w:jc w:val="center"/>
        <w:rPr>
          <w:rFonts w:ascii="Times New Roman" w:hAnsi="Times New Roman" w:eastAsia="宋体" w:cs="Times New Roman"/>
          <w:b/>
          <w:color w:val="auto"/>
          <w:sz w:val="32"/>
          <w:szCs w:val="32"/>
        </w:rPr>
      </w:pPr>
      <w:r>
        <w:rPr>
          <w:rFonts w:ascii="Times New Roman" w:hAnsi="Times New Roman" w:eastAsia="宋体" w:cs="Times New Roman"/>
          <w:b/>
          <w:color w:val="auto"/>
          <w:sz w:val="32"/>
          <w:szCs w:val="32"/>
        </w:rPr>
        <w:t>施工质量承诺函</w:t>
      </w:r>
    </w:p>
    <w:p w14:paraId="41FB3A73">
      <w:pPr>
        <w:pStyle w:val="11"/>
        <w:spacing w:line="400" w:lineRule="exact"/>
        <w:jc w:val="center"/>
        <w:rPr>
          <w:rFonts w:ascii="Times New Roman" w:hAnsi="Times New Roman" w:eastAsia="宋体" w:cs="Times New Roman"/>
          <w:color w:val="auto"/>
          <w:sz w:val="32"/>
          <w:szCs w:val="32"/>
        </w:rPr>
      </w:pPr>
    </w:p>
    <w:p w14:paraId="7430038C">
      <w:pPr>
        <w:pStyle w:val="11"/>
        <w:spacing w:line="400" w:lineRule="exact"/>
        <w:rPr>
          <w:rFonts w:hint="eastAsia"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rPr>
        <w:t>致：</w:t>
      </w:r>
      <w:r>
        <w:rPr>
          <w:rFonts w:hint="eastAsia" w:ascii="Times New Roman" w:hAnsi="Times New Roman" w:eastAsia="宋体" w:cs="Times New Roman"/>
          <w:color w:val="auto"/>
          <w:sz w:val="21"/>
          <w:szCs w:val="21"/>
          <w:lang w:eastAsia="zh-CN"/>
        </w:rPr>
        <w:t>厦门国贸智慧城市科技有限公司</w:t>
      </w:r>
    </w:p>
    <w:p w14:paraId="2A4A01BA">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一旦我方施工中标，我方将确保该工程质量达到招标文件规定及总包/业主、贵司要求的工程标准。分部及分项工程一次交验合格率为100%，其中90%需达到贵司与总包/业主签订标准以上要求。如果我方达不到以上规定的质量要求，我方愿承担处以人民币</w:t>
      </w:r>
      <w:r>
        <w:rPr>
          <w:rFonts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1</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万元以下违约金(如低于总包/业主因此对贵司的处罚数额，则质量违约金以贵司所遭受的处罚数额为准)，分项工程一次交验若不合格，经整改合格，我方愿意承担人民币2000~10000元的违约金。</w:t>
      </w:r>
    </w:p>
    <w:p w14:paraId="2FF1BA1B">
      <w:pPr>
        <w:pStyle w:val="11"/>
        <w:spacing w:line="400" w:lineRule="exact"/>
        <w:jc w:val="right"/>
        <w:rPr>
          <w:rFonts w:ascii="Times New Roman" w:hAnsi="Times New Roman" w:eastAsia="宋体" w:cs="Times New Roman"/>
          <w:color w:val="auto"/>
          <w:sz w:val="21"/>
          <w:szCs w:val="21"/>
        </w:rPr>
      </w:pPr>
    </w:p>
    <w:p w14:paraId="293F2876">
      <w:pPr>
        <w:pStyle w:val="11"/>
        <w:spacing w:line="400" w:lineRule="exact"/>
        <w:jc w:val="right"/>
        <w:rPr>
          <w:rFonts w:ascii="Times New Roman" w:hAnsi="Times New Roman" w:eastAsia="宋体" w:cs="Times New Roman"/>
          <w:color w:val="auto"/>
          <w:sz w:val="21"/>
          <w:szCs w:val="21"/>
        </w:rPr>
      </w:pPr>
    </w:p>
    <w:p w14:paraId="75908511">
      <w:pPr>
        <w:pStyle w:val="11"/>
        <w:spacing w:line="400" w:lineRule="exact"/>
        <w:jc w:val="right"/>
        <w:rPr>
          <w:rFonts w:ascii="Times New Roman" w:hAnsi="Times New Roman" w:eastAsia="宋体" w:cs="Times New Roman"/>
          <w:color w:val="auto"/>
          <w:sz w:val="21"/>
          <w:szCs w:val="21"/>
        </w:rPr>
      </w:pPr>
    </w:p>
    <w:p w14:paraId="3F9D57CE">
      <w:pPr>
        <w:pStyle w:val="11"/>
        <w:spacing w:line="400" w:lineRule="exact"/>
        <w:ind w:right="42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                                                  单位名称：             </w:t>
      </w:r>
    </w:p>
    <w:p w14:paraId="7724CBA7">
      <w:pPr>
        <w:pStyle w:val="11"/>
        <w:spacing w:line="400" w:lineRule="exact"/>
        <w:ind w:right="420" w:firstLine="6195" w:firstLineChars="295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(法人代表签名和公章)              </w:t>
      </w:r>
    </w:p>
    <w:p w14:paraId="16BCDA7A">
      <w:pPr>
        <w:pStyle w:val="11"/>
        <w:spacing w:line="400" w:lineRule="exact"/>
        <w:ind w:right="420"/>
        <w:jc w:val="righ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日    期:</w:t>
      </w:r>
      <w:r>
        <w:rPr>
          <w:rFonts w:ascii="Times New Roman" w:hAnsi="Times New Roman" w:eastAsia="宋体" w:cs="Times New Roman"/>
          <w:color w:val="auto"/>
          <w:sz w:val="21"/>
          <w:szCs w:val="21"/>
          <w:u w:val="single"/>
        </w:rPr>
        <w:t xml:space="preserve">__     _____  </w:t>
      </w:r>
    </w:p>
    <w:p w14:paraId="24615C89">
      <w:pPr>
        <w:pStyle w:val="11"/>
        <w:spacing w:line="400" w:lineRule="exact"/>
        <w:rPr>
          <w:rFonts w:ascii="Times New Roman" w:hAnsi="Times New Roman" w:cs="Times New Roman"/>
          <w:color w:val="auto"/>
          <w:sz w:val="21"/>
          <w:szCs w:val="21"/>
        </w:rPr>
      </w:pPr>
    </w:p>
    <w:p w14:paraId="392807A5">
      <w:pPr>
        <w:pStyle w:val="11"/>
        <w:pageBreakBefore/>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附件3：</w:t>
      </w:r>
    </w:p>
    <w:p w14:paraId="6A797178">
      <w:pPr>
        <w:pStyle w:val="11"/>
        <w:spacing w:line="400" w:lineRule="exact"/>
        <w:jc w:val="center"/>
        <w:rPr>
          <w:rFonts w:ascii="Times New Roman" w:hAnsi="Times New Roman" w:eastAsia="宋体" w:cs="Times New Roman"/>
          <w:b/>
          <w:color w:val="auto"/>
          <w:sz w:val="32"/>
          <w:szCs w:val="32"/>
        </w:rPr>
      </w:pPr>
      <w:r>
        <w:rPr>
          <w:rFonts w:ascii="Times New Roman" w:hAnsi="Times New Roman" w:eastAsia="宋体" w:cs="Times New Roman"/>
          <w:b/>
          <w:color w:val="auto"/>
          <w:sz w:val="32"/>
          <w:szCs w:val="32"/>
        </w:rPr>
        <w:t>施工工期承诺函</w:t>
      </w:r>
    </w:p>
    <w:p w14:paraId="3082EC1D">
      <w:pPr>
        <w:pStyle w:val="11"/>
        <w:spacing w:line="400" w:lineRule="exact"/>
        <w:jc w:val="center"/>
        <w:rPr>
          <w:rFonts w:ascii="Times New Roman" w:hAnsi="Times New Roman" w:eastAsia="宋体" w:cs="Times New Roman"/>
          <w:b/>
          <w:color w:val="auto"/>
          <w:sz w:val="32"/>
          <w:szCs w:val="32"/>
        </w:rPr>
      </w:pPr>
    </w:p>
    <w:p w14:paraId="68686108">
      <w:pPr>
        <w:pStyle w:val="11"/>
        <w:spacing w:line="400" w:lineRule="exact"/>
        <w:rPr>
          <w:rFonts w:hint="eastAsia"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rPr>
        <w:t>致：</w:t>
      </w:r>
      <w:r>
        <w:rPr>
          <w:rFonts w:hint="eastAsia" w:ascii="Times New Roman" w:hAnsi="Times New Roman" w:eastAsia="宋体" w:cs="Times New Roman"/>
          <w:color w:val="auto"/>
          <w:sz w:val="21"/>
          <w:szCs w:val="21"/>
          <w:lang w:eastAsia="zh-CN"/>
        </w:rPr>
        <w:t>厦门国贸智慧城市科技有限公司</w:t>
      </w:r>
    </w:p>
    <w:p w14:paraId="6491C1A7">
      <w:pPr>
        <w:pStyle w:val="11"/>
        <w:spacing w:line="400" w:lineRule="exact"/>
        <w:ind w:firstLine="525" w:firstLineChars="25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一旦我方施工中标，我方确保本承包工程施工在</w:t>
      </w:r>
      <w:r>
        <w:rPr>
          <w:rFonts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120</w:t>
      </w:r>
      <w:r>
        <w:rPr>
          <w:rFonts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rPr>
        <w:t>个日历天内竣工并移交整个工程。若因我方原因每逾期一天按合同总金额的千分之五承担逾期违约金，并承担包括但不限于贵司因此遭受到发包人给予的处罚（含工程赔偿款）等损失。</w:t>
      </w:r>
    </w:p>
    <w:p w14:paraId="156D1DA9">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若节点工期发生延误，逾期天数在7天以内的，每逾期一天按该节点工期内造价的千分之二付违约金，逾期天数超过7天（含7天）的，每逾期一天按该节点工期内造价的千分之三支付违约金，且贵司按各节点进行考核，可累计扣罚。即使总工期按期完成，对原节点的扣罚贵司亦有权不予补还。</w:t>
      </w:r>
    </w:p>
    <w:p w14:paraId="305EFD7D">
      <w:pPr>
        <w:pStyle w:val="11"/>
        <w:spacing w:line="400" w:lineRule="exact"/>
        <w:jc w:val="right"/>
        <w:rPr>
          <w:rFonts w:ascii="Times New Roman" w:hAnsi="Times New Roman" w:eastAsia="宋体" w:cs="Times New Roman"/>
          <w:color w:val="auto"/>
          <w:sz w:val="21"/>
          <w:szCs w:val="21"/>
        </w:rPr>
      </w:pPr>
    </w:p>
    <w:p w14:paraId="11BAF156">
      <w:pPr>
        <w:pStyle w:val="11"/>
        <w:spacing w:line="400" w:lineRule="exact"/>
        <w:jc w:val="right"/>
        <w:rPr>
          <w:rFonts w:ascii="Times New Roman" w:hAnsi="Times New Roman" w:eastAsia="宋体" w:cs="Times New Roman"/>
          <w:color w:val="auto"/>
          <w:sz w:val="21"/>
          <w:szCs w:val="21"/>
        </w:rPr>
      </w:pPr>
    </w:p>
    <w:p w14:paraId="44891569">
      <w:pPr>
        <w:pStyle w:val="11"/>
        <w:spacing w:line="400" w:lineRule="exact"/>
        <w:jc w:val="right"/>
        <w:rPr>
          <w:rFonts w:ascii="Times New Roman" w:hAnsi="Times New Roman" w:eastAsia="宋体" w:cs="Times New Roman"/>
          <w:color w:val="auto"/>
          <w:sz w:val="21"/>
          <w:szCs w:val="21"/>
        </w:rPr>
      </w:pPr>
    </w:p>
    <w:p w14:paraId="301BC07F">
      <w:pPr>
        <w:pStyle w:val="11"/>
        <w:spacing w:line="400" w:lineRule="exact"/>
        <w:ind w:right="42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                                                  单位名称：             </w:t>
      </w:r>
    </w:p>
    <w:p w14:paraId="23DFD195">
      <w:pPr>
        <w:pStyle w:val="11"/>
        <w:spacing w:line="400" w:lineRule="exact"/>
        <w:ind w:right="420" w:firstLine="6195" w:firstLineChars="295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(法人代表签名和公章)              </w:t>
      </w:r>
    </w:p>
    <w:p w14:paraId="1283F381">
      <w:pPr>
        <w:pStyle w:val="11"/>
        <w:spacing w:line="400" w:lineRule="exact"/>
        <w:ind w:right="420"/>
        <w:jc w:val="righ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日    期:</w:t>
      </w:r>
      <w:r>
        <w:rPr>
          <w:rFonts w:ascii="Times New Roman" w:hAnsi="Times New Roman" w:eastAsia="宋体" w:cs="Times New Roman"/>
          <w:color w:val="auto"/>
          <w:sz w:val="21"/>
          <w:szCs w:val="21"/>
          <w:u w:val="single"/>
        </w:rPr>
        <w:t xml:space="preserve">__     _____  </w:t>
      </w:r>
    </w:p>
    <w:p w14:paraId="7D1BE8A3">
      <w:pPr>
        <w:pStyle w:val="11"/>
        <w:pageBreakBefore/>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附件4：</w:t>
      </w:r>
    </w:p>
    <w:p w14:paraId="19F8222C">
      <w:pPr>
        <w:pStyle w:val="11"/>
        <w:spacing w:line="400" w:lineRule="exact"/>
        <w:jc w:val="center"/>
        <w:rPr>
          <w:rFonts w:ascii="Times New Roman" w:hAnsi="Times New Roman" w:eastAsia="宋体" w:cs="Times New Roman"/>
          <w:b/>
          <w:color w:val="auto"/>
          <w:sz w:val="32"/>
          <w:szCs w:val="32"/>
        </w:rPr>
      </w:pPr>
      <w:r>
        <w:rPr>
          <w:rFonts w:ascii="Times New Roman" w:hAnsi="Times New Roman" w:eastAsia="宋体" w:cs="Times New Roman"/>
          <w:b/>
          <w:color w:val="auto"/>
          <w:sz w:val="32"/>
          <w:szCs w:val="32"/>
        </w:rPr>
        <w:t>安全文明承诺函</w:t>
      </w:r>
    </w:p>
    <w:p w14:paraId="25A0287C">
      <w:pPr>
        <w:pStyle w:val="11"/>
        <w:spacing w:line="400" w:lineRule="exact"/>
        <w:jc w:val="center"/>
        <w:rPr>
          <w:rFonts w:ascii="Times New Roman" w:hAnsi="Times New Roman" w:eastAsia="宋体" w:cs="Times New Roman"/>
          <w:b/>
          <w:color w:val="auto"/>
          <w:sz w:val="32"/>
          <w:szCs w:val="32"/>
        </w:rPr>
      </w:pPr>
    </w:p>
    <w:p w14:paraId="1E58011F">
      <w:pPr>
        <w:pStyle w:val="11"/>
        <w:spacing w:line="400" w:lineRule="exact"/>
        <w:rPr>
          <w:rFonts w:hint="eastAsia"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rPr>
        <w:t>致：</w:t>
      </w:r>
      <w:r>
        <w:rPr>
          <w:rFonts w:hint="eastAsia" w:ascii="Times New Roman" w:hAnsi="Times New Roman" w:eastAsia="宋体" w:cs="Times New Roman"/>
          <w:color w:val="auto"/>
          <w:sz w:val="21"/>
          <w:szCs w:val="21"/>
          <w:lang w:eastAsia="zh-CN"/>
        </w:rPr>
        <w:t>厦门国贸智慧城市科技有限公司</w:t>
      </w:r>
    </w:p>
    <w:p w14:paraId="75E82EE4">
      <w:pPr>
        <w:pStyle w:val="11"/>
        <w:spacing w:line="400" w:lineRule="exact"/>
        <w:ind w:firstLine="525" w:firstLineChars="25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如果我方施工中标，我方将严格按照招标文件要求、省市及国家规定来执行，确保“安全文明工地”。同时，我方将严格执行好各项安全保障制度，全面落实好各项安全措施，确保本工程在施工期间死亡事故为0，轻伤事故控制在1.2‰，无任何重伤事故。如我方达不到以上安全文明施工要求，我方愿承担本协议总金额的20%违约金。</w:t>
      </w:r>
    </w:p>
    <w:p w14:paraId="26CEDC44">
      <w:pPr>
        <w:pStyle w:val="11"/>
        <w:spacing w:line="400" w:lineRule="exact"/>
        <w:jc w:val="right"/>
        <w:rPr>
          <w:rFonts w:ascii="Times New Roman" w:hAnsi="Times New Roman" w:eastAsia="宋体" w:cs="Times New Roman"/>
          <w:color w:val="auto"/>
          <w:sz w:val="21"/>
          <w:szCs w:val="21"/>
        </w:rPr>
      </w:pPr>
    </w:p>
    <w:p w14:paraId="47D46EAA">
      <w:pPr>
        <w:pStyle w:val="11"/>
        <w:spacing w:line="400" w:lineRule="exact"/>
        <w:jc w:val="right"/>
        <w:rPr>
          <w:rFonts w:ascii="Times New Roman" w:hAnsi="Times New Roman" w:eastAsia="宋体" w:cs="Times New Roman"/>
          <w:color w:val="auto"/>
          <w:sz w:val="21"/>
          <w:szCs w:val="21"/>
        </w:rPr>
      </w:pPr>
    </w:p>
    <w:p w14:paraId="4A959C59">
      <w:pPr>
        <w:pStyle w:val="11"/>
        <w:spacing w:line="400" w:lineRule="exact"/>
        <w:jc w:val="right"/>
        <w:rPr>
          <w:rFonts w:ascii="Times New Roman" w:hAnsi="Times New Roman" w:eastAsia="宋体" w:cs="Times New Roman"/>
          <w:color w:val="auto"/>
          <w:sz w:val="21"/>
          <w:szCs w:val="21"/>
        </w:rPr>
      </w:pPr>
    </w:p>
    <w:p w14:paraId="4F2A3047">
      <w:pPr>
        <w:pStyle w:val="11"/>
        <w:spacing w:line="400" w:lineRule="exact"/>
        <w:ind w:right="42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                                                  单位名称：             </w:t>
      </w:r>
    </w:p>
    <w:p w14:paraId="44C70B43">
      <w:pPr>
        <w:pStyle w:val="11"/>
        <w:spacing w:line="400" w:lineRule="exact"/>
        <w:ind w:right="420" w:firstLine="6195" w:firstLineChars="295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(法人代表签名和公章)              </w:t>
      </w:r>
    </w:p>
    <w:p w14:paraId="6FF25A6F">
      <w:pPr>
        <w:pStyle w:val="11"/>
        <w:spacing w:line="400" w:lineRule="exact"/>
        <w:ind w:right="420"/>
        <w:jc w:val="righ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日    期:</w:t>
      </w:r>
      <w:r>
        <w:rPr>
          <w:rFonts w:ascii="Times New Roman" w:hAnsi="Times New Roman" w:eastAsia="宋体" w:cs="Times New Roman"/>
          <w:color w:val="auto"/>
          <w:sz w:val="21"/>
          <w:szCs w:val="21"/>
          <w:u w:val="single"/>
        </w:rPr>
        <w:t xml:space="preserve">__     _____  </w:t>
      </w:r>
    </w:p>
    <w:p w14:paraId="10ABDBE7">
      <w:pPr>
        <w:pStyle w:val="11"/>
        <w:pageBreakBefore/>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附件5：</w:t>
      </w:r>
    </w:p>
    <w:p w14:paraId="2381F26A">
      <w:pPr>
        <w:pStyle w:val="11"/>
        <w:spacing w:line="400" w:lineRule="exact"/>
        <w:jc w:val="center"/>
        <w:rPr>
          <w:rFonts w:ascii="Times New Roman" w:hAnsi="Times New Roman" w:eastAsia="宋体" w:cs="Times New Roman"/>
          <w:b/>
          <w:color w:val="auto"/>
          <w:sz w:val="32"/>
          <w:szCs w:val="32"/>
        </w:rPr>
      </w:pPr>
      <w:r>
        <w:rPr>
          <w:rFonts w:ascii="Times New Roman" w:hAnsi="Times New Roman" w:eastAsia="宋体" w:cs="Times New Roman"/>
          <w:b/>
          <w:color w:val="auto"/>
          <w:sz w:val="32"/>
          <w:szCs w:val="32"/>
        </w:rPr>
        <w:t>人员机构以及机械设备承诺函</w:t>
      </w:r>
    </w:p>
    <w:p w14:paraId="52169B93">
      <w:pPr>
        <w:pStyle w:val="11"/>
        <w:spacing w:line="400" w:lineRule="exact"/>
        <w:jc w:val="center"/>
        <w:rPr>
          <w:rFonts w:ascii="Times New Roman" w:hAnsi="Times New Roman" w:eastAsia="宋体" w:cs="Times New Roman"/>
          <w:b/>
          <w:color w:val="auto"/>
          <w:sz w:val="32"/>
          <w:szCs w:val="32"/>
        </w:rPr>
      </w:pPr>
    </w:p>
    <w:p w14:paraId="329A8B8A">
      <w:pPr>
        <w:pStyle w:val="11"/>
        <w:spacing w:line="400" w:lineRule="exact"/>
        <w:rPr>
          <w:rFonts w:hint="eastAsia"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rPr>
        <w:t>致：</w:t>
      </w:r>
      <w:r>
        <w:rPr>
          <w:rFonts w:hint="eastAsia" w:ascii="Times New Roman" w:hAnsi="Times New Roman" w:eastAsia="宋体" w:cs="Times New Roman"/>
          <w:color w:val="auto"/>
          <w:sz w:val="21"/>
          <w:szCs w:val="21"/>
          <w:lang w:eastAsia="zh-CN"/>
        </w:rPr>
        <w:t>厦门国贸智慧城市科技有限公司</w:t>
      </w:r>
    </w:p>
    <w:p w14:paraId="303280F7">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如我方施工中标，我方将保证现场的施工组织机构以及机械设备等与投标文件相符，施工过程中不做任何人员调动，如达不到要求，我方愿意承担以下罚款：更换现场项目负责人（更换必须征得总包/业主和贵司同意）人民币1万元/人，更换其他管理人员人民币5千元/人，项目负责人及管理人员出勤率不得低于每周5天，每少一天则按照200元/天/人予以处罚。</w:t>
      </w:r>
    </w:p>
    <w:p w14:paraId="4514D08C">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保证工人工资每月按有关法律法规的规定定期足额发放到每一工人手中，如未能及时发放工人工资，导致工人因工资问题闹事或向有关部门投诉的，贵司有权从剩余工程款、履约保证金中直接支付，同时我方仍承担如下违约责任：</w:t>
      </w:r>
    </w:p>
    <w:p w14:paraId="62F89975">
      <w:pPr>
        <w:pStyle w:val="11"/>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1、向贵司支付相当于扣除工人工资后剩余工程款的违约金，即贵司有权不予支付该剩余工程款；</w:t>
      </w:r>
    </w:p>
    <w:p w14:paraId="355A870D">
      <w:pPr>
        <w:pStyle w:val="11"/>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2、如贵司因此受到总包/业主索赔或被行政部门进行行政处罚的，我方需承担因此给贵司造成的经济损失；</w:t>
      </w:r>
    </w:p>
    <w:p w14:paraId="726D9BCC">
      <w:pPr>
        <w:pStyle w:val="11"/>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3、一旦出现因我方未能及时发放工人工资造成负面社会影响的，贵司有权不再与我方进行其他项目的合作。</w:t>
      </w:r>
    </w:p>
    <w:p w14:paraId="6E569B7F">
      <w:pPr>
        <w:pStyle w:val="11"/>
        <w:spacing w:line="400" w:lineRule="exact"/>
        <w:jc w:val="right"/>
        <w:rPr>
          <w:rFonts w:ascii="Times New Roman" w:hAnsi="Times New Roman" w:eastAsia="宋体" w:cs="Times New Roman"/>
          <w:color w:val="auto"/>
          <w:sz w:val="21"/>
          <w:szCs w:val="21"/>
        </w:rPr>
      </w:pPr>
    </w:p>
    <w:p w14:paraId="3415E52D">
      <w:pPr>
        <w:pStyle w:val="11"/>
        <w:spacing w:line="400" w:lineRule="exact"/>
        <w:jc w:val="right"/>
        <w:rPr>
          <w:rFonts w:ascii="Times New Roman" w:hAnsi="Times New Roman" w:eastAsia="宋体" w:cs="Times New Roman"/>
          <w:color w:val="auto"/>
          <w:sz w:val="21"/>
          <w:szCs w:val="21"/>
        </w:rPr>
      </w:pPr>
    </w:p>
    <w:p w14:paraId="4D9CECD9">
      <w:pPr>
        <w:pStyle w:val="11"/>
        <w:spacing w:line="400" w:lineRule="exact"/>
        <w:jc w:val="right"/>
        <w:rPr>
          <w:rFonts w:ascii="Times New Roman" w:hAnsi="Times New Roman" w:eastAsia="宋体" w:cs="Times New Roman"/>
          <w:color w:val="auto"/>
          <w:sz w:val="21"/>
          <w:szCs w:val="21"/>
        </w:rPr>
      </w:pPr>
    </w:p>
    <w:p w14:paraId="1D804786">
      <w:pPr>
        <w:pStyle w:val="11"/>
        <w:spacing w:line="400" w:lineRule="exact"/>
        <w:ind w:right="42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                                                  单位名称：             </w:t>
      </w:r>
    </w:p>
    <w:p w14:paraId="755204FC">
      <w:pPr>
        <w:pStyle w:val="11"/>
        <w:spacing w:line="400" w:lineRule="exact"/>
        <w:ind w:right="420" w:firstLine="6195" w:firstLineChars="295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(法人代表签名和公章)              </w:t>
      </w:r>
    </w:p>
    <w:p w14:paraId="53B22E33">
      <w:pPr>
        <w:pStyle w:val="11"/>
        <w:spacing w:line="400" w:lineRule="exact"/>
        <w:ind w:right="420"/>
        <w:jc w:val="righ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日    期:</w:t>
      </w:r>
      <w:r>
        <w:rPr>
          <w:rFonts w:ascii="Times New Roman" w:hAnsi="Times New Roman" w:eastAsia="宋体" w:cs="Times New Roman"/>
          <w:color w:val="auto"/>
          <w:sz w:val="21"/>
          <w:szCs w:val="21"/>
          <w:u w:val="single"/>
        </w:rPr>
        <w:t xml:space="preserve">__     _____  </w:t>
      </w:r>
    </w:p>
    <w:p w14:paraId="4F2E817D">
      <w:pPr>
        <w:pStyle w:val="11"/>
        <w:pageBreakBefore/>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附件6：</w:t>
      </w:r>
    </w:p>
    <w:p w14:paraId="7748111C">
      <w:pPr>
        <w:pStyle w:val="11"/>
        <w:spacing w:line="400" w:lineRule="exact"/>
        <w:jc w:val="center"/>
        <w:rPr>
          <w:rFonts w:ascii="Times New Roman" w:hAnsi="Times New Roman" w:eastAsia="宋体" w:cs="Times New Roman"/>
          <w:b/>
          <w:color w:val="auto"/>
          <w:sz w:val="32"/>
          <w:szCs w:val="32"/>
        </w:rPr>
      </w:pPr>
      <w:r>
        <w:rPr>
          <w:rFonts w:ascii="Times New Roman" w:hAnsi="Times New Roman" w:eastAsia="宋体" w:cs="Times New Roman"/>
          <w:b/>
          <w:color w:val="auto"/>
          <w:sz w:val="32"/>
          <w:szCs w:val="32"/>
        </w:rPr>
        <w:t>承诺函</w:t>
      </w:r>
    </w:p>
    <w:p w14:paraId="3E82E68F">
      <w:pPr>
        <w:pStyle w:val="11"/>
        <w:spacing w:line="400" w:lineRule="exact"/>
        <w:jc w:val="center"/>
        <w:rPr>
          <w:rFonts w:ascii="Times New Roman" w:hAnsi="Times New Roman" w:eastAsia="宋体" w:cs="Times New Roman"/>
          <w:b/>
          <w:color w:val="auto"/>
          <w:sz w:val="21"/>
          <w:szCs w:val="21"/>
        </w:rPr>
      </w:pPr>
    </w:p>
    <w:p w14:paraId="50D5F49F">
      <w:pPr>
        <w:pStyle w:val="11"/>
        <w:spacing w:line="400" w:lineRule="exact"/>
        <w:rPr>
          <w:rFonts w:hint="eastAsia"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rPr>
        <w:t>致：</w:t>
      </w:r>
      <w:r>
        <w:rPr>
          <w:rFonts w:hint="eastAsia" w:ascii="Times New Roman" w:hAnsi="Times New Roman" w:eastAsia="宋体" w:cs="Times New Roman"/>
          <w:color w:val="auto"/>
          <w:sz w:val="21"/>
          <w:szCs w:val="21"/>
          <w:lang w:eastAsia="zh-CN"/>
        </w:rPr>
        <w:t>厦门国贸智慧城市科技有限公司</w:t>
      </w:r>
    </w:p>
    <w:p w14:paraId="15A7B252">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我公司承诺按期保质完成本合同的所有工作内容，并积极配合贵司将工程顺利交付业主；保证工程施工期间不发生被业主投诉、中途退场和拖欠农民工工资等严重影响公司形象的事件。如有发生，我公司愿意承担本合同总价20%的罚款，并退还该工程所有的已收款。</w:t>
      </w:r>
    </w:p>
    <w:p w14:paraId="0F8DB489">
      <w:pPr>
        <w:pStyle w:val="11"/>
        <w:spacing w:line="400" w:lineRule="exact"/>
        <w:jc w:val="right"/>
        <w:rPr>
          <w:rFonts w:ascii="Times New Roman" w:hAnsi="Times New Roman" w:eastAsia="宋体" w:cs="Times New Roman"/>
          <w:color w:val="auto"/>
          <w:sz w:val="21"/>
          <w:szCs w:val="21"/>
        </w:rPr>
      </w:pPr>
    </w:p>
    <w:p w14:paraId="5629DB33">
      <w:pPr>
        <w:pStyle w:val="11"/>
        <w:spacing w:line="400" w:lineRule="exact"/>
        <w:jc w:val="right"/>
        <w:rPr>
          <w:rFonts w:ascii="Times New Roman" w:hAnsi="Times New Roman" w:eastAsia="宋体" w:cs="Times New Roman"/>
          <w:color w:val="auto"/>
          <w:sz w:val="21"/>
          <w:szCs w:val="21"/>
        </w:rPr>
      </w:pPr>
    </w:p>
    <w:p w14:paraId="150BEF98">
      <w:pPr>
        <w:pStyle w:val="11"/>
        <w:spacing w:line="400" w:lineRule="exact"/>
        <w:jc w:val="right"/>
        <w:rPr>
          <w:rFonts w:ascii="Times New Roman" w:hAnsi="Times New Roman" w:eastAsia="宋体" w:cs="Times New Roman"/>
          <w:color w:val="auto"/>
          <w:sz w:val="21"/>
          <w:szCs w:val="21"/>
        </w:rPr>
      </w:pPr>
    </w:p>
    <w:p w14:paraId="184ECBC0">
      <w:pPr>
        <w:pStyle w:val="11"/>
        <w:spacing w:line="400" w:lineRule="exact"/>
        <w:ind w:right="42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                                                  单位名称：             </w:t>
      </w:r>
    </w:p>
    <w:p w14:paraId="72BBD80C">
      <w:pPr>
        <w:pStyle w:val="11"/>
        <w:spacing w:line="400" w:lineRule="exact"/>
        <w:ind w:right="420" w:firstLine="6195" w:firstLineChars="295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(法人代表签名和公章)              </w:t>
      </w:r>
    </w:p>
    <w:p w14:paraId="4D56A181">
      <w:pPr>
        <w:pStyle w:val="11"/>
        <w:spacing w:line="400" w:lineRule="exact"/>
        <w:ind w:right="420"/>
        <w:jc w:val="righ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日    期:</w:t>
      </w:r>
      <w:r>
        <w:rPr>
          <w:rFonts w:ascii="Times New Roman" w:hAnsi="Times New Roman" w:eastAsia="宋体" w:cs="Times New Roman"/>
          <w:color w:val="auto"/>
          <w:sz w:val="21"/>
          <w:szCs w:val="21"/>
          <w:u w:val="single"/>
        </w:rPr>
        <w:t xml:space="preserve">__     _____  </w:t>
      </w:r>
    </w:p>
    <w:p w14:paraId="47E90E19">
      <w:pPr>
        <w:pStyle w:val="11"/>
        <w:pageBreakBefore/>
        <w:spacing w:line="400" w:lineRule="exac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附件7：</w:t>
      </w:r>
    </w:p>
    <w:p w14:paraId="066F5B10">
      <w:pPr>
        <w:pStyle w:val="11"/>
        <w:spacing w:line="400" w:lineRule="exact"/>
        <w:jc w:val="center"/>
        <w:rPr>
          <w:rFonts w:ascii="Times New Roman" w:hAnsi="Times New Roman" w:eastAsia="宋体" w:cs="Times New Roman"/>
          <w:b/>
          <w:color w:val="auto"/>
          <w:sz w:val="32"/>
          <w:szCs w:val="32"/>
        </w:rPr>
      </w:pPr>
      <w:r>
        <w:rPr>
          <w:rFonts w:ascii="Times New Roman" w:hAnsi="Times New Roman" w:eastAsia="宋体" w:cs="Times New Roman"/>
          <w:b/>
          <w:color w:val="auto"/>
          <w:sz w:val="32"/>
          <w:szCs w:val="32"/>
        </w:rPr>
        <w:t>承诺函</w:t>
      </w:r>
    </w:p>
    <w:p w14:paraId="5788FFBD">
      <w:pPr>
        <w:pStyle w:val="11"/>
        <w:spacing w:line="400" w:lineRule="exact"/>
        <w:jc w:val="center"/>
        <w:rPr>
          <w:rFonts w:ascii="Times New Roman" w:hAnsi="Times New Roman" w:eastAsia="宋体" w:cs="Times New Roman"/>
          <w:b/>
          <w:color w:val="auto"/>
          <w:sz w:val="32"/>
          <w:szCs w:val="32"/>
        </w:rPr>
      </w:pPr>
    </w:p>
    <w:p w14:paraId="1019CA2D">
      <w:pPr>
        <w:pStyle w:val="11"/>
        <w:spacing w:line="400" w:lineRule="exact"/>
        <w:rPr>
          <w:rFonts w:hint="eastAsia"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rPr>
        <w:t>致：</w:t>
      </w:r>
      <w:r>
        <w:rPr>
          <w:rFonts w:hint="eastAsia" w:ascii="Times New Roman" w:hAnsi="Times New Roman" w:eastAsia="宋体" w:cs="Times New Roman"/>
          <w:color w:val="auto"/>
          <w:sz w:val="21"/>
          <w:szCs w:val="21"/>
          <w:lang w:eastAsia="zh-CN"/>
        </w:rPr>
        <w:t>厦门国贸智慧城市科技有限公司</w:t>
      </w:r>
    </w:p>
    <w:p w14:paraId="0B0EF8DF">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我方承诺将全力配合贵司进行项目审计，并在贵司收到发包人签发的审计结果后7日内予以签字或回复，审计单位或发包人认为无充足理由及证据逾期未签字也未回复的，贵司可单方直接签字认可审计结果，并以此审计造价及与我方签订的协议，确定我方最终决算价格。若拖延签字事实已存在并造成贵司损失的，我方承诺负担全部责任。</w:t>
      </w:r>
    </w:p>
    <w:p w14:paraId="7D799A6F">
      <w:pPr>
        <w:pStyle w:val="11"/>
        <w:spacing w:line="400" w:lineRule="exact"/>
        <w:jc w:val="right"/>
        <w:rPr>
          <w:rFonts w:ascii="Times New Roman" w:hAnsi="Times New Roman" w:eastAsia="宋体" w:cs="Times New Roman"/>
          <w:color w:val="auto"/>
          <w:sz w:val="21"/>
          <w:szCs w:val="21"/>
        </w:rPr>
      </w:pPr>
    </w:p>
    <w:p w14:paraId="03E24504">
      <w:pPr>
        <w:pStyle w:val="11"/>
        <w:spacing w:line="400" w:lineRule="exact"/>
        <w:jc w:val="right"/>
        <w:rPr>
          <w:rFonts w:ascii="Times New Roman" w:hAnsi="Times New Roman" w:eastAsia="宋体" w:cs="Times New Roman"/>
          <w:color w:val="auto"/>
          <w:sz w:val="21"/>
          <w:szCs w:val="21"/>
        </w:rPr>
      </w:pPr>
    </w:p>
    <w:p w14:paraId="3CAD78AA">
      <w:pPr>
        <w:pStyle w:val="11"/>
        <w:spacing w:line="400" w:lineRule="exact"/>
        <w:jc w:val="right"/>
        <w:rPr>
          <w:rFonts w:ascii="Times New Roman" w:hAnsi="Times New Roman" w:eastAsia="宋体" w:cs="Times New Roman"/>
          <w:color w:val="auto"/>
          <w:sz w:val="21"/>
          <w:szCs w:val="21"/>
        </w:rPr>
      </w:pPr>
    </w:p>
    <w:p w14:paraId="0500FE5A">
      <w:pPr>
        <w:pStyle w:val="11"/>
        <w:spacing w:line="400" w:lineRule="exact"/>
        <w:ind w:right="42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                                                  单位名称：             </w:t>
      </w:r>
    </w:p>
    <w:p w14:paraId="28F58CBD">
      <w:pPr>
        <w:pStyle w:val="11"/>
        <w:spacing w:line="400" w:lineRule="exact"/>
        <w:ind w:right="420" w:firstLine="6195" w:firstLineChars="295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(法人代表签名和公章)              </w:t>
      </w:r>
    </w:p>
    <w:p w14:paraId="57928E19">
      <w:pPr>
        <w:pStyle w:val="11"/>
        <w:spacing w:line="400" w:lineRule="exact"/>
        <w:ind w:right="420"/>
        <w:jc w:val="right"/>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日    期:</w:t>
      </w:r>
      <w:r>
        <w:rPr>
          <w:rFonts w:ascii="Times New Roman" w:hAnsi="Times New Roman" w:eastAsia="宋体" w:cs="Times New Roman"/>
          <w:color w:val="auto"/>
          <w:sz w:val="21"/>
          <w:szCs w:val="21"/>
          <w:u w:val="single"/>
        </w:rPr>
        <w:t>__     _____</w:t>
      </w:r>
    </w:p>
    <w:p w14:paraId="472A81D9">
      <w:pPr>
        <w:widowControl/>
        <w:jc w:val="left"/>
        <w:rPr>
          <w:rFonts w:ascii="Times New Roman" w:hAnsi="Times New Roman" w:eastAsia="宋体" w:cs="Times New Roman"/>
          <w:color w:val="auto"/>
          <w:kern w:val="0"/>
          <w:szCs w:val="21"/>
        </w:rPr>
      </w:pPr>
      <w:r>
        <w:rPr>
          <w:rFonts w:ascii="Times New Roman" w:hAnsi="Times New Roman" w:eastAsia="宋体" w:cs="Times New Roman"/>
          <w:color w:val="auto"/>
          <w:szCs w:val="21"/>
        </w:rPr>
        <w:br w:type="page"/>
      </w:r>
    </w:p>
    <w:p w14:paraId="06FEF52B">
      <w:pPr>
        <w:pStyle w:val="11"/>
        <w:spacing w:line="400" w:lineRule="exact"/>
        <w:ind w:right="42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附件8：</w:t>
      </w:r>
    </w:p>
    <w:p w14:paraId="5BA9E8B0">
      <w:pPr>
        <w:pStyle w:val="11"/>
        <w:spacing w:line="400" w:lineRule="exact"/>
        <w:jc w:val="center"/>
        <w:rPr>
          <w:rFonts w:ascii="Times New Roman" w:hAnsi="Times New Roman" w:eastAsia="宋体" w:cs="Times New Roman"/>
          <w:b/>
          <w:color w:val="auto"/>
          <w:sz w:val="32"/>
          <w:szCs w:val="32"/>
        </w:rPr>
      </w:pPr>
      <w:r>
        <w:rPr>
          <w:rFonts w:ascii="Times New Roman" w:hAnsi="Times New Roman" w:eastAsia="宋体" w:cs="Times New Roman"/>
          <w:b/>
          <w:color w:val="auto"/>
          <w:sz w:val="32"/>
          <w:szCs w:val="32"/>
        </w:rPr>
        <w:t>承诺函</w:t>
      </w:r>
    </w:p>
    <w:p w14:paraId="0DC4CC1B">
      <w:pPr>
        <w:pStyle w:val="11"/>
        <w:spacing w:line="400" w:lineRule="exact"/>
        <w:jc w:val="center"/>
        <w:rPr>
          <w:rFonts w:ascii="Times New Roman" w:hAnsi="Times New Roman" w:eastAsia="宋体" w:cs="Times New Roman"/>
          <w:b/>
          <w:color w:val="auto"/>
          <w:sz w:val="32"/>
          <w:szCs w:val="32"/>
        </w:rPr>
      </w:pPr>
    </w:p>
    <w:p w14:paraId="76792669">
      <w:pPr>
        <w:pStyle w:val="11"/>
        <w:spacing w:line="400" w:lineRule="exact"/>
        <w:rPr>
          <w:rFonts w:hint="eastAsia"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rPr>
        <w:t>致：</w:t>
      </w:r>
      <w:r>
        <w:rPr>
          <w:rFonts w:hint="eastAsia" w:ascii="Times New Roman" w:hAnsi="Times New Roman" w:eastAsia="宋体" w:cs="Times New Roman"/>
          <w:color w:val="auto"/>
          <w:sz w:val="21"/>
          <w:szCs w:val="21"/>
          <w:lang w:eastAsia="zh-CN"/>
        </w:rPr>
        <w:t>厦门国贸智慧城市科技有限公司</w:t>
      </w:r>
    </w:p>
    <w:p w14:paraId="6344DB7F">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我方承诺依据协议约定为施工场地内的施工和管理人员办理意外伤害保险，且进入施工现场前已生效；并为施工场地内自有人员生命财产和施工机械设备办理保险，支付保险费用。</w:t>
      </w:r>
    </w:p>
    <w:p w14:paraId="00FE07C3">
      <w:pPr>
        <w:pStyle w:val="11"/>
        <w:spacing w:line="400" w:lineRule="exact"/>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发生重大伤亡及其他安全事故，我方将按有关规定立即上报相关部门并报告甲方，同时按国家有关法律、行政法规对事故进行处理。我方对自用员工的伤亡负担全部的赔偿责任。</w:t>
      </w:r>
    </w:p>
    <w:p w14:paraId="6A0F1A71">
      <w:pPr>
        <w:pStyle w:val="11"/>
        <w:spacing w:line="400" w:lineRule="exact"/>
        <w:jc w:val="right"/>
        <w:rPr>
          <w:rFonts w:ascii="Times New Roman" w:hAnsi="Times New Roman" w:eastAsia="宋体" w:cs="Times New Roman"/>
          <w:color w:val="auto"/>
          <w:sz w:val="21"/>
          <w:szCs w:val="21"/>
        </w:rPr>
      </w:pPr>
    </w:p>
    <w:p w14:paraId="5C3696AE">
      <w:pPr>
        <w:pStyle w:val="11"/>
        <w:spacing w:line="400" w:lineRule="exact"/>
        <w:jc w:val="right"/>
        <w:rPr>
          <w:rFonts w:ascii="Times New Roman" w:hAnsi="Times New Roman" w:eastAsia="宋体" w:cs="Times New Roman"/>
          <w:color w:val="auto"/>
          <w:sz w:val="21"/>
          <w:szCs w:val="21"/>
        </w:rPr>
      </w:pPr>
    </w:p>
    <w:p w14:paraId="2A5438C2">
      <w:pPr>
        <w:pStyle w:val="11"/>
        <w:spacing w:line="400" w:lineRule="exact"/>
        <w:jc w:val="right"/>
        <w:rPr>
          <w:rFonts w:ascii="Times New Roman" w:hAnsi="Times New Roman" w:eastAsia="宋体" w:cs="Times New Roman"/>
          <w:color w:val="auto"/>
          <w:sz w:val="21"/>
          <w:szCs w:val="21"/>
        </w:rPr>
      </w:pPr>
    </w:p>
    <w:p w14:paraId="3E2389C0">
      <w:pPr>
        <w:pStyle w:val="11"/>
        <w:spacing w:line="400" w:lineRule="exact"/>
        <w:ind w:right="42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                                                  单位名称：             </w:t>
      </w:r>
    </w:p>
    <w:p w14:paraId="09BF148D">
      <w:pPr>
        <w:pStyle w:val="11"/>
        <w:spacing w:line="400" w:lineRule="exact"/>
        <w:ind w:right="420" w:firstLine="6195" w:firstLineChars="295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(法人代表签名和公章)              </w:t>
      </w:r>
    </w:p>
    <w:p w14:paraId="454ADA8F">
      <w:pPr>
        <w:pStyle w:val="11"/>
        <w:spacing w:line="400" w:lineRule="exact"/>
        <w:ind w:right="420"/>
        <w:jc w:val="right"/>
        <w:rPr>
          <w:rFonts w:ascii="Times New Roman" w:hAnsi="Times New Roman" w:eastAsia="宋体" w:cs="Times New Roman"/>
          <w:color w:val="auto"/>
          <w:sz w:val="21"/>
          <w:szCs w:val="21"/>
          <w:u w:val="single"/>
        </w:rPr>
      </w:pPr>
      <w:r>
        <w:rPr>
          <w:rFonts w:ascii="Times New Roman" w:hAnsi="Times New Roman" w:eastAsia="宋体" w:cs="Times New Roman"/>
          <w:color w:val="auto"/>
          <w:sz w:val="21"/>
          <w:szCs w:val="21"/>
        </w:rPr>
        <w:t>日    期:</w:t>
      </w:r>
      <w:r>
        <w:rPr>
          <w:rFonts w:ascii="Times New Roman" w:hAnsi="Times New Roman" w:eastAsia="宋体" w:cs="Times New Roman"/>
          <w:color w:val="auto"/>
          <w:sz w:val="21"/>
          <w:szCs w:val="21"/>
          <w:u w:val="single"/>
        </w:rPr>
        <w:t xml:space="preserve">__     _____  </w:t>
      </w:r>
    </w:p>
    <w:p w14:paraId="41B4599D">
      <w:pPr>
        <w:pStyle w:val="11"/>
        <w:spacing w:line="400" w:lineRule="exact"/>
        <w:ind w:right="420"/>
        <w:jc w:val="right"/>
        <w:rPr>
          <w:rFonts w:ascii="Times New Roman" w:hAnsi="Times New Roman" w:eastAsia="宋体" w:cs="Times New Roman"/>
          <w:color w:val="auto"/>
          <w:sz w:val="21"/>
          <w:szCs w:val="21"/>
        </w:rPr>
      </w:pPr>
    </w:p>
    <w:p w14:paraId="3331035A">
      <w:pPr>
        <w:pStyle w:val="11"/>
        <w:spacing w:line="400" w:lineRule="exact"/>
        <w:rPr>
          <w:rFonts w:ascii="Times New Roman" w:hAnsi="Times New Roman" w:cs="Times New Roman"/>
          <w:color w:val="auto"/>
          <w:sz w:val="21"/>
          <w:szCs w:val="21"/>
        </w:rPr>
      </w:pPr>
    </w:p>
    <w:sectPr>
      <w:headerReference r:id="rId3" w:type="default"/>
      <w:footerReference r:id="rId4" w:type="default"/>
      <w:type w:val="continuous"/>
      <w:pgSz w:w="11906" w:h="16838"/>
      <w:pgMar w:top="1559" w:right="1134" w:bottom="720" w:left="1134" w:header="39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5CDE">
    <w:pPr>
      <w:pStyle w:val="5"/>
      <w:jc w:val="right"/>
    </w:pPr>
    <w:r>
      <w:rPr>
        <w:rFonts w:hint="eastAsia"/>
      </w:rPr>
      <w:t>第</w:t>
    </w:r>
    <w:sdt>
      <w:sdtPr>
        <w:id w:val="-1677799759"/>
      </w:sdtPr>
      <w:sdtContent>
        <w:r>
          <w:fldChar w:fldCharType="begin"/>
        </w:r>
        <w:r>
          <w:instrText xml:space="preserve">PAGE   \* MERGEFORMAT</w:instrText>
        </w:r>
        <w:r>
          <w:fldChar w:fldCharType="separate"/>
        </w:r>
        <w:r>
          <w:rPr>
            <w:lang w:val="zh-CN"/>
          </w:rPr>
          <w:t>2</w:t>
        </w:r>
        <w:r>
          <w:rPr>
            <w:lang w:val="zh-CN"/>
          </w:rPr>
          <w:fldChar w:fldCharType="end"/>
        </w:r>
        <w:r>
          <w:rPr>
            <w:rFonts w:hint="eastAsia"/>
          </w:rPr>
          <w:t>页</w:t>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26A32">
    <w:pPr>
      <w:pStyle w:val="6"/>
      <w:pBdr>
        <w:bottom w:val="single" w:color="auto" w:sz="6" w:space="4"/>
      </w:pBdr>
      <w:jc w:val="right"/>
      <w:rPr>
        <w:rFonts w:hint="default" w:eastAsiaTheme="minorEastAsia"/>
        <w:sz w:val="21"/>
        <w:szCs w:val="21"/>
        <w:lang w:val="en-US" w:eastAsia="zh-CN"/>
      </w:rPr>
    </w:pPr>
    <w:r>
      <w:rPr>
        <w:rFonts w:hint="eastAsia"/>
        <w:sz w:val="21"/>
        <w:szCs w:val="21"/>
        <w:lang w:val="en-US" w:eastAsia="zh-CN"/>
      </w:rPr>
      <w:t>厦门国贸智慧城市科技有限公司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B1402"/>
    <w:multiLevelType w:val="multilevel"/>
    <w:tmpl w:val="016B1402"/>
    <w:lvl w:ilvl="0" w:tentative="0">
      <w:start w:val="9"/>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
    <w:nsid w:val="0449097D"/>
    <w:multiLevelType w:val="multilevel"/>
    <w:tmpl w:val="0449097D"/>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
    <w:nsid w:val="044F6F83"/>
    <w:multiLevelType w:val="multilevel"/>
    <w:tmpl w:val="044F6F83"/>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3">
    <w:nsid w:val="061F15B0"/>
    <w:multiLevelType w:val="multilevel"/>
    <w:tmpl w:val="061F15B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93240A5"/>
    <w:multiLevelType w:val="multilevel"/>
    <w:tmpl w:val="193240A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C407699"/>
    <w:multiLevelType w:val="multilevel"/>
    <w:tmpl w:val="1C40769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1C70D41"/>
    <w:multiLevelType w:val="multilevel"/>
    <w:tmpl w:val="21C70D41"/>
    <w:lvl w:ilvl="0" w:tentative="0">
      <w:start w:val="11"/>
      <w:numFmt w:val="decimal"/>
      <w:lvlText w:val="%1"/>
      <w:lvlJc w:val="left"/>
      <w:pPr>
        <w:ind w:left="375" w:hanging="375"/>
      </w:pPr>
      <w:rPr>
        <w:rFonts w:hint="default"/>
      </w:rPr>
    </w:lvl>
    <w:lvl w:ilvl="1" w:tentative="0">
      <w:start w:val="1"/>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7">
    <w:nsid w:val="25DE63F2"/>
    <w:multiLevelType w:val="multilevel"/>
    <w:tmpl w:val="25DE63F2"/>
    <w:lvl w:ilvl="0" w:tentative="0">
      <w:start w:val="12"/>
      <w:numFmt w:val="decimal"/>
      <w:lvlText w:val="%1"/>
      <w:lvlJc w:val="left"/>
      <w:pPr>
        <w:ind w:left="375" w:hanging="375"/>
      </w:pPr>
      <w:rPr>
        <w:rFonts w:hint="default"/>
      </w:rPr>
    </w:lvl>
    <w:lvl w:ilvl="1" w:tentative="0">
      <w:start w:val="1"/>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8">
    <w:nsid w:val="2867401C"/>
    <w:multiLevelType w:val="multilevel"/>
    <w:tmpl w:val="2867401C"/>
    <w:lvl w:ilvl="0" w:tentative="0">
      <w:start w:val="1"/>
      <w:numFmt w:val="decimal"/>
      <w:lvlText w:val="(%1)"/>
      <w:lvlJc w:val="left"/>
      <w:pPr>
        <w:ind w:left="420" w:hanging="420"/>
      </w:pPr>
      <w:rPr>
        <w:rFonts w:hint="eastAsia"/>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3325502F"/>
    <w:multiLevelType w:val="multilevel"/>
    <w:tmpl w:val="3325502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337F5208"/>
    <w:multiLevelType w:val="multilevel"/>
    <w:tmpl w:val="337F5208"/>
    <w:lvl w:ilvl="0" w:tentative="0">
      <w:start w:val="13"/>
      <w:numFmt w:val="decimal"/>
      <w:lvlText w:val="%1"/>
      <w:lvlJc w:val="left"/>
      <w:pPr>
        <w:ind w:left="375" w:hanging="375"/>
      </w:pPr>
      <w:rPr>
        <w:rFonts w:hint="default"/>
      </w:rPr>
    </w:lvl>
    <w:lvl w:ilvl="1" w:tentative="0">
      <w:start w:val="1"/>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1">
    <w:nsid w:val="41546247"/>
    <w:multiLevelType w:val="multilevel"/>
    <w:tmpl w:val="41546247"/>
    <w:lvl w:ilvl="0" w:tentative="0">
      <w:start w:val="1"/>
      <w:numFmt w:val="decimal"/>
      <w:lvlText w:val="%1"/>
      <w:lvlJc w:val="left"/>
      <w:pPr>
        <w:ind w:left="360" w:hanging="360"/>
      </w:pPr>
      <w:rPr>
        <w:rFonts w:hint="default"/>
        <w:u w:val="none"/>
      </w:rPr>
    </w:lvl>
    <w:lvl w:ilvl="1" w:tentative="0">
      <w:start w:val="1"/>
      <w:numFmt w:val="decimal"/>
      <w:lvlText w:val="3.%2"/>
      <w:lvlJc w:val="left"/>
      <w:pPr>
        <w:ind w:left="360" w:hanging="360"/>
      </w:pPr>
      <w:rPr>
        <w:rFonts w:hint="default"/>
        <w:u w:val="none"/>
      </w:rPr>
    </w:lvl>
    <w:lvl w:ilvl="2" w:tentative="0">
      <w:start w:val="1"/>
      <w:numFmt w:val="decimal"/>
      <w:lvlText w:val="%1.%2.%3"/>
      <w:lvlJc w:val="left"/>
      <w:pPr>
        <w:ind w:left="720" w:hanging="720"/>
      </w:pPr>
      <w:rPr>
        <w:rFonts w:hint="default"/>
        <w:u w:val="none"/>
      </w:rPr>
    </w:lvl>
    <w:lvl w:ilvl="3" w:tentative="0">
      <w:start w:val="1"/>
      <w:numFmt w:val="decimal"/>
      <w:lvlText w:val="%1.%2.%3.%4"/>
      <w:lvlJc w:val="left"/>
      <w:pPr>
        <w:ind w:left="720" w:hanging="720"/>
      </w:pPr>
      <w:rPr>
        <w:rFonts w:hint="default"/>
        <w:u w:val="none"/>
      </w:rPr>
    </w:lvl>
    <w:lvl w:ilvl="4" w:tentative="0">
      <w:start w:val="1"/>
      <w:numFmt w:val="decimal"/>
      <w:lvlText w:val="%1.%2.%3.%4.%5"/>
      <w:lvlJc w:val="left"/>
      <w:pPr>
        <w:ind w:left="1080" w:hanging="1080"/>
      </w:pPr>
      <w:rPr>
        <w:rFonts w:hint="default"/>
        <w:u w:val="none"/>
      </w:rPr>
    </w:lvl>
    <w:lvl w:ilvl="5" w:tentative="0">
      <w:start w:val="1"/>
      <w:numFmt w:val="decimal"/>
      <w:lvlText w:val="%1.%2.%3.%4.%5.%6"/>
      <w:lvlJc w:val="left"/>
      <w:pPr>
        <w:ind w:left="1080" w:hanging="1080"/>
      </w:pPr>
      <w:rPr>
        <w:rFonts w:hint="default"/>
        <w:u w:val="none"/>
      </w:rPr>
    </w:lvl>
    <w:lvl w:ilvl="6" w:tentative="0">
      <w:start w:val="1"/>
      <w:numFmt w:val="decimal"/>
      <w:lvlText w:val="%1.%2.%3.%4.%5.%6.%7"/>
      <w:lvlJc w:val="left"/>
      <w:pPr>
        <w:ind w:left="1080" w:hanging="1080"/>
      </w:pPr>
      <w:rPr>
        <w:rFonts w:hint="default"/>
        <w:u w:val="none"/>
      </w:rPr>
    </w:lvl>
    <w:lvl w:ilvl="7" w:tentative="0">
      <w:start w:val="1"/>
      <w:numFmt w:val="decimal"/>
      <w:lvlText w:val="%1.%2.%3.%4.%5.%6.%7.%8"/>
      <w:lvlJc w:val="left"/>
      <w:pPr>
        <w:ind w:left="1440" w:hanging="1440"/>
      </w:pPr>
      <w:rPr>
        <w:rFonts w:hint="default"/>
        <w:u w:val="none"/>
      </w:rPr>
    </w:lvl>
    <w:lvl w:ilvl="8" w:tentative="0">
      <w:start w:val="1"/>
      <w:numFmt w:val="decimal"/>
      <w:lvlText w:val="%1.%2.%3.%4.%5.%6.%7.%8.%9"/>
      <w:lvlJc w:val="left"/>
      <w:pPr>
        <w:ind w:left="1440" w:hanging="1440"/>
      </w:pPr>
      <w:rPr>
        <w:rFonts w:hint="default"/>
        <w:u w:val="none"/>
      </w:rPr>
    </w:lvl>
  </w:abstractNum>
  <w:abstractNum w:abstractNumId="12">
    <w:nsid w:val="44BA4587"/>
    <w:multiLevelType w:val="multilevel"/>
    <w:tmpl w:val="44BA4587"/>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3">
    <w:nsid w:val="45A16919"/>
    <w:multiLevelType w:val="multilevel"/>
    <w:tmpl w:val="45A16919"/>
    <w:lvl w:ilvl="0" w:tentative="0">
      <w:start w:val="1"/>
      <w:numFmt w:val="decimal"/>
      <w:lvlText w:val="%1"/>
      <w:lvlJc w:val="left"/>
      <w:pPr>
        <w:ind w:left="360" w:hanging="360"/>
      </w:pPr>
      <w:rPr>
        <w:rFonts w:hint="default"/>
        <w:u w:val="none"/>
      </w:rPr>
    </w:lvl>
    <w:lvl w:ilvl="1" w:tentative="0">
      <w:start w:val="1"/>
      <w:numFmt w:val="decimal"/>
      <w:lvlText w:val="%1.%2"/>
      <w:lvlJc w:val="left"/>
      <w:pPr>
        <w:ind w:left="360" w:hanging="360"/>
      </w:pPr>
      <w:rPr>
        <w:rFonts w:hint="default"/>
        <w:u w:val="none"/>
      </w:rPr>
    </w:lvl>
    <w:lvl w:ilvl="2" w:tentative="0">
      <w:start w:val="1"/>
      <w:numFmt w:val="decimal"/>
      <w:lvlText w:val="%1.%2.%3"/>
      <w:lvlJc w:val="left"/>
      <w:pPr>
        <w:ind w:left="720" w:hanging="720"/>
      </w:pPr>
      <w:rPr>
        <w:rFonts w:hint="default"/>
        <w:u w:val="none"/>
      </w:rPr>
    </w:lvl>
    <w:lvl w:ilvl="3" w:tentative="0">
      <w:start w:val="1"/>
      <w:numFmt w:val="decimal"/>
      <w:lvlText w:val="%1.%2.%3.%4"/>
      <w:lvlJc w:val="left"/>
      <w:pPr>
        <w:ind w:left="720" w:hanging="720"/>
      </w:pPr>
      <w:rPr>
        <w:rFonts w:hint="default"/>
        <w:u w:val="none"/>
      </w:rPr>
    </w:lvl>
    <w:lvl w:ilvl="4" w:tentative="0">
      <w:start w:val="1"/>
      <w:numFmt w:val="decimal"/>
      <w:lvlText w:val="%1.%2.%3.%4.%5"/>
      <w:lvlJc w:val="left"/>
      <w:pPr>
        <w:ind w:left="1080" w:hanging="1080"/>
      </w:pPr>
      <w:rPr>
        <w:rFonts w:hint="default"/>
        <w:u w:val="none"/>
      </w:rPr>
    </w:lvl>
    <w:lvl w:ilvl="5" w:tentative="0">
      <w:start w:val="1"/>
      <w:numFmt w:val="decimal"/>
      <w:lvlText w:val="%1.%2.%3.%4.%5.%6"/>
      <w:lvlJc w:val="left"/>
      <w:pPr>
        <w:ind w:left="1080" w:hanging="1080"/>
      </w:pPr>
      <w:rPr>
        <w:rFonts w:hint="default"/>
        <w:u w:val="none"/>
      </w:rPr>
    </w:lvl>
    <w:lvl w:ilvl="6" w:tentative="0">
      <w:start w:val="1"/>
      <w:numFmt w:val="decimal"/>
      <w:lvlText w:val="%1.%2.%3.%4.%5.%6.%7"/>
      <w:lvlJc w:val="left"/>
      <w:pPr>
        <w:ind w:left="1080" w:hanging="1080"/>
      </w:pPr>
      <w:rPr>
        <w:rFonts w:hint="default"/>
        <w:u w:val="none"/>
      </w:rPr>
    </w:lvl>
    <w:lvl w:ilvl="7" w:tentative="0">
      <w:start w:val="1"/>
      <w:numFmt w:val="decimal"/>
      <w:lvlText w:val="%1.%2.%3.%4.%5.%6.%7.%8"/>
      <w:lvlJc w:val="left"/>
      <w:pPr>
        <w:ind w:left="1440" w:hanging="1440"/>
      </w:pPr>
      <w:rPr>
        <w:rFonts w:hint="default"/>
        <w:u w:val="none"/>
      </w:rPr>
    </w:lvl>
    <w:lvl w:ilvl="8" w:tentative="0">
      <w:start w:val="1"/>
      <w:numFmt w:val="decimal"/>
      <w:lvlText w:val="%1.%2.%3.%4.%5.%6.%7.%8.%9"/>
      <w:lvlJc w:val="left"/>
      <w:pPr>
        <w:ind w:left="1440" w:hanging="1440"/>
      </w:pPr>
      <w:rPr>
        <w:rFonts w:hint="default"/>
        <w:u w:val="none"/>
      </w:rPr>
    </w:lvl>
  </w:abstractNum>
  <w:abstractNum w:abstractNumId="14">
    <w:nsid w:val="4BFC368D"/>
    <w:multiLevelType w:val="multilevel"/>
    <w:tmpl w:val="4BFC368D"/>
    <w:lvl w:ilvl="0" w:tentative="0">
      <w:start w:val="6"/>
      <w:numFmt w:val="decimal"/>
      <w:lvlText w:val="%1"/>
      <w:lvlJc w:val="left"/>
      <w:pPr>
        <w:ind w:left="360" w:hanging="360"/>
      </w:pPr>
      <w:rPr>
        <w:rFonts w:hint="default"/>
        <w:u w:val="none"/>
      </w:rPr>
    </w:lvl>
    <w:lvl w:ilvl="1" w:tentative="0">
      <w:start w:val="1"/>
      <w:numFmt w:val="decimal"/>
      <w:lvlText w:val="%1.%2"/>
      <w:lvlJc w:val="left"/>
      <w:pPr>
        <w:ind w:left="360" w:hanging="360"/>
      </w:pPr>
      <w:rPr>
        <w:rFonts w:hint="default"/>
        <w:u w:val="none"/>
      </w:rPr>
    </w:lvl>
    <w:lvl w:ilvl="2" w:tentative="0">
      <w:start w:val="1"/>
      <w:numFmt w:val="decimal"/>
      <w:lvlText w:val="%1.%2.%3"/>
      <w:lvlJc w:val="left"/>
      <w:pPr>
        <w:ind w:left="720" w:hanging="720"/>
      </w:pPr>
      <w:rPr>
        <w:rFonts w:hint="default"/>
        <w:u w:val="none"/>
      </w:rPr>
    </w:lvl>
    <w:lvl w:ilvl="3" w:tentative="0">
      <w:start w:val="1"/>
      <w:numFmt w:val="decimal"/>
      <w:lvlText w:val="%1.%2.%3.%4"/>
      <w:lvlJc w:val="left"/>
      <w:pPr>
        <w:ind w:left="720" w:hanging="720"/>
      </w:pPr>
      <w:rPr>
        <w:rFonts w:hint="default"/>
        <w:u w:val="none"/>
      </w:rPr>
    </w:lvl>
    <w:lvl w:ilvl="4" w:tentative="0">
      <w:start w:val="1"/>
      <w:numFmt w:val="decimal"/>
      <w:lvlText w:val="%1.%2.%3.%4.%5"/>
      <w:lvlJc w:val="left"/>
      <w:pPr>
        <w:ind w:left="1080" w:hanging="1080"/>
      </w:pPr>
      <w:rPr>
        <w:rFonts w:hint="default"/>
        <w:u w:val="none"/>
      </w:rPr>
    </w:lvl>
    <w:lvl w:ilvl="5" w:tentative="0">
      <w:start w:val="1"/>
      <w:numFmt w:val="decimal"/>
      <w:lvlText w:val="%1.%2.%3.%4.%5.%6"/>
      <w:lvlJc w:val="left"/>
      <w:pPr>
        <w:ind w:left="1080" w:hanging="1080"/>
      </w:pPr>
      <w:rPr>
        <w:rFonts w:hint="default"/>
        <w:u w:val="none"/>
      </w:rPr>
    </w:lvl>
    <w:lvl w:ilvl="6" w:tentative="0">
      <w:start w:val="1"/>
      <w:numFmt w:val="decimal"/>
      <w:lvlText w:val="%1.%2.%3.%4.%5.%6.%7"/>
      <w:lvlJc w:val="left"/>
      <w:pPr>
        <w:ind w:left="1080" w:hanging="1080"/>
      </w:pPr>
      <w:rPr>
        <w:rFonts w:hint="default"/>
        <w:u w:val="none"/>
      </w:rPr>
    </w:lvl>
    <w:lvl w:ilvl="7" w:tentative="0">
      <w:start w:val="1"/>
      <w:numFmt w:val="decimal"/>
      <w:lvlText w:val="%1.%2.%3.%4.%5.%6.%7.%8"/>
      <w:lvlJc w:val="left"/>
      <w:pPr>
        <w:ind w:left="1440" w:hanging="1440"/>
      </w:pPr>
      <w:rPr>
        <w:rFonts w:hint="default"/>
        <w:u w:val="none"/>
      </w:rPr>
    </w:lvl>
    <w:lvl w:ilvl="8" w:tentative="0">
      <w:start w:val="1"/>
      <w:numFmt w:val="decimal"/>
      <w:lvlText w:val="%1.%2.%3.%4.%5.%6.%7.%8.%9"/>
      <w:lvlJc w:val="left"/>
      <w:pPr>
        <w:ind w:left="1440" w:hanging="1440"/>
      </w:pPr>
      <w:rPr>
        <w:rFonts w:hint="default"/>
        <w:u w:val="none"/>
      </w:rPr>
    </w:lvl>
  </w:abstractNum>
  <w:abstractNum w:abstractNumId="15">
    <w:nsid w:val="56827934"/>
    <w:multiLevelType w:val="multilevel"/>
    <w:tmpl w:val="56827934"/>
    <w:lvl w:ilvl="0" w:tentative="0">
      <w:start w:val="1"/>
      <w:numFmt w:val="decimal"/>
      <w:lvlText w:val="(%1)"/>
      <w:lvlJc w:val="left"/>
      <w:pPr>
        <w:ind w:left="420" w:hanging="420"/>
      </w:pPr>
      <w:rPr>
        <w:rFonts w:hint="eastAsia"/>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1512BF9"/>
    <w:multiLevelType w:val="multilevel"/>
    <w:tmpl w:val="61512BF9"/>
    <w:lvl w:ilvl="0" w:tentative="0">
      <w:start w:val="1"/>
      <w:numFmt w:val="decimal"/>
      <w:lvlText w:val="(%1)"/>
      <w:lvlJc w:val="left"/>
      <w:pPr>
        <w:ind w:left="420" w:hanging="420"/>
      </w:pPr>
      <w:rPr>
        <w:rFonts w:hint="eastAsia"/>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1D90D21"/>
    <w:multiLevelType w:val="multilevel"/>
    <w:tmpl w:val="61D90D21"/>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8">
    <w:nsid w:val="650B311D"/>
    <w:multiLevelType w:val="multilevel"/>
    <w:tmpl w:val="650B311D"/>
    <w:lvl w:ilvl="0" w:tentative="0">
      <w:start w:val="16"/>
      <w:numFmt w:val="decimal"/>
      <w:lvlText w:val="%1"/>
      <w:lvlJc w:val="left"/>
      <w:pPr>
        <w:ind w:left="375" w:hanging="375"/>
      </w:pPr>
      <w:rPr>
        <w:rFonts w:hint="default"/>
      </w:rPr>
    </w:lvl>
    <w:lvl w:ilvl="1" w:tentative="0">
      <w:start w:val="1"/>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9">
    <w:nsid w:val="719E0D51"/>
    <w:multiLevelType w:val="multilevel"/>
    <w:tmpl w:val="719E0D51"/>
    <w:lvl w:ilvl="0" w:tentative="0">
      <w:start w:val="1"/>
      <w:numFmt w:val="decimal"/>
      <w:lvlText w:val="(%1)"/>
      <w:lvlJc w:val="left"/>
      <w:pPr>
        <w:ind w:left="420" w:hanging="42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136494"/>
    <w:multiLevelType w:val="multilevel"/>
    <w:tmpl w:val="7B136494"/>
    <w:lvl w:ilvl="0" w:tentative="0">
      <w:start w:val="14"/>
      <w:numFmt w:val="decimal"/>
      <w:lvlText w:val="%1"/>
      <w:lvlJc w:val="left"/>
      <w:pPr>
        <w:ind w:left="375" w:hanging="375"/>
      </w:pPr>
      <w:rPr>
        <w:rFonts w:hint="default"/>
      </w:rPr>
    </w:lvl>
    <w:lvl w:ilvl="1" w:tentative="0">
      <w:start w:val="1"/>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1">
    <w:nsid w:val="7D143C1F"/>
    <w:multiLevelType w:val="multilevel"/>
    <w:tmpl w:val="7D143C1F"/>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5"/>
  </w:num>
  <w:num w:numId="2">
    <w:abstractNumId w:val="13"/>
  </w:num>
  <w:num w:numId="3">
    <w:abstractNumId w:val="2"/>
  </w:num>
  <w:num w:numId="4">
    <w:abstractNumId w:val="11"/>
  </w:num>
  <w:num w:numId="5">
    <w:abstractNumId w:val="15"/>
  </w:num>
  <w:num w:numId="6">
    <w:abstractNumId w:val="8"/>
  </w:num>
  <w:num w:numId="7">
    <w:abstractNumId w:val="16"/>
  </w:num>
  <w:num w:numId="8">
    <w:abstractNumId w:val="1"/>
  </w:num>
  <w:num w:numId="9">
    <w:abstractNumId w:val="14"/>
  </w:num>
  <w:num w:numId="10">
    <w:abstractNumId w:val="12"/>
  </w:num>
  <w:num w:numId="11">
    <w:abstractNumId w:val="0"/>
  </w:num>
  <w:num w:numId="12">
    <w:abstractNumId w:val="19"/>
  </w:num>
  <w:num w:numId="13">
    <w:abstractNumId w:val="6"/>
  </w:num>
  <w:num w:numId="14">
    <w:abstractNumId w:val="7"/>
  </w:num>
  <w:num w:numId="15">
    <w:abstractNumId w:val="10"/>
  </w:num>
  <w:num w:numId="16">
    <w:abstractNumId w:val="20"/>
  </w:num>
  <w:num w:numId="17">
    <w:abstractNumId w:val="18"/>
  </w:num>
  <w:num w:numId="18">
    <w:abstractNumId w:val="3"/>
  </w:num>
  <w:num w:numId="19">
    <w:abstractNumId w:val="4"/>
  </w:num>
  <w:num w:numId="20">
    <w:abstractNumId w:val="17"/>
  </w:num>
  <w:num w:numId="21">
    <w:abstractNumId w:val="9"/>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kNzRmYjRjNzdlYzI3MTAzNDgxYmQ3MWNiMDk5ZDUifQ=="/>
  </w:docVars>
  <w:rsids>
    <w:rsidRoot w:val="000330D4"/>
    <w:rsid w:val="00000C6C"/>
    <w:rsid w:val="00001201"/>
    <w:rsid w:val="0000249F"/>
    <w:rsid w:val="00002E50"/>
    <w:rsid w:val="00004F72"/>
    <w:rsid w:val="00005E14"/>
    <w:rsid w:val="000063AA"/>
    <w:rsid w:val="0001094F"/>
    <w:rsid w:val="00014E39"/>
    <w:rsid w:val="00020D71"/>
    <w:rsid w:val="000261D1"/>
    <w:rsid w:val="000277B3"/>
    <w:rsid w:val="00032C6E"/>
    <w:rsid w:val="000330D4"/>
    <w:rsid w:val="00035228"/>
    <w:rsid w:val="000357E7"/>
    <w:rsid w:val="00036FCF"/>
    <w:rsid w:val="00050309"/>
    <w:rsid w:val="00053CAD"/>
    <w:rsid w:val="00056DC9"/>
    <w:rsid w:val="0005786F"/>
    <w:rsid w:val="0006085E"/>
    <w:rsid w:val="000640DB"/>
    <w:rsid w:val="00067DA7"/>
    <w:rsid w:val="00073F1A"/>
    <w:rsid w:val="000755D5"/>
    <w:rsid w:val="00075785"/>
    <w:rsid w:val="00076730"/>
    <w:rsid w:val="00081FC8"/>
    <w:rsid w:val="00085E0B"/>
    <w:rsid w:val="00094963"/>
    <w:rsid w:val="00094FE4"/>
    <w:rsid w:val="0009641E"/>
    <w:rsid w:val="00096BA1"/>
    <w:rsid w:val="000A6878"/>
    <w:rsid w:val="000A6888"/>
    <w:rsid w:val="000A7E98"/>
    <w:rsid w:val="000D02A1"/>
    <w:rsid w:val="000D286C"/>
    <w:rsid w:val="000E4843"/>
    <w:rsid w:val="000F551B"/>
    <w:rsid w:val="00102762"/>
    <w:rsid w:val="00114054"/>
    <w:rsid w:val="00115516"/>
    <w:rsid w:val="0012247A"/>
    <w:rsid w:val="001240B4"/>
    <w:rsid w:val="00136F26"/>
    <w:rsid w:val="001401F7"/>
    <w:rsid w:val="00140CC3"/>
    <w:rsid w:val="001500B6"/>
    <w:rsid w:val="00152130"/>
    <w:rsid w:val="00155BE4"/>
    <w:rsid w:val="00162FE8"/>
    <w:rsid w:val="001721F4"/>
    <w:rsid w:val="00176B15"/>
    <w:rsid w:val="00177C9B"/>
    <w:rsid w:val="001804B8"/>
    <w:rsid w:val="00183D9E"/>
    <w:rsid w:val="001921E6"/>
    <w:rsid w:val="001A0D61"/>
    <w:rsid w:val="001D2431"/>
    <w:rsid w:val="001D5E5F"/>
    <w:rsid w:val="001E01B3"/>
    <w:rsid w:val="001E0456"/>
    <w:rsid w:val="001E20C3"/>
    <w:rsid w:val="001E6276"/>
    <w:rsid w:val="00202A49"/>
    <w:rsid w:val="002072C4"/>
    <w:rsid w:val="00207DFE"/>
    <w:rsid w:val="00220BE7"/>
    <w:rsid w:val="00220D40"/>
    <w:rsid w:val="00223BA6"/>
    <w:rsid w:val="00236FCC"/>
    <w:rsid w:val="00240954"/>
    <w:rsid w:val="00244467"/>
    <w:rsid w:val="00245B97"/>
    <w:rsid w:val="00264F03"/>
    <w:rsid w:val="00267944"/>
    <w:rsid w:val="0027102C"/>
    <w:rsid w:val="0027157D"/>
    <w:rsid w:val="00286C10"/>
    <w:rsid w:val="00287267"/>
    <w:rsid w:val="00287AEE"/>
    <w:rsid w:val="00292F33"/>
    <w:rsid w:val="0029349A"/>
    <w:rsid w:val="002A12DA"/>
    <w:rsid w:val="002A276D"/>
    <w:rsid w:val="002B5AFB"/>
    <w:rsid w:val="002C0D16"/>
    <w:rsid w:val="002C3AC5"/>
    <w:rsid w:val="002C508B"/>
    <w:rsid w:val="002D2088"/>
    <w:rsid w:val="002D5CF2"/>
    <w:rsid w:val="002E1ED6"/>
    <w:rsid w:val="002E5870"/>
    <w:rsid w:val="002F0270"/>
    <w:rsid w:val="002F1A6D"/>
    <w:rsid w:val="00300305"/>
    <w:rsid w:val="00320C70"/>
    <w:rsid w:val="00325E12"/>
    <w:rsid w:val="00334CD9"/>
    <w:rsid w:val="0033635B"/>
    <w:rsid w:val="00352564"/>
    <w:rsid w:val="00355ACB"/>
    <w:rsid w:val="003606AF"/>
    <w:rsid w:val="003753F8"/>
    <w:rsid w:val="00376B87"/>
    <w:rsid w:val="00382E18"/>
    <w:rsid w:val="003861D0"/>
    <w:rsid w:val="00390510"/>
    <w:rsid w:val="00394E82"/>
    <w:rsid w:val="003A2297"/>
    <w:rsid w:val="003A27F4"/>
    <w:rsid w:val="003A5320"/>
    <w:rsid w:val="003B550B"/>
    <w:rsid w:val="003B72B8"/>
    <w:rsid w:val="003C4054"/>
    <w:rsid w:val="003C45C2"/>
    <w:rsid w:val="003C6FC7"/>
    <w:rsid w:val="003E2472"/>
    <w:rsid w:val="003E57E9"/>
    <w:rsid w:val="003F0554"/>
    <w:rsid w:val="003F1A81"/>
    <w:rsid w:val="003F6533"/>
    <w:rsid w:val="0041427E"/>
    <w:rsid w:val="00426B61"/>
    <w:rsid w:val="00426C25"/>
    <w:rsid w:val="00430DCD"/>
    <w:rsid w:val="004311FD"/>
    <w:rsid w:val="00435E3E"/>
    <w:rsid w:val="004426BD"/>
    <w:rsid w:val="00443759"/>
    <w:rsid w:val="0044405C"/>
    <w:rsid w:val="004456D2"/>
    <w:rsid w:val="0045179C"/>
    <w:rsid w:val="00451C21"/>
    <w:rsid w:val="004555EC"/>
    <w:rsid w:val="0045639E"/>
    <w:rsid w:val="0046205E"/>
    <w:rsid w:val="00466B73"/>
    <w:rsid w:val="0047215A"/>
    <w:rsid w:val="00473FEA"/>
    <w:rsid w:val="00496EA5"/>
    <w:rsid w:val="004A0B89"/>
    <w:rsid w:val="004B19B7"/>
    <w:rsid w:val="004B7E4B"/>
    <w:rsid w:val="004C3304"/>
    <w:rsid w:val="004C44B9"/>
    <w:rsid w:val="004D39EA"/>
    <w:rsid w:val="004D5C76"/>
    <w:rsid w:val="004D5F7C"/>
    <w:rsid w:val="004E0837"/>
    <w:rsid w:val="004E3914"/>
    <w:rsid w:val="004E5CA1"/>
    <w:rsid w:val="004E63CB"/>
    <w:rsid w:val="005056F5"/>
    <w:rsid w:val="00514C16"/>
    <w:rsid w:val="00514FFE"/>
    <w:rsid w:val="0051505E"/>
    <w:rsid w:val="0051774E"/>
    <w:rsid w:val="00517A25"/>
    <w:rsid w:val="00517CE6"/>
    <w:rsid w:val="005227D9"/>
    <w:rsid w:val="0052599C"/>
    <w:rsid w:val="005341F4"/>
    <w:rsid w:val="00542057"/>
    <w:rsid w:val="00547CB0"/>
    <w:rsid w:val="005611D2"/>
    <w:rsid w:val="00561AFC"/>
    <w:rsid w:val="00562FFE"/>
    <w:rsid w:val="00565AA3"/>
    <w:rsid w:val="00575790"/>
    <w:rsid w:val="00585155"/>
    <w:rsid w:val="005851C7"/>
    <w:rsid w:val="00587A12"/>
    <w:rsid w:val="00587B1A"/>
    <w:rsid w:val="0059143C"/>
    <w:rsid w:val="00595678"/>
    <w:rsid w:val="005B0919"/>
    <w:rsid w:val="005B0D42"/>
    <w:rsid w:val="005B2FA9"/>
    <w:rsid w:val="005C19C6"/>
    <w:rsid w:val="005C3493"/>
    <w:rsid w:val="005D05F5"/>
    <w:rsid w:val="005D3AEB"/>
    <w:rsid w:val="005E0CDE"/>
    <w:rsid w:val="005E4156"/>
    <w:rsid w:val="005F08DB"/>
    <w:rsid w:val="005F2D75"/>
    <w:rsid w:val="005F7287"/>
    <w:rsid w:val="00613669"/>
    <w:rsid w:val="00622689"/>
    <w:rsid w:val="00627E65"/>
    <w:rsid w:val="00630BF9"/>
    <w:rsid w:val="006324BF"/>
    <w:rsid w:val="00647187"/>
    <w:rsid w:val="00647B97"/>
    <w:rsid w:val="006511F4"/>
    <w:rsid w:val="00660F58"/>
    <w:rsid w:val="00662A14"/>
    <w:rsid w:val="00672505"/>
    <w:rsid w:val="00675B32"/>
    <w:rsid w:val="00690BA6"/>
    <w:rsid w:val="00692D1C"/>
    <w:rsid w:val="00693461"/>
    <w:rsid w:val="00693CD9"/>
    <w:rsid w:val="006A3CD6"/>
    <w:rsid w:val="006A6181"/>
    <w:rsid w:val="006A67D3"/>
    <w:rsid w:val="006B1B6A"/>
    <w:rsid w:val="006B7BF5"/>
    <w:rsid w:val="006D49E7"/>
    <w:rsid w:val="006D7D9A"/>
    <w:rsid w:val="006E1EAC"/>
    <w:rsid w:val="006E3CB1"/>
    <w:rsid w:val="006F31CA"/>
    <w:rsid w:val="006F62F2"/>
    <w:rsid w:val="00700EDD"/>
    <w:rsid w:val="007022C6"/>
    <w:rsid w:val="00702958"/>
    <w:rsid w:val="00712A46"/>
    <w:rsid w:val="00717B3F"/>
    <w:rsid w:val="00721208"/>
    <w:rsid w:val="007262B7"/>
    <w:rsid w:val="00735C57"/>
    <w:rsid w:val="007403EA"/>
    <w:rsid w:val="00743F4A"/>
    <w:rsid w:val="00743FE2"/>
    <w:rsid w:val="007460A7"/>
    <w:rsid w:val="00746B88"/>
    <w:rsid w:val="0075129B"/>
    <w:rsid w:val="00751B80"/>
    <w:rsid w:val="00762355"/>
    <w:rsid w:val="0076318D"/>
    <w:rsid w:val="007646C4"/>
    <w:rsid w:val="00772B51"/>
    <w:rsid w:val="007746C0"/>
    <w:rsid w:val="0078666A"/>
    <w:rsid w:val="007914E8"/>
    <w:rsid w:val="00792553"/>
    <w:rsid w:val="007935A5"/>
    <w:rsid w:val="0079516C"/>
    <w:rsid w:val="007A0F52"/>
    <w:rsid w:val="007B0E4A"/>
    <w:rsid w:val="007B2756"/>
    <w:rsid w:val="007C60A7"/>
    <w:rsid w:val="007D2027"/>
    <w:rsid w:val="007D7CBB"/>
    <w:rsid w:val="007E5C46"/>
    <w:rsid w:val="007F0F60"/>
    <w:rsid w:val="007F141A"/>
    <w:rsid w:val="008002C5"/>
    <w:rsid w:val="008125EE"/>
    <w:rsid w:val="00814CF9"/>
    <w:rsid w:val="0081518A"/>
    <w:rsid w:val="00815527"/>
    <w:rsid w:val="00815DEC"/>
    <w:rsid w:val="008177AA"/>
    <w:rsid w:val="008202C0"/>
    <w:rsid w:val="00822F17"/>
    <w:rsid w:val="00826DB0"/>
    <w:rsid w:val="008365C1"/>
    <w:rsid w:val="008473EF"/>
    <w:rsid w:val="008538D7"/>
    <w:rsid w:val="00855778"/>
    <w:rsid w:val="008628A8"/>
    <w:rsid w:val="00871D52"/>
    <w:rsid w:val="00876865"/>
    <w:rsid w:val="0087691B"/>
    <w:rsid w:val="00877379"/>
    <w:rsid w:val="00884FB1"/>
    <w:rsid w:val="00885D5E"/>
    <w:rsid w:val="00893D4C"/>
    <w:rsid w:val="008A0F56"/>
    <w:rsid w:val="008A5E19"/>
    <w:rsid w:val="008B5A0B"/>
    <w:rsid w:val="008C0D4B"/>
    <w:rsid w:val="008C3FAC"/>
    <w:rsid w:val="008D20C9"/>
    <w:rsid w:val="008D3522"/>
    <w:rsid w:val="008E1244"/>
    <w:rsid w:val="008E4A5F"/>
    <w:rsid w:val="008F67CE"/>
    <w:rsid w:val="009017BE"/>
    <w:rsid w:val="0090660A"/>
    <w:rsid w:val="00906CDF"/>
    <w:rsid w:val="00914B99"/>
    <w:rsid w:val="00915B70"/>
    <w:rsid w:val="0092026F"/>
    <w:rsid w:val="00926B6C"/>
    <w:rsid w:val="00932526"/>
    <w:rsid w:val="00932EB2"/>
    <w:rsid w:val="00932FE2"/>
    <w:rsid w:val="00934DC5"/>
    <w:rsid w:val="009406CA"/>
    <w:rsid w:val="0094134E"/>
    <w:rsid w:val="00943835"/>
    <w:rsid w:val="009470EE"/>
    <w:rsid w:val="009510B7"/>
    <w:rsid w:val="009535B1"/>
    <w:rsid w:val="00955136"/>
    <w:rsid w:val="00957361"/>
    <w:rsid w:val="00957EAB"/>
    <w:rsid w:val="00977943"/>
    <w:rsid w:val="00986919"/>
    <w:rsid w:val="009945AF"/>
    <w:rsid w:val="009A22B8"/>
    <w:rsid w:val="009A4BF9"/>
    <w:rsid w:val="009B32BC"/>
    <w:rsid w:val="009B7B29"/>
    <w:rsid w:val="009D3FAA"/>
    <w:rsid w:val="009D4102"/>
    <w:rsid w:val="009E7EB8"/>
    <w:rsid w:val="009F3A17"/>
    <w:rsid w:val="009F47D0"/>
    <w:rsid w:val="00A00C9D"/>
    <w:rsid w:val="00A02EBA"/>
    <w:rsid w:val="00A0342E"/>
    <w:rsid w:val="00A1416A"/>
    <w:rsid w:val="00A143FA"/>
    <w:rsid w:val="00A16022"/>
    <w:rsid w:val="00A321C1"/>
    <w:rsid w:val="00A329E8"/>
    <w:rsid w:val="00A33C55"/>
    <w:rsid w:val="00A36C37"/>
    <w:rsid w:val="00A43D0F"/>
    <w:rsid w:val="00A514D6"/>
    <w:rsid w:val="00A533D2"/>
    <w:rsid w:val="00A54ABC"/>
    <w:rsid w:val="00A61262"/>
    <w:rsid w:val="00A63FEC"/>
    <w:rsid w:val="00A64763"/>
    <w:rsid w:val="00A64E6A"/>
    <w:rsid w:val="00A73915"/>
    <w:rsid w:val="00A80DB5"/>
    <w:rsid w:val="00A9418F"/>
    <w:rsid w:val="00A95AD2"/>
    <w:rsid w:val="00AA1DAD"/>
    <w:rsid w:val="00AB7318"/>
    <w:rsid w:val="00AC0F35"/>
    <w:rsid w:val="00AC2015"/>
    <w:rsid w:val="00AC5E2C"/>
    <w:rsid w:val="00AC7D1A"/>
    <w:rsid w:val="00AD05A5"/>
    <w:rsid w:val="00AD0EF5"/>
    <w:rsid w:val="00AD6485"/>
    <w:rsid w:val="00AE5813"/>
    <w:rsid w:val="00AF0342"/>
    <w:rsid w:val="00B00B41"/>
    <w:rsid w:val="00B02ACA"/>
    <w:rsid w:val="00B03373"/>
    <w:rsid w:val="00B043F9"/>
    <w:rsid w:val="00B07111"/>
    <w:rsid w:val="00B140A2"/>
    <w:rsid w:val="00B21702"/>
    <w:rsid w:val="00B24C17"/>
    <w:rsid w:val="00B257BD"/>
    <w:rsid w:val="00B33447"/>
    <w:rsid w:val="00B41137"/>
    <w:rsid w:val="00B46BCF"/>
    <w:rsid w:val="00B472A3"/>
    <w:rsid w:val="00B57B73"/>
    <w:rsid w:val="00B61696"/>
    <w:rsid w:val="00B64972"/>
    <w:rsid w:val="00B717C9"/>
    <w:rsid w:val="00B74927"/>
    <w:rsid w:val="00B82E9C"/>
    <w:rsid w:val="00B877A2"/>
    <w:rsid w:val="00B97990"/>
    <w:rsid w:val="00BA138A"/>
    <w:rsid w:val="00BA41AC"/>
    <w:rsid w:val="00BB1954"/>
    <w:rsid w:val="00BB1A68"/>
    <w:rsid w:val="00BB275F"/>
    <w:rsid w:val="00BB3BAD"/>
    <w:rsid w:val="00BB5D1A"/>
    <w:rsid w:val="00BB71F8"/>
    <w:rsid w:val="00BC4B2D"/>
    <w:rsid w:val="00BD7106"/>
    <w:rsid w:val="00BE1918"/>
    <w:rsid w:val="00BE4CB1"/>
    <w:rsid w:val="00BE6A66"/>
    <w:rsid w:val="00BE778B"/>
    <w:rsid w:val="00BF6B84"/>
    <w:rsid w:val="00BF6C99"/>
    <w:rsid w:val="00BF72AC"/>
    <w:rsid w:val="00C0212C"/>
    <w:rsid w:val="00C108B3"/>
    <w:rsid w:val="00C22608"/>
    <w:rsid w:val="00C26AA5"/>
    <w:rsid w:val="00C322E6"/>
    <w:rsid w:val="00C354C0"/>
    <w:rsid w:val="00C37735"/>
    <w:rsid w:val="00C610FA"/>
    <w:rsid w:val="00C676E8"/>
    <w:rsid w:val="00C676F0"/>
    <w:rsid w:val="00C71F82"/>
    <w:rsid w:val="00C725DB"/>
    <w:rsid w:val="00C85E0F"/>
    <w:rsid w:val="00C87D28"/>
    <w:rsid w:val="00C9243C"/>
    <w:rsid w:val="00CA0544"/>
    <w:rsid w:val="00CB4A1D"/>
    <w:rsid w:val="00CB744A"/>
    <w:rsid w:val="00CC0E7A"/>
    <w:rsid w:val="00CD115C"/>
    <w:rsid w:val="00CD1B0A"/>
    <w:rsid w:val="00CD1C22"/>
    <w:rsid w:val="00CD23FB"/>
    <w:rsid w:val="00CD261D"/>
    <w:rsid w:val="00CD2B42"/>
    <w:rsid w:val="00CD624E"/>
    <w:rsid w:val="00CD795C"/>
    <w:rsid w:val="00CE14D1"/>
    <w:rsid w:val="00CE76F9"/>
    <w:rsid w:val="00CF084F"/>
    <w:rsid w:val="00CF2DCD"/>
    <w:rsid w:val="00CF7A1F"/>
    <w:rsid w:val="00D00B34"/>
    <w:rsid w:val="00D01880"/>
    <w:rsid w:val="00D019EF"/>
    <w:rsid w:val="00D0278B"/>
    <w:rsid w:val="00D03D68"/>
    <w:rsid w:val="00D06EC8"/>
    <w:rsid w:val="00D11EC3"/>
    <w:rsid w:val="00D15749"/>
    <w:rsid w:val="00D27219"/>
    <w:rsid w:val="00D3106D"/>
    <w:rsid w:val="00D3146F"/>
    <w:rsid w:val="00D337B4"/>
    <w:rsid w:val="00D34476"/>
    <w:rsid w:val="00D43BFF"/>
    <w:rsid w:val="00D51620"/>
    <w:rsid w:val="00D5219C"/>
    <w:rsid w:val="00D56DAC"/>
    <w:rsid w:val="00D60531"/>
    <w:rsid w:val="00D60A77"/>
    <w:rsid w:val="00D72DCA"/>
    <w:rsid w:val="00D73A58"/>
    <w:rsid w:val="00D75513"/>
    <w:rsid w:val="00D82414"/>
    <w:rsid w:val="00D90A61"/>
    <w:rsid w:val="00D91301"/>
    <w:rsid w:val="00D9544A"/>
    <w:rsid w:val="00DA1C6F"/>
    <w:rsid w:val="00DA5414"/>
    <w:rsid w:val="00DA732A"/>
    <w:rsid w:val="00DB1F09"/>
    <w:rsid w:val="00DB6B26"/>
    <w:rsid w:val="00DB71AE"/>
    <w:rsid w:val="00DC7418"/>
    <w:rsid w:val="00DC7F07"/>
    <w:rsid w:val="00DD2083"/>
    <w:rsid w:val="00DD694F"/>
    <w:rsid w:val="00DE02F9"/>
    <w:rsid w:val="00DE27A6"/>
    <w:rsid w:val="00DE2D17"/>
    <w:rsid w:val="00DE646C"/>
    <w:rsid w:val="00DE76FB"/>
    <w:rsid w:val="00DF631D"/>
    <w:rsid w:val="00E050E4"/>
    <w:rsid w:val="00E13D02"/>
    <w:rsid w:val="00E1629A"/>
    <w:rsid w:val="00E30F44"/>
    <w:rsid w:val="00E43FFD"/>
    <w:rsid w:val="00E5673B"/>
    <w:rsid w:val="00E56F07"/>
    <w:rsid w:val="00E610FB"/>
    <w:rsid w:val="00E612D7"/>
    <w:rsid w:val="00E676D0"/>
    <w:rsid w:val="00E708B3"/>
    <w:rsid w:val="00E74439"/>
    <w:rsid w:val="00E74C6B"/>
    <w:rsid w:val="00E80F56"/>
    <w:rsid w:val="00E82011"/>
    <w:rsid w:val="00E82144"/>
    <w:rsid w:val="00E921A5"/>
    <w:rsid w:val="00E965E5"/>
    <w:rsid w:val="00E96D86"/>
    <w:rsid w:val="00EA2D67"/>
    <w:rsid w:val="00EB6A37"/>
    <w:rsid w:val="00EB714E"/>
    <w:rsid w:val="00EB758B"/>
    <w:rsid w:val="00EC23C8"/>
    <w:rsid w:val="00EC46AB"/>
    <w:rsid w:val="00EC5879"/>
    <w:rsid w:val="00EC5C9B"/>
    <w:rsid w:val="00ED109A"/>
    <w:rsid w:val="00EE06C9"/>
    <w:rsid w:val="00EE5E76"/>
    <w:rsid w:val="00EF0BC6"/>
    <w:rsid w:val="00EF2168"/>
    <w:rsid w:val="00EF7B02"/>
    <w:rsid w:val="00F00E28"/>
    <w:rsid w:val="00F21E93"/>
    <w:rsid w:val="00F22406"/>
    <w:rsid w:val="00F22676"/>
    <w:rsid w:val="00F26DD7"/>
    <w:rsid w:val="00F270F2"/>
    <w:rsid w:val="00F3001A"/>
    <w:rsid w:val="00F31179"/>
    <w:rsid w:val="00F40091"/>
    <w:rsid w:val="00F40E63"/>
    <w:rsid w:val="00F41E60"/>
    <w:rsid w:val="00F436CB"/>
    <w:rsid w:val="00F43F5C"/>
    <w:rsid w:val="00F45C3B"/>
    <w:rsid w:val="00F50273"/>
    <w:rsid w:val="00F506B7"/>
    <w:rsid w:val="00F616C3"/>
    <w:rsid w:val="00F86780"/>
    <w:rsid w:val="00F925FD"/>
    <w:rsid w:val="00F96566"/>
    <w:rsid w:val="00FA05BE"/>
    <w:rsid w:val="00FA4FC0"/>
    <w:rsid w:val="00FA7350"/>
    <w:rsid w:val="00FB14C4"/>
    <w:rsid w:val="00FB2406"/>
    <w:rsid w:val="00FC14BF"/>
    <w:rsid w:val="00FE0451"/>
    <w:rsid w:val="00FE10EA"/>
    <w:rsid w:val="00FE6119"/>
    <w:rsid w:val="00FF17AF"/>
    <w:rsid w:val="00FF36CF"/>
    <w:rsid w:val="0FC45722"/>
    <w:rsid w:val="15F72046"/>
    <w:rsid w:val="166E2657"/>
    <w:rsid w:val="16C07874"/>
    <w:rsid w:val="18192CC4"/>
    <w:rsid w:val="21021A10"/>
    <w:rsid w:val="247024E8"/>
    <w:rsid w:val="25BF0B24"/>
    <w:rsid w:val="39A84EBE"/>
    <w:rsid w:val="4D96782D"/>
    <w:rsid w:val="4F442E5D"/>
    <w:rsid w:val="556B5ED8"/>
    <w:rsid w:val="5739721D"/>
    <w:rsid w:val="573A0E62"/>
    <w:rsid w:val="5B1F7C71"/>
    <w:rsid w:val="5CBD3542"/>
    <w:rsid w:val="5DB95E75"/>
    <w:rsid w:val="656256CD"/>
    <w:rsid w:val="6D584400"/>
    <w:rsid w:val="746D2BDE"/>
    <w:rsid w:val="766468B6"/>
    <w:rsid w:val="772C06BB"/>
    <w:rsid w:val="78F81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7"/>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rPr>
      <w:rFonts w:ascii="Times New Roman" w:hAnsi="Times New Roman" w:eastAsia="宋体" w:cs="Times New Roman"/>
      <w:szCs w:val="20"/>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8"/>
    <w:autoRedefine/>
    <w:semiHidden/>
    <w:unhideWhenUsed/>
    <w:qFormat/>
    <w:uiPriority w:val="99"/>
    <w:rPr>
      <w:rFonts w:asciiTheme="minorHAnsi" w:hAnsiTheme="minorHAnsi" w:eastAsiaTheme="minorEastAsia" w:cstheme="minorBidi"/>
      <w:b/>
      <w:bCs/>
      <w:szCs w:val="22"/>
    </w:rPr>
  </w:style>
  <w:style w:type="character" w:styleId="10">
    <w:name w:val="annotation reference"/>
    <w:autoRedefine/>
    <w:qFormat/>
    <w:uiPriority w:val="0"/>
    <w:rPr>
      <w:sz w:val="21"/>
      <w:szCs w:val="21"/>
    </w:rPr>
  </w:style>
  <w:style w:type="paragraph" w:customStyle="1" w:styleId="11">
    <w:name w:val="Default"/>
    <w:autoRedefine/>
    <w:qFormat/>
    <w:uiPriority w:val="99"/>
    <w:pPr>
      <w:widowControl w:val="0"/>
      <w:autoSpaceDE w:val="0"/>
      <w:autoSpaceDN w:val="0"/>
      <w:adjustRightInd w:val="0"/>
    </w:pPr>
    <w:rPr>
      <w:rFonts w:ascii="幼圆" w:eastAsia="幼圆" w:cs="幼圆" w:hAnsiTheme="minorHAnsi"/>
      <w:color w:val="000000"/>
      <w:sz w:val="24"/>
      <w:szCs w:val="24"/>
      <w:lang w:val="en-US" w:eastAsia="zh-CN" w:bidi="ar-SA"/>
    </w:rPr>
  </w:style>
  <w:style w:type="character" w:customStyle="1" w:styleId="12">
    <w:name w:val="页眉 Char"/>
    <w:basedOn w:val="9"/>
    <w:link w:val="6"/>
    <w:autoRedefine/>
    <w:qFormat/>
    <w:uiPriority w:val="0"/>
    <w:rPr>
      <w:kern w:val="2"/>
      <w:sz w:val="18"/>
      <w:szCs w:val="18"/>
    </w:rPr>
  </w:style>
  <w:style w:type="character" w:customStyle="1" w:styleId="13">
    <w:name w:val="页脚 Char"/>
    <w:basedOn w:val="9"/>
    <w:link w:val="5"/>
    <w:autoRedefine/>
    <w:qFormat/>
    <w:uiPriority w:val="99"/>
    <w:rPr>
      <w:kern w:val="2"/>
      <w:sz w:val="18"/>
      <w:szCs w:val="18"/>
    </w:rPr>
  </w:style>
  <w:style w:type="character" w:customStyle="1" w:styleId="14">
    <w:name w:val="批注框文本 Char"/>
    <w:basedOn w:val="9"/>
    <w:link w:val="4"/>
    <w:autoRedefine/>
    <w:semiHidden/>
    <w:qFormat/>
    <w:uiPriority w:val="99"/>
    <w:rPr>
      <w:kern w:val="2"/>
      <w:sz w:val="18"/>
      <w:szCs w:val="18"/>
    </w:rPr>
  </w:style>
  <w:style w:type="character" w:customStyle="1" w:styleId="15">
    <w:name w:val="批注文字 Char"/>
    <w:basedOn w:val="9"/>
    <w:link w:val="3"/>
    <w:autoRedefine/>
    <w:qFormat/>
    <w:uiPriority w:val="0"/>
    <w:rPr>
      <w:rFonts w:ascii="Times New Roman" w:hAnsi="Times New Roman" w:eastAsia="宋体" w:cs="Times New Roman"/>
      <w:szCs w:val="20"/>
    </w:rPr>
  </w:style>
  <w:style w:type="paragraph" w:styleId="16">
    <w:name w:val="List Paragraph"/>
    <w:basedOn w:val="1"/>
    <w:qFormat/>
    <w:uiPriority w:val="34"/>
    <w:pPr>
      <w:ind w:firstLine="420" w:firstLineChars="200"/>
    </w:pPr>
  </w:style>
  <w:style w:type="character" w:customStyle="1" w:styleId="17">
    <w:name w:val="标题 3 Char"/>
    <w:basedOn w:val="9"/>
    <w:link w:val="2"/>
    <w:autoRedefine/>
    <w:qFormat/>
    <w:uiPriority w:val="0"/>
    <w:rPr>
      <w:rFonts w:ascii="Times New Roman" w:hAnsi="Times New Roman" w:eastAsia="宋体" w:cs="Times New Roman"/>
      <w:b/>
      <w:bCs/>
      <w:sz w:val="32"/>
      <w:szCs w:val="32"/>
    </w:rPr>
  </w:style>
  <w:style w:type="character" w:customStyle="1" w:styleId="18">
    <w:name w:val="批注主题 Char"/>
    <w:basedOn w:val="15"/>
    <w:link w:val="7"/>
    <w:semiHidden/>
    <w:qFormat/>
    <w:uiPriority w:val="99"/>
    <w:rPr>
      <w:rFonts w:ascii="Times New Roman" w:hAnsi="Times New Roman" w:eastAsia="宋体" w:cs="Times New Roman"/>
      <w:b/>
      <w:bCs/>
      <w:kern w:val="2"/>
      <w:sz w:val="21"/>
      <w:szCs w:val="22"/>
    </w:rPr>
  </w:style>
  <w:style w:type="paragraph" w:customStyle="1" w:styleId="19">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096DF-DACB-4095-8B28-7B7E48BC89B3}">
  <ds:schemaRefs/>
</ds:datastoreItem>
</file>

<file path=docProps/app.xml><?xml version="1.0" encoding="utf-8"?>
<Properties xmlns="http://schemas.openxmlformats.org/officeDocument/2006/extended-properties" xmlns:vt="http://schemas.openxmlformats.org/officeDocument/2006/docPropsVTypes">
  <Template>Normal</Template>
  <Pages>21</Pages>
  <Words>14343</Words>
  <Characters>14682</Characters>
  <Lines>120</Lines>
  <Paragraphs>33</Paragraphs>
  <TotalTime>0</TotalTime>
  <ScaleCrop>false</ScaleCrop>
  <LinksUpToDate>false</LinksUpToDate>
  <CharactersWithSpaces>16212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2022-06-27T03:19:00Z</dcterms:created>
  <dc:creator>bob;魏云</dc:creator>
  <cp:lastModifiedBy>X</cp:lastModifiedBy>
  <cp:lastPrinted>2015-06-01T00:54:00Z</cp:lastPrinted>
  <dcterms:modified xsi:type="dcterms:W3CDTF">2024-08-07T03:21:38Z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85090D6525554B2FA1D2189AC99DF01B_13</vt:lpwstr>
  </property>
</Properties>
</file>