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36"/>
        <w:jc w:val="left"/>
        <w:rPr>
          <w:rFonts w:hint="eastAsia" w:asciiTheme="majorEastAsia" w:hAnsiTheme="majorEastAsia" w:eastAsiaTheme="majorEastAsia" w:cstheme="majorEastAsia"/>
          <w:sz w:val="24"/>
          <w:highlight w:val="none"/>
        </w:rPr>
      </w:pPr>
      <w:bookmarkStart w:id="0" w:name="_Toc163364646"/>
      <w:bookmarkStart w:id="1" w:name="_Toc157418557"/>
      <w:bookmarkStart w:id="2" w:name="_Toc178674763"/>
      <w:bookmarkStart w:id="3" w:name="_Toc165385343"/>
      <w:bookmarkStart w:id="4" w:name="_Toc157418350"/>
      <w:bookmarkStart w:id="5" w:name="_Toc32815540"/>
      <w:bookmarkStart w:id="6" w:name="_Toc125129292"/>
    </w:p>
    <w:p>
      <w:pPr>
        <w:spacing w:line="360" w:lineRule="auto"/>
        <w:ind w:firstLine="236"/>
        <w:jc w:val="left"/>
        <w:rPr>
          <w:rFonts w:hint="eastAsia" w:asciiTheme="majorEastAsia" w:hAnsiTheme="majorEastAsia" w:eastAsiaTheme="majorEastAsia" w:cstheme="majorEastAsia"/>
          <w:sz w:val="24"/>
          <w:highlight w:val="none"/>
        </w:rPr>
      </w:pPr>
    </w:p>
    <w:p>
      <w:pPr>
        <w:spacing w:line="360" w:lineRule="auto"/>
        <w:ind w:firstLine="236"/>
        <w:jc w:val="left"/>
        <w:rPr>
          <w:rFonts w:hint="eastAsia" w:asciiTheme="majorEastAsia" w:hAnsiTheme="majorEastAsia" w:eastAsiaTheme="majorEastAsia" w:cstheme="majorEastAsia"/>
          <w:sz w:val="24"/>
          <w:highlight w:val="none"/>
        </w:rPr>
      </w:pPr>
    </w:p>
    <w:p>
      <w:pPr>
        <w:spacing w:line="360" w:lineRule="auto"/>
        <w:ind w:firstLine="826"/>
        <w:jc w:val="center"/>
        <w:rPr>
          <w:rFonts w:hint="eastAsia" w:asciiTheme="majorEastAsia" w:hAnsiTheme="majorEastAsia" w:eastAsiaTheme="majorEastAsia" w:cstheme="majorEastAsia"/>
          <w:b/>
          <w:bCs/>
          <w:sz w:val="84"/>
          <w:szCs w:val="84"/>
          <w:highlight w:val="none"/>
          <w:lang w:val="zh-CN"/>
        </w:rPr>
      </w:pPr>
      <w:r>
        <w:rPr>
          <w:rFonts w:hint="eastAsia" w:asciiTheme="majorEastAsia" w:hAnsiTheme="majorEastAsia" w:eastAsiaTheme="majorEastAsia" w:cstheme="majorEastAsia"/>
          <w:b/>
          <w:bCs/>
          <w:sz w:val="84"/>
          <w:szCs w:val="84"/>
          <w:highlight w:val="none"/>
          <w:lang w:val="zh-CN"/>
        </w:rPr>
        <w:t>招标文件</w:t>
      </w:r>
    </w:p>
    <w:p>
      <w:pPr>
        <w:spacing w:line="360" w:lineRule="auto"/>
        <w:ind w:firstLine="354"/>
        <w:jc w:val="center"/>
        <w:rPr>
          <w:rFonts w:hint="eastAsia" w:asciiTheme="majorEastAsia" w:hAnsiTheme="majorEastAsia" w:eastAsiaTheme="majorEastAsia" w:cstheme="majorEastAsia"/>
          <w:sz w:val="36"/>
          <w:szCs w:val="36"/>
          <w:highlight w:val="none"/>
        </w:rPr>
      </w:pPr>
      <w:bookmarkStart w:id="7" w:name="_Toc342899794"/>
    </w:p>
    <w:p>
      <w:pPr>
        <w:spacing w:line="360" w:lineRule="auto"/>
        <w:jc w:val="center"/>
        <w:rPr>
          <w:rFonts w:hint="eastAsia" w:asciiTheme="majorEastAsia" w:hAnsiTheme="majorEastAsia" w:eastAsiaTheme="majorEastAsia" w:cstheme="majorEastAsia"/>
          <w:sz w:val="32"/>
          <w:szCs w:val="32"/>
          <w:highlight w:val="none"/>
        </w:rPr>
      </w:pPr>
    </w:p>
    <w:p>
      <w:pPr>
        <w:spacing w:line="360" w:lineRule="auto"/>
        <w:ind w:firstLine="708" w:firstLineChars="196"/>
        <w:rPr>
          <w:rFonts w:hint="eastAsia" w:asciiTheme="majorEastAsia" w:hAnsiTheme="majorEastAsia" w:eastAsiaTheme="majorEastAsia" w:cstheme="majorEastAsia"/>
          <w:b/>
          <w:bCs/>
          <w:color w:val="000000" w:themeColor="text1"/>
          <w:sz w:val="36"/>
          <w:szCs w:val="36"/>
          <w:highlight w:val="none"/>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highlight w:val="none"/>
          <w:lang w:val="zh-CN"/>
          <w14:textFill>
            <w14:solidFill>
              <w14:schemeClr w14:val="tx1"/>
            </w14:solidFill>
          </w14:textFill>
        </w:rPr>
        <w:t>项目名称</w:t>
      </w:r>
      <w:bookmarkEnd w:id="7"/>
      <w:r>
        <w:rPr>
          <w:rFonts w:hint="eastAsia" w:asciiTheme="majorEastAsia" w:hAnsiTheme="majorEastAsia" w:eastAsiaTheme="majorEastAsia" w:cstheme="majorEastAsia"/>
          <w:b/>
          <w:bCs/>
          <w:color w:val="000000" w:themeColor="text1"/>
          <w:sz w:val="36"/>
          <w:szCs w:val="36"/>
          <w:highlight w:val="none"/>
          <w:lang w:val="zh-CN"/>
          <w14:textFill>
            <w14:solidFill>
              <w14:schemeClr w14:val="tx1"/>
            </w14:solidFill>
          </w14:textFill>
        </w:rPr>
        <w:t>：上海国贸</w:t>
      </w:r>
      <w:r>
        <w:rPr>
          <w:rFonts w:hint="eastAsia"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t>天悦三期</w:t>
      </w:r>
      <w:r>
        <w:rPr>
          <w:rFonts w:hint="eastAsia" w:asciiTheme="majorEastAsia" w:hAnsiTheme="majorEastAsia" w:eastAsiaTheme="majorEastAsia" w:cstheme="majorEastAsia"/>
          <w:b/>
          <w:bCs/>
          <w:color w:val="000000" w:themeColor="text1"/>
          <w:sz w:val="36"/>
          <w:szCs w:val="36"/>
          <w:highlight w:val="none"/>
          <w:lang w:val="zh-CN"/>
          <w14:textFill>
            <w14:solidFill>
              <w14:schemeClr w14:val="tx1"/>
            </w14:solidFill>
          </w14:textFill>
        </w:rPr>
        <w:t>保</w:t>
      </w: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安</w:t>
      </w:r>
      <w:r>
        <w:rPr>
          <w:rFonts w:hint="eastAsia" w:asciiTheme="majorEastAsia" w:hAnsiTheme="majorEastAsia" w:eastAsiaTheme="majorEastAsia" w:cstheme="majorEastAsia"/>
          <w:b/>
          <w:bCs/>
          <w:color w:val="000000" w:themeColor="text1"/>
          <w:sz w:val="36"/>
          <w:szCs w:val="36"/>
          <w:highlight w:val="none"/>
          <w:lang w:val="zh-CN"/>
          <w14:textFill>
            <w14:solidFill>
              <w14:schemeClr w14:val="tx1"/>
            </w14:solidFill>
          </w14:textFill>
        </w:rPr>
        <w:t>服务</w:t>
      </w:r>
    </w:p>
    <w:p>
      <w:pPr>
        <w:spacing w:line="360" w:lineRule="auto"/>
        <w:ind w:firstLine="708" w:firstLineChars="196"/>
        <w:rPr>
          <w:rFonts w:hint="eastAsia" w:asciiTheme="majorEastAsia" w:hAnsiTheme="majorEastAsia" w:eastAsiaTheme="majorEastAsia" w:cstheme="majorEastAsia"/>
          <w:b/>
          <w:bCs/>
          <w:color w:val="000000" w:themeColor="text1"/>
          <w:sz w:val="36"/>
          <w:szCs w:val="36"/>
          <w:highlight w:val="none"/>
          <w:lang w:val="zh-CN"/>
          <w14:textFill>
            <w14:solidFill>
              <w14:schemeClr w14:val="tx1"/>
            </w14:solidFill>
          </w14:textFill>
        </w:rPr>
      </w:pPr>
    </w:p>
    <w:p>
      <w:pPr>
        <w:spacing w:line="360" w:lineRule="auto"/>
        <w:ind w:firstLine="708" w:firstLineChars="196"/>
        <w:rPr>
          <w:rFonts w:hint="default" w:asciiTheme="majorEastAsia" w:hAnsiTheme="majorEastAsia" w:eastAsiaTheme="majorEastAsia" w:cstheme="majorEastAsia"/>
          <w:b/>
          <w:bCs/>
          <w:color w:val="00B0F0"/>
          <w:sz w:val="36"/>
          <w:szCs w:val="36"/>
          <w:highlight w:val="none"/>
          <w:lang w:val="en-US" w:eastAsia="zh-CN"/>
        </w:rPr>
      </w:pPr>
      <w:r>
        <w:rPr>
          <w:rFonts w:hint="eastAsia" w:asciiTheme="majorEastAsia" w:hAnsiTheme="majorEastAsia" w:eastAsiaTheme="majorEastAsia" w:cstheme="majorEastAsia"/>
          <w:b/>
          <w:bCs/>
          <w:color w:val="000000" w:themeColor="text1"/>
          <w:sz w:val="36"/>
          <w:szCs w:val="36"/>
          <w:highlight w:val="none"/>
          <w:lang w:val="zh-CN"/>
          <w14:textFill>
            <w14:solidFill>
              <w14:schemeClr w14:val="tx1"/>
            </w14:solidFill>
          </w14:textFill>
        </w:rPr>
        <w:t>项目编号：</w:t>
      </w:r>
      <w:r>
        <w:rPr>
          <w:rFonts w:hint="eastAsia"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t>GMFW-2024-15</w:t>
      </w:r>
    </w:p>
    <w:p>
      <w:pPr>
        <w:pStyle w:val="10"/>
        <w:spacing w:line="360" w:lineRule="auto"/>
        <w:ind w:firstLine="353"/>
        <w:rPr>
          <w:rFonts w:hint="eastAsia" w:asciiTheme="majorEastAsia" w:hAnsiTheme="majorEastAsia" w:eastAsiaTheme="majorEastAsia" w:cstheme="majorEastAsia"/>
          <w:b/>
          <w:bCs/>
          <w:sz w:val="36"/>
          <w:szCs w:val="36"/>
          <w:highlight w:val="none"/>
        </w:rPr>
      </w:pPr>
    </w:p>
    <w:p>
      <w:pPr>
        <w:pStyle w:val="10"/>
        <w:spacing w:line="360" w:lineRule="auto"/>
        <w:ind w:firstLine="708" w:firstLineChars="196"/>
        <w:rPr>
          <w:rFonts w:hint="eastAsia" w:asciiTheme="majorEastAsia" w:hAnsiTheme="majorEastAsia" w:eastAsiaTheme="majorEastAsia" w:cstheme="majorEastAsia"/>
          <w:b/>
          <w:bCs/>
          <w:sz w:val="36"/>
          <w:szCs w:val="36"/>
          <w:highlight w:val="none"/>
        </w:rPr>
      </w:pPr>
      <w:r>
        <w:rPr>
          <w:rFonts w:hint="eastAsia" w:asciiTheme="majorEastAsia" w:hAnsiTheme="majorEastAsia" w:eastAsiaTheme="majorEastAsia" w:cstheme="majorEastAsia"/>
          <w:b/>
          <w:bCs/>
          <w:sz w:val="36"/>
          <w:szCs w:val="36"/>
          <w:highlight w:val="none"/>
          <w:lang w:val="zh-CN"/>
        </w:rPr>
        <w:t>招标人：厦门国贸城市服务集团股份有限公司</w:t>
      </w:r>
    </w:p>
    <w:p>
      <w:pPr>
        <w:spacing w:line="360" w:lineRule="auto"/>
        <w:ind w:firstLine="1265" w:firstLineChars="350"/>
        <w:rPr>
          <w:rFonts w:hint="eastAsia" w:asciiTheme="majorEastAsia" w:hAnsiTheme="majorEastAsia" w:eastAsiaTheme="majorEastAsia" w:cstheme="majorEastAsia"/>
          <w:b/>
          <w:bCs/>
          <w:sz w:val="36"/>
          <w:szCs w:val="36"/>
          <w:highlight w:val="none"/>
          <w:lang w:val="zh-CN"/>
        </w:rPr>
      </w:pPr>
    </w:p>
    <w:p>
      <w:pPr>
        <w:spacing w:line="360" w:lineRule="auto"/>
        <w:jc w:val="center"/>
        <w:rPr>
          <w:rFonts w:hint="eastAsia" w:asciiTheme="majorEastAsia" w:hAnsiTheme="majorEastAsia" w:eastAsiaTheme="majorEastAsia" w:cstheme="majorEastAsia"/>
          <w:sz w:val="32"/>
          <w:szCs w:val="32"/>
          <w:highlight w:val="none"/>
        </w:rPr>
      </w:pPr>
    </w:p>
    <w:p>
      <w:pPr>
        <w:spacing w:line="360" w:lineRule="auto"/>
        <w:ind w:firstLine="0"/>
        <w:jc w:val="both"/>
        <w:rPr>
          <w:rFonts w:hint="eastAsia" w:asciiTheme="majorEastAsia" w:hAnsiTheme="majorEastAsia" w:eastAsiaTheme="majorEastAsia" w:cstheme="majorEastAsia"/>
          <w:b/>
          <w:bCs/>
          <w:sz w:val="32"/>
          <w:szCs w:val="32"/>
          <w:highlight w:val="none"/>
          <w:lang w:val="zh-CN"/>
        </w:rPr>
      </w:pPr>
    </w:p>
    <w:p>
      <w:pPr>
        <w:spacing w:line="360" w:lineRule="auto"/>
        <w:ind w:firstLine="314"/>
        <w:jc w:val="center"/>
        <w:rPr>
          <w:rFonts w:hint="eastAsia" w:asciiTheme="majorEastAsia" w:hAnsiTheme="majorEastAsia" w:eastAsiaTheme="majorEastAsia" w:cstheme="majorEastAsia"/>
          <w:b/>
          <w:bCs/>
          <w:sz w:val="32"/>
          <w:szCs w:val="32"/>
          <w:highlight w:val="none"/>
          <w:lang w:val="zh-CN"/>
        </w:rPr>
      </w:pPr>
    </w:p>
    <w:p>
      <w:pPr>
        <w:spacing w:line="360" w:lineRule="auto"/>
        <w:ind w:firstLine="353"/>
        <w:jc w:val="center"/>
        <w:rPr>
          <w:rFonts w:hint="eastAsia" w:asciiTheme="majorEastAsia" w:hAnsiTheme="majorEastAsia" w:eastAsiaTheme="majorEastAsia" w:cstheme="majorEastAsia"/>
          <w:b/>
          <w:bCs/>
          <w:sz w:val="36"/>
          <w:szCs w:val="36"/>
          <w:highlight w:val="none"/>
          <w:lang w:val="zh-CN"/>
        </w:rPr>
      </w:pPr>
    </w:p>
    <w:p>
      <w:pPr>
        <w:spacing w:line="360" w:lineRule="auto"/>
        <w:ind w:firstLine="354"/>
        <w:jc w:val="center"/>
        <w:rPr>
          <w:rFonts w:hint="eastAsia" w:asciiTheme="majorEastAsia" w:hAnsiTheme="majorEastAsia" w:eastAsiaTheme="majorEastAsia" w:cstheme="majorEastAsia"/>
          <w:b/>
          <w:bCs/>
          <w:sz w:val="36"/>
          <w:szCs w:val="36"/>
          <w:highlight w:val="none"/>
          <w:lang w:val="zh-CN"/>
        </w:rPr>
      </w:pPr>
      <w:r>
        <w:rPr>
          <w:rFonts w:hint="eastAsia" w:asciiTheme="majorEastAsia" w:hAnsiTheme="majorEastAsia" w:eastAsiaTheme="majorEastAsia" w:cstheme="majorEastAsia"/>
          <w:b/>
          <w:bCs/>
          <w:sz w:val="36"/>
          <w:szCs w:val="36"/>
          <w:highlight w:val="none"/>
          <w:lang w:val="zh-CN"/>
        </w:rPr>
        <w:t>厦门国贸城市服务集团股份有限公司</w:t>
      </w:r>
    </w:p>
    <w:p>
      <w:pPr>
        <w:pStyle w:val="26"/>
        <w:spacing w:line="360" w:lineRule="auto"/>
        <w:rPr>
          <w:rFonts w:hint="eastAsia" w:asciiTheme="majorEastAsia" w:hAnsiTheme="majorEastAsia" w:eastAsiaTheme="majorEastAsia" w:cstheme="majorEastAsia"/>
          <w:sz w:val="36"/>
          <w:szCs w:val="36"/>
          <w:highlight w:val="none"/>
        </w:rPr>
      </w:pPr>
    </w:p>
    <w:p>
      <w:pPr>
        <w:spacing w:line="360" w:lineRule="auto"/>
        <w:ind w:firstLine="0"/>
        <w:jc w:val="center"/>
        <w:rPr>
          <w:rFonts w:hint="eastAsia" w:asciiTheme="majorEastAsia" w:hAnsiTheme="majorEastAsia" w:eastAsiaTheme="majorEastAsia" w:cstheme="majorEastAsia"/>
          <w:b/>
          <w:bCs/>
          <w:color w:val="00B0F0"/>
          <w:sz w:val="36"/>
          <w:szCs w:val="36"/>
          <w:highlight w:val="none"/>
        </w:rPr>
      </w:pPr>
      <w:r>
        <w:rPr>
          <w:rFonts w:hint="eastAsia" w:asciiTheme="majorEastAsia" w:hAnsiTheme="majorEastAsia" w:eastAsiaTheme="majorEastAsia" w:cstheme="majorEastAsia"/>
          <w:b/>
          <w:sz w:val="36"/>
          <w:szCs w:val="36"/>
          <w:highlight w:val="none"/>
        </w:rPr>
        <w:t>2024年</w:t>
      </w:r>
      <w:r>
        <w:rPr>
          <w:rFonts w:hint="eastAsia" w:asciiTheme="majorEastAsia" w:hAnsiTheme="majorEastAsia" w:eastAsiaTheme="majorEastAsia" w:cstheme="majorEastAsia"/>
          <w:b/>
          <w:sz w:val="36"/>
          <w:szCs w:val="36"/>
          <w:highlight w:val="none"/>
          <w:lang w:val="en-US" w:eastAsia="zh-CN"/>
        </w:rPr>
        <w:t>10</w:t>
      </w:r>
      <w:r>
        <w:rPr>
          <w:rFonts w:hint="eastAsia" w:asciiTheme="majorEastAsia" w:hAnsiTheme="majorEastAsia" w:eastAsiaTheme="majorEastAsia" w:cstheme="majorEastAsia"/>
          <w:b/>
          <w:sz w:val="36"/>
          <w:szCs w:val="36"/>
          <w:highlight w:val="none"/>
        </w:rPr>
        <w:t>月</w:t>
      </w:r>
    </w:p>
    <w:p>
      <w:pPr>
        <w:pStyle w:val="17"/>
        <w:shd w:val="clear" w:color="auto" w:fill="FFFFFF"/>
        <w:spacing w:line="360" w:lineRule="auto"/>
        <w:ind w:firstLine="540" w:firstLineChars="150"/>
        <w:jc w:val="center"/>
        <w:rPr>
          <w:rFonts w:hint="eastAsia" w:asciiTheme="majorEastAsia" w:hAnsiTheme="majorEastAsia" w:eastAsiaTheme="majorEastAsia" w:cstheme="majorEastAsia"/>
          <w:sz w:val="36"/>
          <w:szCs w:val="36"/>
          <w:highlight w:val="none"/>
        </w:rPr>
      </w:pPr>
    </w:p>
    <w:p>
      <w:pPr>
        <w:pStyle w:val="17"/>
        <w:shd w:val="clear" w:color="auto" w:fill="FFFFFF"/>
        <w:spacing w:line="360" w:lineRule="auto"/>
        <w:ind w:firstLine="354"/>
        <w:rPr>
          <w:rFonts w:hint="eastAsia" w:asciiTheme="majorEastAsia" w:hAnsiTheme="majorEastAsia" w:eastAsiaTheme="majorEastAsia" w:cstheme="majorEastAsia"/>
          <w:sz w:val="36"/>
          <w:szCs w:val="36"/>
          <w:highlight w:val="none"/>
        </w:rPr>
      </w:pPr>
    </w:p>
    <w:p>
      <w:pPr>
        <w:pStyle w:val="10"/>
        <w:spacing w:line="360" w:lineRule="auto"/>
        <w:ind w:firstLine="433"/>
        <w:jc w:val="center"/>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目    录</w:t>
      </w:r>
      <w:bookmarkEnd w:id="0"/>
      <w:bookmarkEnd w:id="1"/>
      <w:bookmarkEnd w:id="2"/>
      <w:bookmarkEnd w:id="3"/>
      <w:bookmarkEnd w:id="4"/>
    </w:p>
    <w:p>
      <w:pPr>
        <w:pStyle w:val="14"/>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TOC \o "1-3" \h \z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_Toc12074 </w:instrText>
      </w:r>
      <w:r>
        <w:rPr>
          <w:rFonts w:hint="eastAsia" w:ascii="宋体" w:hAnsi="宋体" w:eastAsia="宋体" w:cs="宋体"/>
          <w:sz w:val="28"/>
          <w:szCs w:val="28"/>
          <w:highlight w:val="none"/>
        </w:rPr>
        <w:fldChar w:fldCharType="separate"/>
      </w:r>
      <w:r>
        <w:rPr>
          <w:rFonts w:hint="eastAsia" w:ascii="宋体" w:hAnsi="宋体" w:eastAsia="宋体" w:cs="宋体"/>
          <w:bCs w:val="0"/>
          <w:kern w:val="0"/>
          <w:sz w:val="28"/>
          <w:szCs w:val="28"/>
          <w:highlight w:val="none"/>
        </w:rPr>
        <w:t>第一章　招标公</w:t>
      </w:r>
      <w:r>
        <w:rPr>
          <w:rFonts w:hint="eastAsia" w:ascii="宋体" w:hAnsi="宋体" w:eastAsia="宋体" w:cs="宋体"/>
          <w:bCs w:val="0"/>
          <w:kern w:val="0"/>
          <w:sz w:val="28"/>
          <w:szCs w:val="28"/>
          <w:highlight w:val="none"/>
          <w:lang w:val="en-US" w:eastAsia="zh-CN"/>
        </w:rPr>
        <w:t>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_Toc12074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_Toc26392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附：招标项目一览表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_Toc26392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_Toc10809 </w:instrText>
      </w:r>
      <w:r>
        <w:rPr>
          <w:rFonts w:hint="eastAsia" w:ascii="宋体" w:hAnsi="宋体" w:eastAsia="宋体" w:cs="宋体"/>
          <w:sz w:val="28"/>
          <w:szCs w:val="28"/>
          <w:highlight w:val="none"/>
        </w:rPr>
        <w:fldChar w:fldCharType="separate"/>
      </w:r>
      <w:r>
        <w:rPr>
          <w:rFonts w:hint="eastAsia" w:ascii="宋体" w:hAnsi="宋体" w:eastAsia="宋体" w:cs="宋体"/>
          <w:kern w:val="0"/>
          <w:sz w:val="28"/>
          <w:szCs w:val="28"/>
          <w:highlight w:val="none"/>
        </w:rPr>
        <w:t>第二章　投标人须知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_Toc10809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5"/>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_Toc4422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第一节  说  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_Toc4422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- 5 -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_Toc14143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 适用范围</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_Toc14143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- 5 -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_Toc11942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 定义</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_Toc11942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- 5 -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_Toc23655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 合格的投标人</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_Toc23655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- 5 -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_Toc26481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 投标费用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_Toc26481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5"/>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_Toc22748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第二节  招标文件说明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_Toc22748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_Toc7857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 招标文件的组成</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_Toc7857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_Toc18914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 招标文件的澄清</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_Toc18914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_Toc12661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 招标文件的修改</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_Toc12661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- 7 -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5"/>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_Toc25018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第三节  投标文件的编写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_Toc25018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- 7 -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_Toc29854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 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_Toc29854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- 7 -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_Toc1732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9. 投标文件语言</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_Toc1732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- 7 -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_Toc3598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10. 投标文件的组成</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_Toc3598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- 8 -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_Toc9328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 投标有效期</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_Toc9328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- 8 -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_Toc27704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12. 投标保证金</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_Toc27704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- 8 -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_Toc1283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 投标文件的格式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_Toc1283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- 9 -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5"/>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_Toc30574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第四节  投标文件的提交</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_Toc30574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- 10 -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_Toc570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14. 投标文件的密封、标记和递交</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_Toc570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- 10 -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5"/>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_Toc12893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第五节  投标文件的评估和比较</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_Toc12893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- 11 -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_Toc3152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15．开标、评标时间</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_Toc3152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- 11 -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_Toc27536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16．评标委员会</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_Toc27536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- 11 -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_Toc16888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17. 投标文件的初审</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_Toc16888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- 11 -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_Toc28663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18.评标办法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_Toc28663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- 14 -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_Toc26943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19. 投标文件的澄清</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_Toc26943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- 24 -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_Toc28361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20. 比较与评价</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_Toc28361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- 24 -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5"/>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第六节 定标与签订合同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- 25 -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_Toc6057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21. 定标准则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_Toc6057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- 25 -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_Toc7328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22. 中标通知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_Toc7328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- 25 -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9"/>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_Toc1530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23. 签订合同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_Toc1530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- 25 -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_Toc11485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第三章　招标内容及要求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_Toc11485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5"/>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_Toc27727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第一节 招标项目需求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_Toc27727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5"/>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_Toc15071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第二节 商务技术响应要求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_Toc15071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- 28 -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5"/>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_Toc27882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第三节 报价要求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_Toc27882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- 29 -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right" w:leader="dot" w:pos="9639"/>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_Toc28738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第四章  投标文件格式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_Toc28738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- 31 -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right" w:leader="dot" w:pos="9061"/>
        </w:tabs>
        <w:spacing w:before="0" w:after="0" w:line="360" w:lineRule="auto"/>
        <w:ind w:firstLine="235"/>
        <w:rPr>
          <w:rFonts w:hint="eastAsia" w:asciiTheme="majorEastAsia" w:hAnsiTheme="majorEastAsia" w:eastAsiaTheme="majorEastAsia" w:cstheme="majorEastAsia"/>
          <w:bCs w:val="0"/>
          <w:kern w:val="0"/>
          <w:szCs w:val="32"/>
          <w:highlight w:val="none"/>
        </w:rPr>
        <w:sectPr>
          <w:pgSz w:w="11907" w:h="16840"/>
          <w:pgMar w:top="1134" w:right="1134" w:bottom="1134" w:left="1134" w:header="857" w:footer="998" w:gutter="0"/>
          <w:cols w:space="0" w:num="1"/>
          <w:docGrid w:linePitch="286" w:charSpace="0"/>
        </w:sectPr>
      </w:pPr>
      <w:r>
        <w:rPr>
          <w:rFonts w:hint="eastAsia" w:ascii="宋体" w:hAnsi="宋体" w:eastAsia="宋体" w:cs="宋体"/>
          <w:sz w:val="28"/>
          <w:szCs w:val="28"/>
          <w:highlight w:val="none"/>
        </w:rPr>
        <w:fldChar w:fldCharType="end"/>
      </w:r>
      <w:bookmarkStart w:id="8" w:name="_Toc51489303"/>
    </w:p>
    <w:p>
      <w:pPr>
        <w:pStyle w:val="2"/>
        <w:keepNext w:val="0"/>
        <w:keepLines w:val="0"/>
        <w:spacing w:before="120" w:beforeLines="50" w:after="240" w:afterLines="100" w:line="360" w:lineRule="auto"/>
        <w:ind w:firstLine="314"/>
        <w:jc w:val="center"/>
        <w:rPr>
          <w:rFonts w:hint="eastAsia" w:asciiTheme="majorEastAsia" w:hAnsiTheme="majorEastAsia" w:eastAsiaTheme="majorEastAsia" w:cstheme="majorEastAsia"/>
          <w:szCs w:val="32"/>
          <w:highlight w:val="none"/>
        </w:rPr>
      </w:pPr>
      <w:bookmarkStart w:id="9" w:name="_Toc26070"/>
      <w:bookmarkStart w:id="10" w:name="_Toc12760"/>
      <w:bookmarkStart w:id="11" w:name="_Toc31121"/>
      <w:bookmarkStart w:id="12" w:name="_Toc3518"/>
      <w:bookmarkStart w:id="13" w:name="_Toc10405"/>
      <w:bookmarkStart w:id="14" w:name="_Toc12074"/>
      <w:bookmarkStart w:id="15" w:name="_Toc6214"/>
      <w:bookmarkStart w:id="16" w:name="_Toc13181"/>
      <w:bookmarkStart w:id="17" w:name="_Toc23636"/>
      <w:r>
        <w:rPr>
          <w:rFonts w:hint="eastAsia" w:asciiTheme="majorEastAsia" w:hAnsiTheme="majorEastAsia" w:eastAsiaTheme="majorEastAsia" w:cstheme="majorEastAsia"/>
          <w:bCs w:val="0"/>
          <w:kern w:val="0"/>
          <w:szCs w:val="32"/>
          <w:highlight w:val="none"/>
        </w:rPr>
        <w:t>第一章　</w:t>
      </w:r>
      <w:bookmarkEnd w:id="9"/>
      <w:bookmarkEnd w:id="10"/>
      <w:bookmarkEnd w:id="11"/>
      <w:bookmarkEnd w:id="12"/>
      <w:bookmarkEnd w:id="13"/>
      <w:r>
        <w:rPr>
          <w:rFonts w:hint="eastAsia" w:asciiTheme="majorEastAsia" w:hAnsiTheme="majorEastAsia" w:eastAsiaTheme="majorEastAsia" w:cstheme="majorEastAsia"/>
          <w:bCs w:val="0"/>
          <w:kern w:val="0"/>
          <w:szCs w:val="32"/>
          <w:highlight w:val="none"/>
        </w:rPr>
        <w:t>招标公</w:t>
      </w:r>
      <w:r>
        <w:rPr>
          <w:rFonts w:hint="eastAsia" w:asciiTheme="majorEastAsia" w:hAnsiTheme="majorEastAsia" w:eastAsiaTheme="majorEastAsia" w:cstheme="majorEastAsia"/>
          <w:bCs w:val="0"/>
          <w:kern w:val="0"/>
          <w:szCs w:val="32"/>
          <w:highlight w:val="none"/>
          <w:lang w:val="en-US" w:eastAsia="zh-CN"/>
        </w:rPr>
        <w:t>告</w:t>
      </w:r>
      <w:bookmarkEnd w:id="14"/>
      <w:bookmarkEnd w:id="15"/>
      <w:bookmarkEnd w:id="16"/>
      <w:bookmarkEnd w:id="17"/>
    </w:p>
    <w:p>
      <w:pPr>
        <w:pStyle w:val="17"/>
        <w:shd w:val="clear" w:color="auto" w:fill="FFFFFF"/>
        <w:spacing w:after="120" w:afterLines="50" w:line="360" w:lineRule="auto"/>
        <w:ind w:firstLine="560" w:firstLineChars="200"/>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kern w:val="0"/>
          <w:sz w:val="28"/>
          <w:szCs w:val="28"/>
          <w:highlight w:val="none"/>
        </w:rPr>
        <w:t>厦门国贸城市服务集团股份有限公司为保证管辖项目</w:t>
      </w:r>
      <w:r>
        <w:rPr>
          <w:rFonts w:hint="eastAsia" w:asciiTheme="majorEastAsia" w:hAnsiTheme="majorEastAsia" w:eastAsiaTheme="majorEastAsia" w:cstheme="majorEastAsia"/>
          <w:kern w:val="0"/>
          <w:sz w:val="28"/>
          <w:szCs w:val="28"/>
          <w:highlight w:val="none"/>
          <w:lang w:eastAsia="zh-CN"/>
        </w:rPr>
        <w:t>上海国贸天悦三期</w:t>
      </w:r>
      <w:r>
        <w:rPr>
          <w:rFonts w:hint="eastAsia" w:asciiTheme="majorEastAsia" w:hAnsiTheme="majorEastAsia" w:eastAsiaTheme="majorEastAsia" w:cstheme="majorEastAsia"/>
          <w:kern w:val="0"/>
          <w:sz w:val="28"/>
          <w:szCs w:val="28"/>
          <w:highlight w:val="none"/>
        </w:rPr>
        <w:t>的整体形象，进一步做好安保管理与服务，落实各项生产安全和消防安全防范措施，现</w:t>
      </w:r>
      <w:r>
        <w:rPr>
          <w:rFonts w:hint="eastAsia" w:asciiTheme="majorEastAsia" w:hAnsiTheme="majorEastAsia" w:eastAsiaTheme="majorEastAsia" w:cstheme="majorEastAsia"/>
          <w:sz w:val="28"/>
          <w:szCs w:val="28"/>
          <w:highlight w:val="none"/>
        </w:rPr>
        <w:t>对此项目保安服务进行公开招标</w:t>
      </w:r>
      <w:r>
        <w:rPr>
          <w:rFonts w:hint="eastAsia" w:asciiTheme="majorEastAsia" w:hAnsiTheme="majorEastAsia" w:eastAsiaTheme="majorEastAsia" w:cstheme="majorEastAsia"/>
          <w:kern w:val="0"/>
          <w:sz w:val="28"/>
          <w:szCs w:val="28"/>
          <w:highlight w:val="none"/>
        </w:rPr>
        <w:t>，</w:t>
      </w:r>
      <w:r>
        <w:rPr>
          <w:rFonts w:hint="eastAsia" w:asciiTheme="majorEastAsia" w:hAnsiTheme="majorEastAsia" w:eastAsiaTheme="majorEastAsia" w:cstheme="majorEastAsia"/>
          <w:bCs w:val="0"/>
          <w:kern w:val="0"/>
          <w:sz w:val="28"/>
          <w:szCs w:val="28"/>
          <w:highlight w:val="none"/>
          <w:lang w:val="zh-CN"/>
        </w:rPr>
        <w:t>欢迎符合资格、专业的公司参加投标。</w:t>
      </w:r>
    </w:p>
    <w:p>
      <w:pPr>
        <w:pStyle w:val="17"/>
        <w:shd w:val="clear" w:color="auto" w:fill="FFFFFF"/>
        <w:spacing w:after="120" w:afterLines="50" w:line="360" w:lineRule="auto"/>
        <w:ind w:firstLine="560" w:firstLineChars="200"/>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kern w:val="0"/>
          <w:sz w:val="28"/>
          <w:szCs w:val="28"/>
          <w:highlight w:val="none"/>
        </w:rPr>
        <w:t>若有意参加此次招标，请自行在本网站下载招标文件，此次招标的截标时间为2024</w:t>
      </w: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年10月</w:t>
      </w:r>
      <w:r>
        <w:rPr>
          <w:rFonts w:hint="eastAsia" w:asciiTheme="majorEastAsia" w:hAnsiTheme="majorEastAsia" w:eastAsiaTheme="majorEastAsia" w:cstheme="majorEastAsia"/>
          <w:color w:val="000000" w:themeColor="text1"/>
          <w:kern w:val="0"/>
          <w:sz w:val="28"/>
          <w:szCs w:val="28"/>
          <w:highlight w:val="none"/>
          <w:lang w:val="en-US" w:eastAsia="zh-CN"/>
          <w14:textFill>
            <w14:solidFill>
              <w14:schemeClr w14:val="tx1"/>
            </w14:solidFill>
          </w14:textFill>
        </w:rPr>
        <w:t>15</w:t>
      </w: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日17时</w:t>
      </w:r>
      <w:r>
        <w:rPr>
          <w:rFonts w:hint="eastAsia" w:asciiTheme="majorEastAsia" w:hAnsiTheme="majorEastAsia" w:eastAsiaTheme="majorEastAsia" w:cstheme="majorEastAsia"/>
          <w:color w:val="000000" w:themeColor="text1"/>
          <w:kern w:val="0"/>
          <w:sz w:val="28"/>
          <w:szCs w:val="28"/>
          <w:highlight w:val="none"/>
          <w:lang w:val="en-US" w:eastAsia="zh-CN"/>
          <w14:textFill>
            <w14:solidFill>
              <w14:schemeClr w14:val="tx1"/>
            </w14:solidFill>
          </w14:textFill>
        </w:rPr>
        <w:t>30分</w:t>
      </w: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，投标人需在</w:t>
      </w:r>
      <w:r>
        <w:rPr>
          <w:rFonts w:hint="eastAsia" w:asciiTheme="majorEastAsia" w:hAnsiTheme="majorEastAsia" w:eastAsiaTheme="majorEastAsia" w:cstheme="majorEastAsia"/>
          <w:kern w:val="0"/>
          <w:sz w:val="28"/>
          <w:szCs w:val="28"/>
          <w:highlight w:val="none"/>
        </w:rPr>
        <w:t>2024</w:t>
      </w: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年10月</w:t>
      </w:r>
      <w:r>
        <w:rPr>
          <w:rFonts w:hint="eastAsia" w:asciiTheme="majorEastAsia" w:hAnsiTheme="majorEastAsia" w:eastAsiaTheme="majorEastAsia" w:cstheme="majorEastAsia"/>
          <w:color w:val="000000" w:themeColor="text1"/>
          <w:kern w:val="0"/>
          <w:sz w:val="28"/>
          <w:szCs w:val="28"/>
          <w:highlight w:val="none"/>
          <w:lang w:val="en-US" w:eastAsia="zh-CN"/>
          <w14:textFill>
            <w14:solidFill>
              <w14:schemeClr w14:val="tx1"/>
            </w14:solidFill>
          </w14:textFill>
        </w:rPr>
        <w:t>15</w:t>
      </w: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日17时</w:t>
      </w:r>
      <w:r>
        <w:rPr>
          <w:rFonts w:hint="eastAsia" w:asciiTheme="majorEastAsia" w:hAnsiTheme="majorEastAsia" w:eastAsiaTheme="majorEastAsia" w:cstheme="majorEastAsia"/>
          <w:color w:val="000000" w:themeColor="text1"/>
          <w:kern w:val="0"/>
          <w:sz w:val="28"/>
          <w:szCs w:val="28"/>
          <w:highlight w:val="none"/>
          <w:lang w:val="en-US" w:eastAsia="zh-CN"/>
          <w14:textFill>
            <w14:solidFill>
              <w14:schemeClr w14:val="tx1"/>
            </w14:solidFill>
          </w14:textFill>
        </w:rPr>
        <w:t>30分</w:t>
      </w:r>
      <w:r>
        <w:rPr>
          <w:rFonts w:hint="eastAsia" w:asciiTheme="majorEastAsia" w:hAnsiTheme="majorEastAsia" w:eastAsiaTheme="majorEastAsia" w:cstheme="majorEastAsia"/>
          <w:color w:val="000000" w:themeColor="text1"/>
          <w:kern w:val="0"/>
          <w:sz w:val="28"/>
          <w:szCs w:val="28"/>
          <w:highlight w:val="none"/>
          <w14:textFill>
            <w14:solidFill>
              <w14:schemeClr w14:val="tx1"/>
            </w14:solidFill>
          </w14:textFill>
        </w:rPr>
        <w:t>前将投标文件正本一份，副本一份，电子版一份（U盘介质）提交到招标人处，在此时点之后送达的投标文件恕不接受。</w:t>
      </w:r>
    </w:p>
    <w:p>
      <w:pPr>
        <w:spacing w:line="360" w:lineRule="auto"/>
        <w:ind w:firstLine="0" w:firstLineChars="0"/>
        <w:rPr>
          <w:rFonts w:hint="eastAsia" w:asciiTheme="majorEastAsia" w:hAnsiTheme="majorEastAsia" w:eastAsiaTheme="majorEastAsia" w:cstheme="majorEastAsia"/>
          <w:kern w:val="0"/>
          <w:sz w:val="28"/>
          <w:szCs w:val="28"/>
          <w:highlight w:val="none"/>
        </w:rPr>
      </w:pPr>
    </w:p>
    <w:p>
      <w:pPr>
        <w:spacing w:line="360" w:lineRule="auto"/>
        <w:ind w:firstLine="562" w:firstLineChars="200"/>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b/>
          <w:bCs/>
          <w:kern w:val="0"/>
          <w:sz w:val="28"/>
          <w:szCs w:val="28"/>
          <w:highlight w:val="none"/>
        </w:rPr>
        <w:t>招标人：</w:t>
      </w:r>
      <w:r>
        <w:rPr>
          <w:rFonts w:hint="eastAsia" w:asciiTheme="majorEastAsia" w:hAnsiTheme="majorEastAsia" w:eastAsiaTheme="majorEastAsia" w:cstheme="majorEastAsia"/>
          <w:kern w:val="0"/>
          <w:sz w:val="28"/>
          <w:szCs w:val="28"/>
          <w:highlight w:val="none"/>
        </w:rPr>
        <w:t>厦门国贸城市服务集团股份有限公司</w:t>
      </w:r>
    </w:p>
    <w:p>
      <w:pPr>
        <w:spacing w:line="360" w:lineRule="auto"/>
        <w:ind w:firstLine="562" w:firstLineChars="200"/>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b/>
          <w:bCs/>
          <w:kern w:val="0"/>
          <w:sz w:val="28"/>
          <w:szCs w:val="28"/>
          <w:highlight w:val="none"/>
        </w:rPr>
        <w:t>联系地址：</w:t>
      </w:r>
      <w:r>
        <w:rPr>
          <w:rFonts w:hint="eastAsia" w:asciiTheme="majorEastAsia" w:hAnsiTheme="majorEastAsia" w:eastAsiaTheme="majorEastAsia" w:cstheme="majorEastAsia"/>
          <w:kern w:val="0"/>
          <w:sz w:val="28"/>
          <w:szCs w:val="28"/>
          <w:highlight w:val="none"/>
        </w:rPr>
        <w:t>厦门市思明区体育路41号顺承大厦6楼</w:t>
      </w:r>
    </w:p>
    <w:p>
      <w:pPr>
        <w:spacing w:line="360" w:lineRule="auto"/>
        <w:ind w:firstLine="562" w:firstLineChars="200"/>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b/>
          <w:bCs/>
          <w:kern w:val="0"/>
          <w:sz w:val="28"/>
          <w:szCs w:val="28"/>
          <w:highlight w:val="none"/>
        </w:rPr>
        <w:t>联系人：</w:t>
      </w:r>
      <w:r>
        <w:rPr>
          <w:rFonts w:hint="eastAsia" w:asciiTheme="majorEastAsia" w:hAnsiTheme="majorEastAsia" w:eastAsiaTheme="majorEastAsia" w:cstheme="majorEastAsia"/>
          <w:b w:val="0"/>
          <w:bCs w:val="0"/>
          <w:kern w:val="0"/>
          <w:sz w:val="28"/>
          <w:szCs w:val="28"/>
          <w:highlight w:val="none"/>
        </w:rPr>
        <w:t>林</w:t>
      </w:r>
      <w:r>
        <w:rPr>
          <w:rFonts w:hint="eastAsia" w:asciiTheme="majorEastAsia" w:hAnsiTheme="majorEastAsia" w:eastAsiaTheme="majorEastAsia" w:cstheme="majorEastAsia"/>
          <w:kern w:val="0"/>
          <w:sz w:val="28"/>
          <w:szCs w:val="28"/>
          <w:highlight w:val="none"/>
        </w:rPr>
        <w:t>女士</w:t>
      </w:r>
    </w:p>
    <w:p>
      <w:pPr>
        <w:spacing w:line="360" w:lineRule="auto"/>
        <w:ind w:firstLine="562" w:firstLineChars="200"/>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b/>
          <w:bCs/>
          <w:kern w:val="0"/>
          <w:sz w:val="28"/>
          <w:szCs w:val="28"/>
          <w:highlight w:val="none"/>
        </w:rPr>
        <w:t>联系电话：</w:t>
      </w:r>
      <w:r>
        <w:rPr>
          <w:rFonts w:hint="eastAsia" w:asciiTheme="majorEastAsia" w:hAnsiTheme="majorEastAsia" w:eastAsiaTheme="majorEastAsia" w:cstheme="majorEastAsia"/>
          <w:kern w:val="0"/>
          <w:sz w:val="28"/>
          <w:szCs w:val="28"/>
          <w:highlight w:val="none"/>
        </w:rPr>
        <w:t>0592-2990825</w:t>
      </w:r>
    </w:p>
    <w:p>
      <w:pPr>
        <w:spacing w:line="360" w:lineRule="auto"/>
        <w:ind w:firstLine="562" w:firstLineChars="200"/>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b/>
          <w:bCs/>
          <w:kern w:val="0"/>
          <w:sz w:val="28"/>
          <w:szCs w:val="28"/>
          <w:highlight w:val="none"/>
        </w:rPr>
        <w:t>账户名称：</w:t>
      </w:r>
      <w:r>
        <w:rPr>
          <w:rFonts w:hint="eastAsia" w:asciiTheme="majorEastAsia" w:hAnsiTheme="majorEastAsia" w:eastAsiaTheme="majorEastAsia" w:cstheme="majorEastAsia"/>
          <w:kern w:val="0"/>
          <w:sz w:val="28"/>
          <w:szCs w:val="28"/>
          <w:highlight w:val="none"/>
        </w:rPr>
        <w:t>厦门国贸城市服务集团股份有限公司</w:t>
      </w:r>
    </w:p>
    <w:p>
      <w:pPr>
        <w:spacing w:line="360" w:lineRule="auto"/>
        <w:ind w:firstLine="562" w:firstLineChars="200"/>
        <w:rPr>
          <w:rFonts w:hint="eastAsia" w:asciiTheme="majorEastAsia" w:hAnsiTheme="majorEastAsia" w:eastAsiaTheme="majorEastAsia" w:cstheme="majorEastAsia"/>
          <w:b/>
          <w:bCs/>
          <w:kern w:val="0"/>
          <w:sz w:val="28"/>
          <w:szCs w:val="28"/>
          <w:highlight w:val="none"/>
        </w:rPr>
      </w:pPr>
      <w:r>
        <w:rPr>
          <w:rFonts w:hint="eastAsia" w:asciiTheme="majorEastAsia" w:hAnsiTheme="majorEastAsia" w:eastAsiaTheme="majorEastAsia" w:cstheme="majorEastAsia"/>
          <w:b/>
          <w:bCs/>
          <w:kern w:val="0"/>
          <w:sz w:val="28"/>
          <w:szCs w:val="28"/>
          <w:highlight w:val="none"/>
        </w:rPr>
        <w:t>账    号：</w:t>
      </w:r>
      <w:r>
        <w:rPr>
          <w:rFonts w:hint="eastAsia" w:asciiTheme="majorEastAsia" w:hAnsiTheme="majorEastAsia" w:eastAsiaTheme="majorEastAsia" w:cstheme="majorEastAsia"/>
          <w:kern w:val="0"/>
          <w:sz w:val="28"/>
          <w:szCs w:val="28"/>
          <w:highlight w:val="none"/>
        </w:rPr>
        <w:t>35101551001050009378</w:t>
      </w:r>
    </w:p>
    <w:p>
      <w:pPr>
        <w:spacing w:line="360" w:lineRule="auto"/>
        <w:ind w:right="0" w:firstLine="562" w:firstLineChars="200"/>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b/>
          <w:bCs/>
          <w:kern w:val="0"/>
          <w:sz w:val="28"/>
          <w:szCs w:val="28"/>
          <w:highlight w:val="none"/>
        </w:rPr>
        <w:t>开户银行：</w:t>
      </w:r>
      <w:r>
        <w:rPr>
          <w:rFonts w:hint="eastAsia" w:asciiTheme="majorEastAsia" w:hAnsiTheme="majorEastAsia" w:eastAsiaTheme="majorEastAsia" w:cstheme="majorEastAsia"/>
          <w:kern w:val="0"/>
          <w:sz w:val="28"/>
          <w:szCs w:val="28"/>
          <w:highlight w:val="none"/>
        </w:rPr>
        <w:t>中国建设银行股份有限公司厦门湖滨支行</w:t>
      </w:r>
    </w:p>
    <w:p>
      <w:pPr>
        <w:spacing w:line="360" w:lineRule="auto"/>
        <w:ind w:right="280" w:firstLine="0" w:firstLineChars="0"/>
        <w:jc w:val="both"/>
        <w:rPr>
          <w:rFonts w:hint="eastAsia" w:asciiTheme="majorEastAsia" w:hAnsiTheme="majorEastAsia" w:eastAsiaTheme="majorEastAsia" w:cstheme="majorEastAsia"/>
          <w:kern w:val="0"/>
          <w:sz w:val="28"/>
          <w:szCs w:val="28"/>
          <w:highlight w:val="none"/>
        </w:rPr>
      </w:pPr>
    </w:p>
    <w:p>
      <w:pPr>
        <w:spacing w:line="360" w:lineRule="auto"/>
        <w:ind w:right="280" w:firstLine="0" w:firstLineChars="0"/>
        <w:jc w:val="both"/>
        <w:rPr>
          <w:rFonts w:hint="eastAsia" w:asciiTheme="majorEastAsia" w:hAnsiTheme="majorEastAsia" w:eastAsiaTheme="majorEastAsia" w:cstheme="majorEastAsia"/>
          <w:kern w:val="0"/>
          <w:sz w:val="28"/>
          <w:szCs w:val="28"/>
          <w:highlight w:val="none"/>
        </w:rPr>
      </w:pPr>
      <w:bookmarkStart w:id="440" w:name="_GoBack"/>
      <w:bookmarkEnd w:id="440"/>
    </w:p>
    <w:p>
      <w:pPr>
        <w:spacing w:line="360" w:lineRule="auto"/>
        <w:ind w:right="280" w:firstLine="560" w:firstLineChars="200"/>
        <w:jc w:val="right"/>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kern w:val="0"/>
          <w:sz w:val="28"/>
          <w:szCs w:val="28"/>
          <w:highlight w:val="none"/>
        </w:rPr>
        <w:t>厦门国贸城市服务集团股份有限公司</w:t>
      </w:r>
    </w:p>
    <w:p>
      <w:pPr>
        <w:spacing w:line="360" w:lineRule="auto"/>
        <w:ind w:right="280" w:firstLine="560" w:firstLineChars="200"/>
        <w:jc w:val="right"/>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kern w:val="0"/>
          <w:sz w:val="28"/>
          <w:szCs w:val="28"/>
          <w:highlight w:val="none"/>
        </w:rPr>
        <w:t>2024年</w:t>
      </w:r>
      <w:r>
        <w:rPr>
          <w:rFonts w:hint="eastAsia" w:asciiTheme="majorEastAsia" w:hAnsiTheme="majorEastAsia" w:eastAsiaTheme="majorEastAsia" w:cstheme="majorEastAsia"/>
          <w:kern w:val="0"/>
          <w:sz w:val="28"/>
          <w:szCs w:val="28"/>
          <w:highlight w:val="none"/>
          <w:lang w:val="en-US" w:eastAsia="zh-CN"/>
        </w:rPr>
        <w:t>10</w:t>
      </w:r>
      <w:r>
        <w:rPr>
          <w:rFonts w:hint="eastAsia" w:asciiTheme="majorEastAsia" w:hAnsiTheme="majorEastAsia" w:eastAsiaTheme="majorEastAsia" w:cstheme="majorEastAsia"/>
          <w:kern w:val="0"/>
          <w:sz w:val="28"/>
          <w:szCs w:val="28"/>
          <w:highlight w:val="none"/>
        </w:rPr>
        <w:t>月</w:t>
      </w:r>
      <w:r>
        <w:rPr>
          <w:rFonts w:hint="eastAsia" w:asciiTheme="majorEastAsia" w:hAnsiTheme="majorEastAsia" w:eastAsiaTheme="majorEastAsia" w:cstheme="majorEastAsia"/>
          <w:kern w:val="0"/>
          <w:sz w:val="28"/>
          <w:szCs w:val="28"/>
          <w:highlight w:val="none"/>
          <w:lang w:val="en-US" w:eastAsia="zh-CN"/>
        </w:rPr>
        <w:t>10</w:t>
      </w:r>
      <w:r>
        <w:rPr>
          <w:rFonts w:hint="eastAsia" w:asciiTheme="majorEastAsia" w:hAnsiTheme="majorEastAsia" w:eastAsiaTheme="majorEastAsia" w:cstheme="majorEastAsia"/>
          <w:kern w:val="0"/>
          <w:sz w:val="28"/>
          <w:szCs w:val="28"/>
          <w:highlight w:val="none"/>
        </w:rPr>
        <w:t>日</w:t>
      </w:r>
    </w:p>
    <w:p>
      <w:pPr>
        <w:pStyle w:val="2"/>
        <w:keepNext w:val="0"/>
        <w:keepLines w:val="0"/>
        <w:tabs>
          <w:tab w:val="center" w:pos="4535"/>
        </w:tabs>
        <w:spacing w:before="0" w:after="0" w:line="360" w:lineRule="auto"/>
        <w:ind w:firstLine="314"/>
        <w:jc w:val="left"/>
        <w:rPr>
          <w:rFonts w:hint="eastAsia" w:asciiTheme="majorEastAsia" w:hAnsiTheme="majorEastAsia" w:eastAsiaTheme="majorEastAsia" w:cstheme="majorEastAsia"/>
          <w:highlight w:val="none"/>
        </w:rPr>
      </w:pPr>
    </w:p>
    <w:p>
      <w:pPr>
        <w:spacing w:line="360" w:lineRule="auto"/>
        <w:rPr>
          <w:rFonts w:hint="eastAsia" w:asciiTheme="majorEastAsia" w:hAnsiTheme="majorEastAsia" w:eastAsiaTheme="majorEastAsia" w:cstheme="majorEastAsia"/>
          <w:highlight w:val="none"/>
        </w:rPr>
      </w:pPr>
    </w:p>
    <w:p>
      <w:pPr>
        <w:pStyle w:val="2"/>
        <w:keepNext w:val="0"/>
        <w:keepLines w:val="0"/>
        <w:tabs>
          <w:tab w:val="center" w:pos="4535"/>
        </w:tabs>
        <w:spacing w:before="0" w:after="0" w:line="360" w:lineRule="auto"/>
        <w:ind w:firstLine="314"/>
        <w:jc w:val="left"/>
        <w:rPr>
          <w:rFonts w:hint="eastAsia" w:asciiTheme="majorEastAsia" w:hAnsiTheme="majorEastAsia" w:eastAsiaTheme="majorEastAsia" w:cstheme="majorEastAsia"/>
          <w:highlight w:val="none"/>
        </w:rPr>
        <w:sectPr>
          <w:footerReference r:id="rId3" w:type="default"/>
          <w:pgSz w:w="11907" w:h="16840"/>
          <w:pgMar w:top="1418" w:right="1418" w:bottom="1418" w:left="1418" w:header="857" w:footer="999" w:gutter="0"/>
          <w:pgNumType w:fmt="numberInDash" w:start="1"/>
          <w:cols w:space="720" w:num="1"/>
          <w:docGrid w:linePitch="286" w:charSpace="0"/>
        </w:sectPr>
      </w:pPr>
      <w:bookmarkStart w:id="18" w:name="_Toc4031"/>
      <w:bookmarkStart w:id="19" w:name="_Toc26556"/>
      <w:bookmarkStart w:id="20" w:name="_Toc23613"/>
      <w:bookmarkStart w:id="21" w:name="_Toc17070"/>
      <w:bookmarkStart w:id="22" w:name="_Toc9800"/>
      <w:bookmarkStart w:id="23" w:name="_Toc21877"/>
      <w:bookmarkStart w:id="24" w:name="_Toc2372"/>
      <w:bookmarkStart w:id="25" w:name="_Toc26392"/>
      <w:bookmarkStart w:id="26" w:name="_Toc21500"/>
    </w:p>
    <w:p>
      <w:pPr>
        <w:pStyle w:val="2"/>
        <w:keepNext w:val="0"/>
        <w:keepLines w:val="0"/>
        <w:tabs>
          <w:tab w:val="center" w:pos="4535"/>
        </w:tabs>
        <w:spacing w:before="0" w:after="0" w:line="360" w:lineRule="auto"/>
        <w:ind w:firstLine="314"/>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附：招标项目一览表</w:t>
      </w:r>
      <w:bookmarkEnd w:id="18"/>
      <w:bookmarkEnd w:id="19"/>
      <w:bookmarkEnd w:id="20"/>
      <w:bookmarkEnd w:id="21"/>
      <w:bookmarkEnd w:id="22"/>
      <w:bookmarkEnd w:id="23"/>
      <w:bookmarkEnd w:id="24"/>
      <w:bookmarkEnd w:id="25"/>
      <w:bookmarkEnd w:id="26"/>
    </w:p>
    <w:tbl>
      <w:tblPr>
        <w:tblStyle w:val="19"/>
        <w:tblW w:w="9071" w:type="dxa"/>
        <w:tblInd w:w="4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587"/>
        <w:gridCol w:w="1815"/>
        <w:gridCol w:w="1511"/>
        <w:gridCol w:w="1178"/>
        <w:gridCol w:w="1111"/>
        <w:gridCol w:w="911"/>
        <w:gridCol w:w="1958"/>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587" w:type="dxa"/>
            <w:vAlign w:val="center"/>
          </w:tcPr>
          <w:p>
            <w:pPr>
              <w:widowControl/>
              <w:spacing w:before="100" w:beforeAutospacing="1" w:after="100" w:afterAutospacing="1" w:line="240" w:lineRule="auto"/>
              <w:ind w:firstLine="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序号</w:t>
            </w:r>
          </w:p>
        </w:tc>
        <w:tc>
          <w:tcPr>
            <w:tcW w:w="1815" w:type="dxa"/>
            <w:vAlign w:val="center"/>
          </w:tcPr>
          <w:p>
            <w:pPr>
              <w:widowControl/>
              <w:spacing w:before="100" w:beforeAutospacing="1" w:after="100" w:afterAutospacing="1" w:line="240" w:lineRule="auto"/>
              <w:ind w:firstLine="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招标服务名称</w:t>
            </w:r>
          </w:p>
        </w:tc>
        <w:tc>
          <w:tcPr>
            <w:tcW w:w="1511" w:type="dxa"/>
            <w:vAlign w:val="center"/>
          </w:tcPr>
          <w:p>
            <w:pPr>
              <w:widowControl/>
              <w:spacing w:before="100" w:beforeAutospacing="1" w:after="100" w:afterAutospacing="1" w:line="240" w:lineRule="auto"/>
              <w:ind w:firstLine="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招标内容及要求</w:t>
            </w:r>
          </w:p>
        </w:tc>
        <w:tc>
          <w:tcPr>
            <w:tcW w:w="1178" w:type="dxa"/>
            <w:vAlign w:val="center"/>
          </w:tcPr>
          <w:p>
            <w:pPr>
              <w:widowControl/>
              <w:spacing w:before="100" w:beforeAutospacing="1" w:after="100" w:afterAutospacing="1" w:line="240" w:lineRule="auto"/>
              <w:ind w:firstLine="0"/>
              <w:jc w:val="center"/>
              <w:rPr>
                <w:rFonts w:hint="eastAsia" w:ascii="宋体" w:hAnsi="宋体" w:eastAsia="宋体" w:cs="宋体"/>
                <w:b/>
                <w:bCs w:val="0"/>
                <w:kern w:val="0"/>
                <w:sz w:val="28"/>
                <w:szCs w:val="28"/>
                <w:highlight w:val="none"/>
              </w:rPr>
            </w:pPr>
            <w:r>
              <w:rPr>
                <w:rFonts w:hint="eastAsia" w:ascii="宋体" w:hAnsi="宋体" w:eastAsia="宋体" w:cs="宋体"/>
                <w:b/>
                <w:bCs w:val="0"/>
                <w:kern w:val="0"/>
                <w:sz w:val="28"/>
                <w:szCs w:val="28"/>
                <w:highlight w:val="none"/>
              </w:rPr>
              <w:t>服务地点</w:t>
            </w:r>
          </w:p>
        </w:tc>
        <w:tc>
          <w:tcPr>
            <w:tcW w:w="1111" w:type="dxa"/>
            <w:vAlign w:val="center"/>
          </w:tcPr>
          <w:p>
            <w:pPr>
              <w:widowControl/>
              <w:spacing w:before="100" w:beforeAutospacing="1" w:after="100" w:afterAutospacing="1" w:line="240" w:lineRule="auto"/>
              <w:ind w:firstLine="0"/>
              <w:jc w:val="center"/>
              <w:rPr>
                <w:rFonts w:hint="eastAsia" w:ascii="宋体" w:hAnsi="宋体" w:eastAsia="宋体" w:cs="宋体"/>
                <w:b/>
                <w:bCs w:val="0"/>
                <w:kern w:val="0"/>
                <w:sz w:val="28"/>
                <w:szCs w:val="28"/>
                <w:highlight w:val="none"/>
              </w:rPr>
            </w:pPr>
            <w:r>
              <w:rPr>
                <w:rFonts w:hint="eastAsia" w:ascii="宋体" w:hAnsi="宋体" w:eastAsia="宋体" w:cs="宋体"/>
                <w:b/>
                <w:bCs w:val="0"/>
                <w:kern w:val="0"/>
                <w:sz w:val="28"/>
                <w:szCs w:val="28"/>
                <w:highlight w:val="none"/>
              </w:rPr>
              <w:t>服务期</w:t>
            </w:r>
          </w:p>
        </w:tc>
        <w:tc>
          <w:tcPr>
            <w:tcW w:w="911" w:type="dxa"/>
            <w:vAlign w:val="center"/>
          </w:tcPr>
          <w:p>
            <w:pPr>
              <w:widowControl/>
              <w:spacing w:before="100" w:beforeAutospacing="1" w:after="100" w:afterAutospacing="1" w:line="240" w:lineRule="auto"/>
              <w:ind w:firstLine="0"/>
              <w:jc w:val="center"/>
              <w:rPr>
                <w:rFonts w:hint="eastAsia" w:ascii="宋体" w:hAnsi="宋体" w:eastAsia="宋体" w:cs="宋体"/>
                <w:b/>
                <w:bCs w:val="0"/>
                <w:kern w:val="0"/>
                <w:sz w:val="28"/>
                <w:szCs w:val="28"/>
                <w:highlight w:val="none"/>
              </w:rPr>
            </w:pPr>
            <w:r>
              <w:rPr>
                <w:rFonts w:hint="eastAsia" w:ascii="宋体" w:hAnsi="宋体" w:eastAsia="宋体" w:cs="宋体"/>
                <w:b/>
                <w:bCs w:val="0"/>
                <w:sz w:val="28"/>
                <w:szCs w:val="28"/>
                <w:highlight w:val="none"/>
              </w:rPr>
              <w:t>岗编</w:t>
            </w:r>
          </w:p>
        </w:tc>
        <w:tc>
          <w:tcPr>
            <w:tcW w:w="1958" w:type="dxa"/>
            <w:vAlign w:val="center"/>
          </w:tcPr>
          <w:p>
            <w:pPr>
              <w:widowControl/>
              <w:spacing w:before="100" w:beforeAutospacing="1" w:after="100" w:afterAutospacing="1" w:line="240" w:lineRule="auto"/>
              <w:ind w:firstLine="0"/>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w:t>
            </w:r>
            <w:r>
              <w:rPr>
                <w:rFonts w:hint="eastAsia" w:ascii="宋体" w:hAnsi="宋体" w:eastAsia="宋体" w:cs="宋体"/>
                <w:b/>
                <w:bCs w:val="0"/>
                <w:kern w:val="0"/>
                <w:sz w:val="28"/>
                <w:szCs w:val="28"/>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587" w:type="dxa"/>
            <w:vAlign w:val="center"/>
          </w:tcPr>
          <w:p>
            <w:pPr>
              <w:spacing w:line="360" w:lineRule="auto"/>
              <w:ind w:firstLine="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一</w:t>
            </w:r>
          </w:p>
        </w:tc>
        <w:tc>
          <w:tcPr>
            <w:tcW w:w="1815" w:type="dxa"/>
            <w:vAlign w:val="center"/>
          </w:tcPr>
          <w:p>
            <w:pPr>
              <w:adjustRightInd w:val="0"/>
              <w:snapToGrid w:val="0"/>
              <w:spacing w:line="360" w:lineRule="auto"/>
              <w:ind w:firstLine="0"/>
              <w:jc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lang w:eastAsia="zh-CN"/>
              </w:rPr>
              <w:t>上海国贸天悦三期</w:t>
            </w:r>
            <w:r>
              <w:rPr>
                <w:rFonts w:hint="eastAsia" w:ascii="宋体" w:hAnsi="宋体" w:eastAsia="宋体" w:cs="宋体"/>
                <w:kern w:val="0"/>
                <w:sz w:val="28"/>
                <w:szCs w:val="28"/>
                <w:highlight w:val="none"/>
              </w:rPr>
              <w:t>保安服务</w:t>
            </w:r>
          </w:p>
        </w:tc>
        <w:tc>
          <w:tcPr>
            <w:tcW w:w="1511" w:type="dxa"/>
            <w:vAlign w:val="center"/>
          </w:tcPr>
          <w:p>
            <w:pPr>
              <w:spacing w:line="360" w:lineRule="auto"/>
              <w:ind w:firstLine="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详见第三章</w:t>
            </w:r>
          </w:p>
        </w:tc>
        <w:tc>
          <w:tcPr>
            <w:tcW w:w="1178" w:type="dxa"/>
            <w:vAlign w:val="center"/>
          </w:tcPr>
          <w:p>
            <w:pPr>
              <w:spacing w:line="360" w:lineRule="auto"/>
              <w:ind w:firstLine="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上海市</w:t>
            </w:r>
          </w:p>
        </w:tc>
        <w:tc>
          <w:tcPr>
            <w:tcW w:w="1111" w:type="dxa"/>
            <w:vAlign w:val="center"/>
          </w:tcPr>
          <w:p>
            <w:pPr>
              <w:spacing w:line="360" w:lineRule="auto"/>
              <w:ind w:firstLine="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1年</w:t>
            </w:r>
          </w:p>
        </w:tc>
        <w:tc>
          <w:tcPr>
            <w:tcW w:w="911" w:type="dxa"/>
            <w:vAlign w:val="center"/>
          </w:tcPr>
          <w:p>
            <w:pPr>
              <w:spacing w:line="360" w:lineRule="auto"/>
              <w:ind w:firstLine="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w:t>
            </w: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rPr>
              <w:t>岗</w:t>
            </w:r>
          </w:p>
        </w:tc>
        <w:tc>
          <w:tcPr>
            <w:tcW w:w="1958" w:type="dxa"/>
            <w:vAlign w:val="center"/>
          </w:tcPr>
          <w:p>
            <w:pPr>
              <w:spacing w:line="360" w:lineRule="auto"/>
              <w:ind w:firstLine="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8</w:t>
            </w: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rPr>
              <w:t>00元/岗/月</w:t>
            </w:r>
          </w:p>
          <w:p>
            <w:pPr>
              <w:pStyle w:val="8"/>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98400</w:t>
            </w:r>
            <w:r>
              <w:rPr>
                <w:rFonts w:hint="eastAsia" w:ascii="宋体" w:hAnsi="宋体" w:eastAsia="宋体" w:cs="宋体"/>
                <w:color w:val="auto"/>
                <w:sz w:val="28"/>
                <w:szCs w:val="28"/>
                <w:highlight w:val="none"/>
              </w:rPr>
              <w:t>元/月</w:t>
            </w:r>
          </w:p>
          <w:p>
            <w:pPr>
              <w:pStyle w:val="8"/>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1180800</w:t>
            </w:r>
            <w:r>
              <w:rPr>
                <w:rFonts w:hint="eastAsia" w:ascii="宋体" w:hAnsi="宋体" w:eastAsia="宋体" w:cs="宋体"/>
                <w:color w:val="auto"/>
                <w:sz w:val="28"/>
                <w:szCs w:val="28"/>
                <w:highlight w:val="none"/>
              </w:rPr>
              <w:t>元/年</w:t>
            </w:r>
          </w:p>
        </w:tc>
      </w:tr>
    </w:tbl>
    <w:p>
      <w:pPr>
        <w:spacing w:line="360" w:lineRule="auto"/>
        <w:rPr>
          <w:rFonts w:hint="eastAsia" w:ascii="宋体" w:hAnsi="宋体" w:eastAsia="宋体" w:cs="宋体"/>
          <w:sz w:val="28"/>
          <w:szCs w:val="28"/>
          <w:highlight w:val="none"/>
        </w:rPr>
      </w:pPr>
    </w:p>
    <w:p>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备注：</w:t>
      </w:r>
    </w:p>
    <w:p>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1、服务期：合同签订后15个自然日内完成进场开展服务，</w:t>
      </w:r>
      <w:r>
        <w:rPr>
          <w:rFonts w:hint="eastAsia" w:ascii="宋体" w:hAnsi="宋体" w:eastAsia="宋体" w:cs="宋体"/>
          <w:b/>
          <w:kern w:val="0"/>
          <w:sz w:val="28"/>
          <w:szCs w:val="28"/>
          <w:highlight w:val="none"/>
        </w:rPr>
        <w:t>各投标人应对此作出承诺。</w:t>
      </w:r>
    </w:p>
    <w:p>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2、投标人的投标报价不得超过本项目的控制价，否则将被视为无效投标响应。</w:t>
      </w:r>
    </w:p>
    <w:p>
      <w:pPr>
        <w:spacing w:line="360" w:lineRule="auto"/>
        <w:ind w:firstLine="562" w:firstLineChars="200"/>
        <w:rPr>
          <w:rFonts w:hint="eastAsia" w:ascii="宋体" w:hAnsi="宋体" w:eastAsia="宋体" w:cs="宋体"/>
          <w:kern w:val="0"/>
          <w:sz w:val="28"/>
          <w:szCs w:val="28"/>
          <w:highlight w:val="none"/>
        </w:rPr>
      </w:pPr>
      <w:r>
        <w:rPr>
          <w:rFonts w:hint="eastAsia" w:ascii="宋体" w:hAnsi="宋体" w:eastAsia="宋体" w:cs="宋体"/>
          <w:b/>
          <w:bCs/>
          <w:sz w:val="28"/>
          <w:szCs w:val="28"/>
          <w:highlight w:val="none"/>
        </w:rPr>
        <w:t>3、投标文件的正本一份，副本一份，电子版U盘一份（电子版内容须包含报价清单及报价文件），</w:t>
      </w:r>
      <w:r>
        <w:rPr>
          <w:rFonts w:hint="eastAsia" w:ascii="宋体" w:hAnsi="宋体" w:eastAsia="宋体" w:cs="宋体"/>
          <w:b/>
          <w:bCs/>
          <w:kern w:val="0"/>
          <w:sz w:val="28"/>
          <w:szCs w:val="28"/>
          <w:highlight w:val="none"/>
        </w:rPr>
        <w:t>密封提交</w:t>
      </w:r>
      <w:r>
        <w:rPr>
          <w:rFonts w:hint="eastAsia" w:ascii="宋体" w:hAnsi="宋体" w:eastAsia="宋体" w:cs="宋体"/>
          <w:b/>
          <w:bCs/>
          <w:sz w:val="28"/>
          <w:szCs w:val="28"/>
          <w:highlight w:val="none"/>
        </w:rPr>
        <w:t>。</w:t>
      </w:r>
    </w:p>
    <w:p>
      <w:pPr>
        <w:spacing w:line="360" w:lineRule="auto"/>
        <w:ind w:firstLine="560" w:firstLineChars="200"/>
        <w:rPr>
          <w:rFonts w:hint="eastAsia" w:ascii="宋体" w:hAnsi="宋体" w:eastAsia="宋体" w:cs="宋体"/>
          <w:kern w:val="0"/>
          <w:sz w:val="28"/>
          <w:szCs w:val="28"/>
          <w:highlight w:val="none"/>
        </w:rPr>
      </w:pPr>
    </w:p>
    <w:p>
      <w:pPr>
        <w:spacing w:line="360" w:lineRule="auto"/>
        <w:ind w:firstLine="560" w:firstLineChars="200"/>
        <w:rPr>
          <w:rFonts w:hint="eastAsia" w:ascii="宋体" w:hAnsi="宋体" w:eastAsia="宋体" w:cs="宋体"/>
          <w:kern w:val="0"/>
          <w:sz w:val="28"/>
          <w:szCs w:val="28"/>
          <w:highlight w:val="none"/>
        </w:rPr>
      </w:pPr>
    </w:p>
    <w:p>
      <w:pPr>
        <w:spacing w:line="360" w:lineRule="auto"/>
        <w:ind w:firstLine="560" w:firstLineChars="200"/>
        <w:rPr>
          <w:rFonts w:hint="eastAsia" w:ascii="宋体" w:hAnsi="宋体" w:eastAsia="宋体" w:cs="宋体"/>
          <w:kern w:val="0"/>
          <w:sz w:val="28"/>
          <w:szCs w:val="28"/>
          <w:highlight w:val="none"/>
        </w:rPr>
      </w:pPr>
    </w:p>
    <w:p>
      <w:pPr>
        <w:pStyle w:val="2"/>
        <w:spacing w:before="10" w:after="120" w:afterLines="50" w:line="360" w:lineRule="auto"/>
        <w:ind w:firstLine="274"/>
        <w:rPr>
          <w:rFonts w:hint="eastAsia" w:ascii="宋体" w:hAnsi="宋体" w:eastAsia="宋体" w:cs="宋体"/>
          <w:b w:val="0"/>
          <w:bCs w:val="0"/>
          <w:kern w:val="0"/>
          <w:sz w:val="28"/>
          <w:szCs w:val="28"/>
          <w:highlight w:val="none"/>
        </w:rPr>
      </w:pPr>
      <w:r>
        <w:rPr>
          <w:rFonts w:hint="eastAsia" w:ascii="宋体" w:hAnsi="宋体" w:eastAsia="宋体" w:cs="宋体"/>
          <w:kern w:val="0"/>
          <w:sz w:val="28"/>
          <w:szCs w:val="28"/>
          <w:highlight w:val="none"/>
        </w:rPr>
        <w:br w:type="page"/>
      </w:r>
      <w:bookmarkStart w:id="27" w:name="_Toc10809"/>
      <w:bookmarkStart w:id="28" w:name="_Toc1456"/>
      <w:bookmarkStart w:id="29" w:name="_Toc8202"/>
      <w:bookmarkStart w:id="30" w:name="_Toc18632"/>
      <w:bookmarkStart w:id="31" w:name="_Toc16192"/>
      <w:bookmarkStart w:id="32" w:name="_Toc12630"/>
      <w:bookmarkStart w:id="33" w:name="_Toc17835"/>
      <w:bookmarkStart w:id="34" w:name="_Toc20190"/>
      <w:bookmarkStart w:id="35" w:name="_Toc31675"/>
      <w:r>
        <w:rPr>
          <w:rFonts w:hint="eastAsia" w:ascii="宋体" w:hAnsi="宋体" w:eastAsia="宋体" w:cs="宋体"/>
          <w:kern w:val="0"/>
          <w:sz w:val="28"/>
          <w:szCs w:val="28"/>
          <w:highlight w:val="none"/>
        </w:rPr>
        <w:t>第二章　投标人须知</w:t>
      </w:r>
      <w:bookmarkEnd w:id="27"/>
      <w:bookmarkEnd w:id="28"/>
      <w:bookmarkEnd w:id="29"/>
      <w:bookmarkEnd w:id="30"/>
      <w:bookmarkEnd w:id="31"/>
      <w:bookmarkEnd w:id="32"/>
      <w:bookmarkEnd w:id="33"/>
      <w:bookmarkEnd w:id="34"/>
      <w:bookmarkEnd w:id="35"/>
    </w:p>
    <w:p>
      <w:pPr>
        <w:spacing w:line="360" w:lineRule="auto"/>
        <w:ind w:firstLine="562" w:firstLineChars="20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投标人须知前附表</w:t>
      </w:r>
    </w:p>
    <w:p>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本须知前附表的内容是与《投标人须知》中条款的内容对应的。如有矛盾，应以本须知前附表为准。</w:t>
      </w:r>
    </w:p>
    <w:tbl>
      <w:tblPr>
        <w:tblStyle w:val="19"/>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blHeader/>
          <w:jc w:val="center"/>
        </w:trPr>
        <w:tc>
          <w:tcPr>
            <w:tcW w:w="850" w:type="dxa"/>
            <w:shd w:val="clear" w:color="auto" w:fill="E7E6E6" w:themeFill="background2"/>
            <w:vAlign w:val="center"/>
          </w:tcPr>
          <w:p>
            <w:pPr>
              <w:spacing w:line="360" w:lineRule="auto"/>
              <w:ind w:firstLine="275"/>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项号</w:t>
            </w:r>
          </w:p>
        </w:tc>
        <w:tc>
          <w:tcPr>
            <w:tcW w:w="9071" w:type="dxa"/>
            <w:shd w:val="clear" w:color="auto" w:fill="E7E6E6" w:themeFill="background2"/>
            <w:vAlign w:val="center"/>
          </w:tcPr>
          <w:p>
            <w:pPr>
              <w:spacing w:line="360" w:lineRule="auto"/>
              <w:ind w:firstLine="275"/>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4" w:hRule="atLeast"/>
          <w:jc w:val="center"/>
        </w:trPr>
        <w:tc>
          <w:tcPr>
            <w:tcW w:w="850" w:type="dxa"/>
            <w:vAlign w:val="center"/>
          </w:tcPr>
          <w:p>
            <w:pPr>
              <w:spacing w:line="360" w:lineRule="auto"/>
              <w:ind w:firstLine="27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9071" w:type="dxa"/>
            <w:vAlign w:val="center"/>
          </w:tcPr>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上海国贸天悦三期</w:t>
            </w:r>
            <w:r>
              <w:rPr>
                <w:rFonts w:hint="eastAsia" w:ascii="宋体" w:hAnsi="宋体" w:eastAsia="宋体" w:cs="宋体"/>
                <w:sz w:val="28"/>
                <w:szCs w:val="28"/>
                <w:highlight w:val="none"/>
              </w:rPr>
              <w:t>保安服务</w:t>
            </w:r>
          </w:p>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招标人：厦门国贸城市服务集团股份有限公司</w:t>
            </w:r>
          </w:p>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项目内容：见“招标项目一览表”</w:t>
            </w:r>
          </w:p>
          <w:p>
            <w:pPr>
              <w:spacing w:line="360" w:lineRule="auto"/>
              <w:ind w:firstLine="275"/>
              <w:rPr>
                <w:rFonts w:hint="default"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项目编号：</w:t>
            </w:r>
            <w:r>
              <w:rPr>
                <w:rFonts w:hint="eastAsia" w:ascii="宋体" w:hAnsi="宋体" w:cs="宋体"/>
                <w:sz w:val="28"/>
                <w:szCs w:val="28"/>
                <w:highlight w:val="none"/>
                <w:lang w:val="en-US" w:eastAsia="zh-CN"/>
              </w:rPr>
              <w:t>GMFW-2024-15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850" w:type="dxa"/>
            <w:vAlign w:val="center"/>
          </w:tcPr>
          <w:p>
            <w:pPr>
              <w:spacing w:line="360" w:lineRule="auto"/>
              <w:ind w:firstLine="27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9071" w:type="dxa"/>
            <w:vAlign w:val="center"/>
          </w:tcPr>
          <w:p>
            <w:pPr>
              <w:tabs>
                <w:tab w:val="left" w:pos="-1260"/>
                <w:tab w:val="left" w:pos="10260"/>
              </w:tabs>
              <w:spacing w:line="360" w:lineRule="auto"/>
              <w:ind w:firstLine="275"/>
              <w:rPr>
                <w:rFonts w:hint="eastAsia" w:ascii="宋体" w:hAnsi="宋体" w:eastAsia="宋体" w:cs="宋体"/>
                <w:spacing w:val="-4"/>
                <w:sz w:val="28"/>
                <w:szCs w:val="28"/>
                <w:highlight w:val="none"/>
              </w:rPr>
            </w:pPr>
            <w:r>
              <w:rPr>
                <w:rFonts w:hint="eastAsia" w:ascii="宋体" w:hAnsi="宋体" w:eastAsia="宋体" w:cs="宋体"/>
                <w:sz w:val="28"/>
                <w:szCs w:val="28"/>
                <w:highlight w:val="none"/>
              </w:rPr>
              <w:t>资格标准：详</w:t>
            </w:r>
            <w:r>
              <w:rPr>
                <w:rFonts w:hint="eastAsia" w:ascii="宋体" w:hAnsi="宋体" w:eastAsia="宋体" w:cs="宋体"/>
                <w:spacing w:val="-4"/>
                <w:sz w:val="28"/>
                <w:szCs w:val="28"/>
                <w:highlight w:val="none"/>
              </w:rPr>
              <w:t>见</w:t>
            </w:r>
            <w:r>
              <w:rPr>
                <w:rFonts w:hint="eastAsia" w:ascii="宋体" w:hAnsi="宋体" w:eastAsia="宋体" w:cs="宋体"/>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850" w:type="dxa"/>
            <w:vAlign w:val="center"/>
          </w:tcPr>
          <w:p>
            <w:pPr>
              <w:spacing w:line="360" w:lineRule="auto"/>
              <w:ind w:firstLine="27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9071" w:type="dxa"/>
            <w:vAlign w:val="center"/>
          </w:tcPr>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投标有效期：</w:t>
            </w:r>
            <w:r>
              <w:rPr>
                <w:rFonts w:hint="eastAsia" w:ascii="宋体" w:hAnsi="宋体" w:eastAsia="宋体" w:cs="宋体"/>
                <w:kern w:val="0"/>
                <w:sz w:val="28"/>
                <w:szCs w:val="28"/>
                <w:highlight w:val="none"/>
              </w:rPr>
              <w:t>投标截止期结束后90日历日。</w:t>
            </w:r>
            <w:r>
              <w:rPr>
                <w:rFonts w:hint="eastAsia" w:ascii="宋体" w:hAnsi="宋体" w:eastAsia="宋体" w:cs="宋体"/>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850" w:type="dxa"/>
            <w:vAlign w:val="center"/>
          </w:tcPr>
          <w:p>
            <w:pPr>
              <w:spacing w:line="360" w:lineRule="auto"/>
              <w:ind w:firstLine="27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9071" w:type="dxa"/>
            <w:vAlign w:val="center"/>
          </w:tcPr>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投标文件递交地址：</w:t>
            </w:r>
            <w:r>
              <w:rPr>
                <w:rFonts w:hint="eastAsia" w:ascii="宋体" w:hAnsi="宋体" w:eastAsia="宋体" w:cs="宋体"/>
                <w:kern w:val="0"/>
                <w:sz w:val="28"/>
                <w:szCs w:val="28"/>
                <w:highlight w:val="none"/>
              </w:rPr>
              <w:t>厦门市思明区体育路41号顺承大厦6楼</w:t>
            </w:r>
          </w:p>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投标截止时间：见“第一章 投标</w:t>
            </w:r>
            <w:r>
              <w:rPr>
                <w:rFonts w:hint="eastAsia" w:ascii="宋体" w:hAnsi="宋体" w:eastAsia="宋体" w:cs="宋体"/>
                <w:sz w:val="28"/>
                <w:szCs w:val="28"/>
                <w:highlight w:val="none"/>
                <w:lang w:val="en-US" w:eastAsia="zh-CN"/>
              </w:rPr>
              <w:t>公告</w:t>
            </w:r>
            <w:r>
              <w:rPr>
                <w:rFonts w:hint="eastAsia" w:ascii="宋体" w:hAnsi="宋体" w:eastAsia="宋体" w:cs="宋体"/>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2" w:hRule="atLeast"/>
          <w:jc w:val="center"/>
        </w:trPr>
        <w:tc>
          <w:tcPr>
            <w:tcW w:w="850" w:type="dxa"/>
            <w:vAlign w:val="center"/>
          </w:tcPr>
          <w:p>
            <w:pPr>
              <w:spacing w:line="360" w:lineRule="auto"/>
              <w:ind w:firstLine="27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9071" w:type="dxa"/>
            <w:vAlign w:val="center"/>
          </w:tcPr>
          <w:p>
            <w:pPr>
              <w:spacing w:line="360" w:lineRule="auto"/>
              <w:ind w:firstLine="275"/>
              <w:rPr>
                <w:rFonts w:hint="eastAsia" w:ascii="宋体" w:hAnsi="宋体" w:eastAsia="宋体" w:cs="宋体"/>
                <w:b/>
                <w:sz w:val="28"/>
                <w:szCs w:val="28"/>
                <w:highlight w:val="none"/>
              </w:rPr>
            </w:pPr>
            <w:r>
              <w:rPr>
                <w:rFonts w:hint="eastAsia" w:ascii="宋体" w:hAnsi="宋体" w:eastAsia="宋体" w:cs="宋体"/>
                <w:sz w:val="28"/>
                <w:szCs w:val="28"/>
                <w:highlight w:val="none"/>
              </w:rPr>
              <w:t>★投标保证金：人民币</w:t>
            </w:r>
            <w:r>
              <w:rPr>
                <w:rFonts w:hint="eastAsia" w:ascii="宋体" w:hAnsi="宋体" w:eastAsia="宋体" w:cs="宋体"/>
                <w:b/>
                <w:sz w:val="28"/>
                <w:szCs w:val="28"/>
                <w:highlight w:val="none"/>
              </w:rPr>
              <w:t>20000元整。</w:t>
            </w:r>
          </w:p>
          <w:p>
            <w:pPr>
              <w:spacing w:line="360" w:lineRule="auto"/>
              <w:ind w:firstLine="275"/>
              <w:rPr>
                <w:rFonts w:hint="eastAsia" w:ascii="宋体" w:hAnsi="宋体" w:eastAsia="宋体" w:cs="宋体"/>
                <w:b/>
                <w:sz w:val="28"/>
                <w:szCs w:val="28"/>
                <w:highlight w:val="none"/>
              </w:rPr>
            </w:pPr>
            <w:r>
              <w:rPr>
                <w:rFonts w:hint="eastAsia" w:ascii="宋体" w:hAnsi="宋体" w:eastAsia="宋体" w:cs="宋体"/>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宋体" w:hAnsi="宋体" w:eastAsia="宋体" w:cs="宋体"/>
                <w:b/>
                <w:sz w:val="28"/>
                <w:szCs w:val="28"/>
                <w:highlight w:val="none"/>
              </w:rPr>
              <w:t>投标文件中应体现投标保证金的缴交凭证。</w:t>
            </w:r>
          </w:p>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2、保证金的退还：</w:t>
            </w:r>
          </w:p>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招标人将在《中标通知书》发出之日起20个工作日内予以原额无息退</w:t>
            </w:r>
            <w:r>
              <w:rPr>
                <w:rFonts w:hint="eastAsia" w:ascii="宋体" w:hAnsi="宋体" w:cs="宋体"/>
                <w:sz w:val="28"/>
                <w:szCs w:val="28"/>
                <w:highlight w:val="none"/>
                <w:lang w:val="en-US" w:eastAsia="zh-CN"/>
              </w:rPr>
              <w:t>还</w:t>
            </w:r>
            <w:r>
              <w:rPr>
                <w:rFonts w:hint="eastAsia" w:ascii="宋体" w:hAnsi="宋体" w:eastAsia="宋体" w:cs="宋体"/>
                <w:sz w:val="28"/>
                <w:szCs w:val="28"/>
                <w:highlight w:val="none"/>
              </w:rPr>
              <w:t>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850" w:type="dxa"/>
            <w:vAlign w:val="center"/>
          </w:tcPr>
          <w:p>
            <w:pPr>
              <w:spacing w:line="360" w:lineRule="auto"/>
              <w:ind w:firstLine="27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9071" w:type="dxa"/>
            <w:vAlign w:val="center"/>
          </w:tcPr>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中标供应商在签订合同前，应向招标人缴纳20000元履约保证金。</w:t>
            </w:r>
          </w:p>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履约保证金数额：20000元（指人民币，下同）。</w:t>
            </w:r>
          </w:p>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履约保证金形式：转账。</w:t>
            </w:r>
          </w:p>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3.中标人在收到中标通知书后签订采购合同，原投标保证金直接作为合同履约保证金。履约保证金在双方合同终止、交接清楚、质保期（或保修期）结束和债权债务等关系理顺后30日历天内无息返还。</w:t>
            </w:r>
          </w:p>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3" w:hRule="atLeast"/>
          <w:jc w:val="center"/>
        </w:trPr>
        <w:tc>
          <w:tcPr>
            <w:tcW w:w="850" w:type="dxa"/>
            <w:vAlign w:val="center"/>
          </w:tcPr>
          <w:p>
            <w:pPr>
              <w:spacing w:line="360" w:lineRule="auto"/>
              <w:ind w:firstLine="27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7</w:t>
            </w:r>
          </w:p>
        </w:tc>
        <w:tc>
          <w:tcPr>
            <w:tcW w:w="9071" w:type="dxa"/>
            <w:vAlign w:val="center"/>
          </w:tcPr>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★招标预算价（即最高控制价）为：8</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00元/岗/月；</w:t>
            </w:r>
            <w:r>
              <w:rPr>
                <w:rFonts w:hint="eastAsia" w:ascii="宋体" w:hAnsi="宋体" w:eastAsia="宋体" w:cs="宋体"/>
                <w:sz w:val="28"/>
                <w:szCs w:val="28"/>
                <w:highlight w:val="none"/>
                <w:lang w:val="en-US" w:eastAsia="zh-CN"/>
              </w:rPr>
              <w:t>98400</w:t>
            </w:r>
            <w:r>
              <w:rPr>
                <w:rFonts w:hint="eastAsia" w:ascii="宋体" w:hAnsi="宋体" w:eastAsia="宋体" w:cs="宋体"/>
                <w:sz w:val="28"/>
                <w:szCs w:val="28"/>
                <w:highlight w:val="none"/>
              </w:rPr>
              <w:t>元/月；1</w:t>
            </w:r>
            <w:r>
              <w:rPr>
                <w:rFonts w:hint="eastAsia" w:ascii="宋体" w:hAnsi="宋体" w:eastAsia="宋体" w:cs="宋体"/>
                <w:sz w:val="28"/>
                <w:szCs w:val="28"/>
                <w:highlight w:val="none"/>
                <w:lang w:val="en-US" w:eastAsia="zh-CN"/>
              </w:rPr>
              <w:t>180800</w:t>
            </w:r>
            <w:r>
              <w:rPr>
                <w:rFonts w:hint="eastAsia" w:ascii="宋体" w:hAnsi="宋体" w:eastAsia="宋体" w:cs="宋体"/>
                <w:sz w:val="28"/>
                <w:szCs w:val="28"/>
                <w:highlight w:val="none"/>
              </w:rPr>
              <w:t>元/年</w:t>
            </w:r>
            <w:r>
              <w:rPr>
                <w:rFonts w:hint="eastAsia" w:ascii="宋体" w:hAnsi="宋体" w:eastAsia="宋体" w:cs="宋体"/>
                <w:b/>
                <w:kern w:val="0"/>
                <w:sz w:val="28"/>
                <w:szCs w:val="28"/>
                <w:highlight w:val="none"/>
              </w:rPr>
              <w:t>。最高控制价为含税包干预算价，</w:t>
            </w:r>
            <w:r>
              <w:rPr>
                <w:rFonts w:hint="eastAsia" w:ascii="宋体" w:hAnsi="宋体" w:eastAsia="宋体" w:cs="宋体"/>
                <w:b/>
                <w:sz w:val="28"/>
                <w:szCs w:val="28"/>
                <w:highlight w:val="none"/>
              </w:rPr>
              <w:t>投标人投标报价超过预算价的投标为无效投标</w:t>
            </w:r>
            <w:r>
              <w:rPr>
                <w:rFonts w:hint="eastAsia" w:ascii="宋体" w:hAnsi="宋体" w:eastAsia="宋体" w:cs="宋体"/>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0" w:hRule="atLeast"/>
          <w:jc w:val="center"/>
        </w:trPr>
        <w:tc>
          <w:tcPr>
            <w:tcW w:w="850" w:type="dxa"/>
            <w:vAlign w:val="center"/>
          </w:tcPr>
          <w:p>
            <w:pPr>
              <w:spacing w:line="360" w:lineRule="auto"/>
              <w:ind w:firstLine="27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c>
          <w:tcPr>
            <w:tcW w:w="9071" w:type="dxa"/>
            <w:vAlign w:val="center"/>
          </w:tcPr>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评标标准和方法：本次招标采用综合评分法评标。首先，由评标委员会根据招标文件要求（无效投标界定），审核各投标文件是否合格、有效，凡不符合专业条件要求和未实质性响应招标文件要求的投标均不进入比价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32" w:hRule="atLeast"/>
          <w:jc w:val="center"/>
        </w:trPr>
        <w:tc>
          <w:tcPr>
            <w:tcW w:w="850" w:type="dxa"/>
            <w:vAlign w:val="center"/>
          </w:tcPr>
          <w:p>
            <w:pPr>
              <w:spacing w:line="360" w:lineRule="auto"/>
              <w:ind w:firstLine="27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9</w:t>
            </w:r>
          </w:p>
        </w:tc>
        <w:tc>
          <w:tcPr>
            <w:tcW w:w="9071" w:type="dxa"/>
            <w:vAlign w:val="center"/>
          </w:tcPr>
          <w:p>
            <w:pPr>
              <w:spacing w:line="360" w:lineRule="auto"/>
              <w:ind w:firstLine="275"/>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投标提醒：</w:t>
            </w:r>
          </w:p>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1、投标保证金手续办理完毕后，请再次核对账号、收款单位是否正确，并确保在投标截止时间前到账。</w:t>
            </w:r>
          </w:p>
          <w:p>
            <w:pPr>
              <w:spacing w:line="360" w:lineRule="auto"/>
              <w:ind w:firstLine="275"/>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2、为方便保证金的收取工作，</w:t>
            </w:r>
            <w:r>
              <w:rPr>
                <w:rFonts w:hint="eastAsia" w:ascii="宋体" w:hAnsi="宋体" w:eastAsia="宋体" w:cs="宋体"/>
                <w:b/>
                <w:kern w:val="0"/>
                <w:sz w:val="28"/>
                <w:szCs w:val="28"/>
                <w:highlight w:val="none"/>
                <w:u w:val="single"/>
              </w:rPr>
              <w:t>除投标文件中的缴交凭证外，</w:t>
            </w:r>
            <w:r>
              <w:rPr>
                <w:rFonts w:hint="eastAsia" w:ascii="宋体" w:hAnsi="宋体" w:eastAsia="宋体" w:cs="宋体"/>
                <w:b/>
                <w:sz w:val="28"/>
                <w:szCs w:val="28"/>
                <w:highlight w:val="none"/>
                <w:u w:val="single"/>
              </w:rPr>
              <w:t>投标人在递交投标文件时应单独提供保证金缴交证明复印件一份给招标人投标文件接收人员。</w:t>
            </w:r>
          </w:p>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3、为确保在投标截止时间前递交投标文件，请务必考虑交通拥挤及路上不可预见的其他因素。</w:t>
            </w:r>
          </w:p>
          <w:p>
            <w:pPr>
              <w:spacing w:line="360" w:lineRule="auto"/>
              <w:ind w:firstLine="275"/>
              <w:rPr>
                <w:rFonts w:hint="eastAsia" w:ascii="宋体" w:hAnsi="宋体" w:eastAsia="宋体" w:cs="宋体"/>
                <w:sz w:val="28"/>
                <w:szCs w:val="28"/>
                <w:highlight w:val="none"/>
              </w:rPr>
            </w:pPr>
            <w:r>
              <w:rPr>
                <w:rFonts w:hint="eastAsia" w:ascii="宋体" w:hAnsi="宋体" w:eastAsia="宋体" w:cs="宋体"/>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0" w:hRule="atLeast"/>
          <w:jc w:val="center"/>
        </w:trPr>
        <w:tc>
          <w:tcPr>
            <w:tcW w:w="850" w:type="dxa"/>
            <w:vAlign w:val="center"/>
          </w:tcPr>
          <w:p>
            <w:pPr>
              <w:spacing w:line="360" w:lineRule="auto"/>
              <w:ind w:firstLine="27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9071" w:type="dxa"/>
            <w:vAlign w:val="center"/>
          </w:tcPr>
          <w:p>
            <w:pPr>
              <w:spacing w:line="360" w:lineRule="auto"/>
              <w:ind w:firstLine="275"/>
              <w:rPr>
                <w:rFonts w:hint="eastAsia" w:ascii="宋体" w:hAnsi="宋体" w:eastAsia="宋体" w:cs="宋体"/>
                <w:b/>
                <w:sz w:val="28"/>
                <w:szCs w:val="28"/>
                <w:highlight w:val="none"/>
              </w:rPr>
            </w:pPr>
            <w:r>
              <w:rPr>
                <w:rFonts w:hint="eastAsia" w:ascii="宋体" w:hAnsi="宋体" w:eastAsia="宋体" w:cs="宋体"/>
                <w:b/>
                <w:sz w:val="28"/>
                <w:szCs w:val="28"/>
                <w:highlight w:val="none"/>
              </w:rPr>
              <w:t>投标资格要求与投标资格证明文件</w:t>
            </w:r>
          </w:p>
          <w:p>
            <w:pPr>
              <w:numPr>
                <w:ilvl w:val="0"/>
                <w:numId w:val="1"/>
              </w:numPr>
              <w:spacing w:line="360" w:lineRule="auto"/>
              <w:ind w:left="-9" w:firstLine="275"/>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★投标人具有独立承担民事责任的能力，并具备参加招投标采购活动的合法条件。投标人必须提供企业法人营业执照（副本）的有效复印件。</w:t>
            </w:r>
          </w:p>
          <w:p>
            <w:pPr>
              <w:numPr>
                <w:ilvl w:val="0"/>
                <w:numId w:val="1"/>
              </w:numPr>
              <w:spacing w:line="360" w:lineRule="auto"/>
              <w:ind w:left="-9" w:firstLine="27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投标人代表不是法定代表人的，应提供法定代表人授权书原件，以及投标人代表的身份证复印件。</w:t>
            </w:r>
          </w:p>
          <w:p>
            <w:pPr>
              <w:spacing w:line="360" w:lineRule="auto"/>
              <w:ind w:firstLine="274"/>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3、★投标人需提供保安服务许可证资质证明和保证本项目派遣保安人员100%持证上岗承诺书（消控岗须提供四级消防设施操作员证</w:t>
            </w:r>
            <w:r>
              <w:rPr>
                <w:rFonts w:hint="eastAsia" w:ascii="宋体" w:hAnsi="宋体" w:cs="宋体"/>
                <w:kern w:val="1"/>
                <w:sz w:val="28"/>
                <w:szCs w:val="28"/>
                <w:highlight w:val="none"/>
                <w:lang w:val="en-US" w:eastAsia="zh-CN"/>
              </w:rPr>
              <w:t>或四级建（构）筑物消防员证</w:t>
            </w:r>
            <w:r>
              <w:rPr>
                <w:rFonts w:hint="eastAsia" w:ascii="宋体" w:hAnsi="宋体" w:eastAsia="宋体" w:cs="宋体"/>
                <w:b/>
                <w:bCs/>
                <w:sz w:val="28"/>
                <w:szCs w:val="28"/>
                <w:highlight w:val="none"/>
                <w:lang w:val="en-US" w:eastAsia="zh-CN"/>
              </w:rPr>
              <w:t>及保安证</w:t>
            </w:r>
            <w:r>
              <w:rPr>
                <w:rFonts w:hint="eastAsia" w:ascii="宋体" w:hAnsi="宋体" w:eastAsia="宋体" w:cs="宋体"/>
                <w:b/>
                <w:bCs/>
                <w:sz w:val="28"/>
                <w:szCs w:val="28"/>
                <w:highlight w:val="none"/>
              </w:rPr>
              <w:t>，其他维序岗位须持保安证），并提供缴纳社保清单证明（复印件加盖公章）。</w:t>
            </w:r>
          </w:p>
          <w:p>
            <w:pPr>
              <w:spacing w:line="360" w:lineRule="auto"/>
              <w:ind w:firstLine="274"/>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4、投标人需提供自2020年起1月1日以来至今（以合同签约时间为准），至少一例上海市住宅物业项目的安保服务业绩证明（附合同复印件加盖公章）。</w:t>
            </w:r>
          </w:p>
          <w:p>
            <w:pPr>
              <w:spacing w:line="360" w:lineRule="auto"/>
              <w:ind w:firstLine="274"/>
              <w:rPr>
                <w:rFonts w:hint="eastAsia" w:ascii="宋体" w:hAnsi="宋体" w:eastAsia="宋体" w:cs="宋体"/>
                <w:b/>
                <w:sz w:val="28"/>
                <w:szCs w:val="28"/>
                <w:highlight w:val="none"/>
              </w:rPr>
            </w:pPr>
            <w:r>
              <w:rPr>
                <w:rFonts w:hint="eastAsia" w:ascii="宋体" w:hAnsi="宋体" w:eastAsia="宋体" w:cs="宋体"/>
                <w:b/>
                <w:bCs/>
                <w:sz w:val="28"/>
                <w:szCs w:val="28"/>
                <w:highlight w:val="none"/>
              </w:rPr>
              <w:t>以上资格证明文件均应加盖投标人公章，原件备查。</w:t>
            </w:r>
          </w:p>
        </w:tc>
      </w:tr>
    </w:tbl>
    <w:p>
      <w:pPr>
        <w:pStyle w:val="8"/>
        <w:spacing w:line="360" w:lineRule="auto"/>
        <w:rPr>
          <w:rFonts w:hint="eastAsia" w:ascii="宋体" w:hAnsi="宋体" w:eastAsia="宋体" w:cs="宋体"/>
          <w:sz w:val="28"/>
          <w:szCs w:val="28"/>
          <w:highlight w:val="none"/>
        </w:rPr>
      </w:pPr>
    </w:p>
    <w:p>
      <w:pPr>
        <w:pStyle w:val="3"/>
        <w:keepNext w:val="0"/>
        <w:keepLines w:val="0"/>
        <w:spacing w:before="0" w:after="0" w:line="360" w:lineRule="auto"/>
        <w:ind w:firstLine="314"/>
        <w:jc w:val="left"/>
        <w:rPr>
          <w:rFonts w:hint="eastAsia" w:ascii="宋体" w:hAnsi="宋体" w:eastAsia="宋体" w:cs="宋体"/>
          <w:sz w:val="28"/>
          <w:szCs w:val="28"/>
          <w:highlight w:val="none"/>
        </w:rPr>
      </w:pPr>
      <w:bookmarkStart w:id="36" w:name="_Toc17853"/>
      <w:bookmarkStart w:id="37" w:name="_Toc23723"/>
      <w:bookmarkStart w:id="38" w:name="_Toc4422"/>
      <w:bookmarkStart w:id="39" w:name="_Toc15181"/>
      <w:bookmarkStart w:id="40" w:name="_Toc21942"/>
      <w:bookmarkStart w:id="41" w:name="_Toc25721"/>
      <w:bookmarkStart w:id="42" w:name="_Toc10030"/>
      <w:bookmarkStart w:id="43" w:name="_Toc11795"/>
      <w:bookmarkStart w:id="44" w:name="_Toc21228"/>
      <w:r>
        <w:rPr>
          <w:rFonts w:hint="eastAsia" w:ascii="宋体" w:hAnsi="宋体" w:eastAsia="宋体" w:cs="宋体"/>
          <w:sz w:val="28"/>
          <w:szCs w:val="28"/>
          <w:highlight w:val="none"/>
        </w:rPr>
        <w:t>第一节  说  明</w:t>
      </w:r>
      <w:bookmarkEnd w:id="36"/>
      <w:bookmarkEnd w:id="37"/>
      <w:bookmarkEnd w:id="38"/>
      <w:bookmarkEnd w:id="39"/>
      <w:bookmarkEnd w:id="40"/>
      <w:bookmarkEnd w:id="41"/>
      <w:bookmarkEnd w:id="42"/>
      <w:bookmarkEnd w:id="43"/>
      <w:bookmarkEnd w:id="44"/>
    </w:p>
    <w:p>
      <w:pPr>
        <w:pStyle w:val="4"/>
        <w:keepNext w:val="0"/>
        <w:keepLines w:val="0"/>
        <w:spacing w:before="0" w:after="0" w:line="360" w:lineRule="auto"/>
        <w:ind w:firstLine="562" w:firstLineChars="200"/>
        <w:jc w:val="left"/>
        <w:rPr>
          <w:rFonts w:hint="eastAsia" w:ascii="宋体" w:hAnsi="宋体" w:eastAsia="宋体" w:cs="宋体"/>
          <w:sz w:val="28"/>
          <w:szCs w:val="28"/>
          <w:highlight w:val="none"/>
        </w:rPr>
      </w:pPr>
      <w:bookmarkStart w:id="45" w:name="_Toc14143"/>
      <w:bookmarkStart w:id="46" w:name="_Toc6626"/>
      <w:bookmarkStart w:id="47" w:name="_Toc6247"/>
      <w:bookmarkStart w:id="48" w:name="_Toc10464"/>
      <w:bookmarkStart w:id="49" w:name="_Toc191892300"/>
      <w:bookmarkStart w:id="50" w:name="_Toc20900"/>
      <w:bookmarkStart w:id="51" w:name="_Toc24765"/>
      <w:bookmarkStart w:id="52" w:name="_Toc11056"/>
      <w:bookmarkStart w:id="53" w:name="_Toc7190"/>
      <w:bookmarkStart w:id="54" w:name="_Toc7875"/>
      <w:bookmarkStart w:id="55" w:name="_Toc192925648"/>
      <w:r>
        <w:rPr>
          <w:rFonts w:hint="eastAsia" w:ascii="宋体" w:hAnsi="宋体" w:eastAsia="宋体" w:cs="宋体"/>
          <w:sz w:val="28"/>
          <w:szCs w:val="28"/>
          <w:highlight w:val="none"/>
        </w:rPr>
        <w:t>1. 适用范围</w:t>
      </w:r>
      <w:bookmarkEnd w:id="45"/>
      <w:bookmarkEnd w:id="46"/>
      <w:bookmarkEnd w:id="47"/>
      <w:bookmarkEnd w:id="48"/>
      <w:bookmarkEnd w:id="49"/>
      <w:bookmarkEnd w:id="50"/>
      <w:bookmarkEnd w:id="51"/>
      <w:bookmarkEnd w:id="52"/>
      <w:bookmarkEnd w:id="53"/>
      <w:bookmarkEnd w:id="54"/>
      <w:bookmarkEnd w:id="55"/>
    </w:p>
    <w:p>
      <w:pPr>
        <w:spacing w:line="360" w:lineRule="auto"/>
        <w:jc w:val="left"/>
        <w:rPr>
          <w:rFonts w:hint="eastAsia" w:ascii="宋体" w:hAnsi="宋体" w:eastAsia="宋体" w:cs="宋体"/>
          <w:b/>
          <w:bCs/>
          <w:sz w:val="28"/>
          <w:szCs w:val="28"/>
          <w:highlight w:val="none"/>
          <w:lang w:val="zh-CN"/>
        </w:rPr>
      </w:pPr>
      <w:r>
        <w:rPr>
          <w:rFonts w:hint="eastAsia" w:ascii="宋体" w:hAnsi="宋体" w:eastAsia="宋体" w:cs="宋体"/>
          <w:sz w:val="28"/>
          <w:szCs w:val="28"/>
          <w:highlight w:val="none"/>
        </w:rPr>
        <w:t>1.1本招标文件仅适用于</w:t>
      </w:r>
      <w:r>
        <w:rPr>
          <w:rFonts w:hint="eastAsia" w:ascii="宋体" w:hAnsi="宋体" w:eastAsia="宋体" w:cs="宋体"/>
          <w:sz w:val="28"/>
          <w:szCs w:val="28"/>
          <w:highlight w:val="none"/>
          <w:u w:val="single"/>
          <w:lang w:eastAsia="zh-CN"/>
        </w:rPr>
        <w:t>上海国贸天悦三期</w:t>
      </w:r>
      <w:r>
        <w:rPr>
          <w:rFonts w:hint="eastAsia" w:ascii="宋体" w:hAnsi="宋体" w:eastAsia="宋体" w:cs="宋体"/>
          <w:sz w:val="28"/>
          <w:szCs w:val="28"/>
          <w:highlight w:val="none"/>
          <w:u w:val="single"/>
        </w:rPr>
        <w:t xml:space="preserve">保安服务 </w:t>
      </w:r>
      <w:r>
        <w:rPr>
          <w:rFonts w:hint="eastAsia" w:ascii="宋体" w:hAnsi="宋体" w:eastAsia="宋体" w:cs="宋体"/>
          <w:sz w:val="28"/>
          <w:szCs w:val="28"/>
          <w:highlight w:val="none"/>
        </w:rPr>
        <w:t>。</w:t>
      </w:r>
    </w:p>
    <w:p>
      <w:pPr>
        <w:pStyle w:val="4"/>
        <w:keepNext w:val="0"/>
        <w:keepLines w:val="0"/>
        <w:spacing w:before="0" w:after="0" w:line="360" w:lineRule="auto"/>
        <w:ind w:firstLine="562" w:firstLineChars="200"/>
        <w:jc w:val="left"/>
        <w:rPr>
          <w:rFonts w:hint="eastAsia" w:ascii="宋体" w:hAnsi="宋体" w:eastAsia="宋体" w:cs="宋体"/>
          <w:sz w:val="28"/>
          <w:szCs w:val="28"/>
          <w:highlight w:val="none"/>
        </w:rPr>
      </w:pPr>
      <w:bookmarkStart w:id="56" w:name="_Toc13121"/>
      <w:bookmarkStart w:id="57" w:name="_Toc7782"/>
      <w:bookmarkStart w:id="58" w:name="_Toc17316"/>
      <w:bookmarkStart w:id="59" w:name="_Toc11942"/>
      <w:bookmarkStart w:id="60" w:name="_Toc15781"/>
      <w:bookmarkStart w:id="61" w:name="_Toc191892301"/>
      <w:bookmarkStart w:id="62" w:name="_Toc31217"/>
      <w:bookmarkStart w:id="63" w:name="_Toc11406"/>
      <w:bookmarkStart w:id="64" w:name="_Toc20257"/>
      <w:bookmarkStart w:id="65" w:name="_Toc17429"/>
      <w:bookmarkStart w:id="66" w:name="_Toc192925649"/>
      <w:r>
        <w:rPr>
          <w:rFonts w:hint="eastAsia" w:ascii="宋体" w:hAnsi="宋体" w:eastAsia="宋体" w:cs="宋体"/>
          <w:sz w:val="28"/>
          <w:szCs w:val="28"/>
          <w:highlight w:val="none"/>
        </w:rPr>
        <w:t>2. 定义</w:t>
      </w:r>
      <w:bookmarkEnd w:id="56"/>
      <w:bookmarkEnd w:id="57"/>
      <w:bookmarkEnd w:id="58"/>
      <w:bookmarkEnd w:id="59"/>
      <w:bookmarkEnd w:id="60"/>
      <w:bookmarkEnd w:id="61"/>
      <w:bookmarkEnd w:id="62"/>
      <w:bookmarkEnd w:id="63"/>
      <w:bookmarkEnd w:id="64"/>
      <w:bookmarkEnd w:id="65"/>
      <w:bookmarkEnd w:id="66"/>
    </w:p>
    <w:p>
      <w:pPr>
        <w:spacing w:line="360" w:lineRule="auto"/>
        <w:ind w:firstLine="560" w:firstLineChars="200"/>
        <w:jc w:val="left"/>
        <w:rPr>
          <w:rFonts w:hint="eastAsia" w:ascii="宋体" w:hAnsi="宋体" w:eastAsia="宋体" w:cs="宋体"/>
          <w:b/>
          <w:sz w:val="28"/>
          <w:szCs w:val="28"/>
          <w:highlight w:val="none"/>
        </w:rPr>
      </w:pPr>
      <w:r>
        <w:rPr>
          <w:rFonts w:hint="eastAsia" w:ascii="宋体" w:hAnsi="宋体" w:eastAsia="宋体" w:cs="宋体"/>
          <w:sz w:val="28"/>
          <w:szCs w:val="28"/>
          <w:highlight w:val="none"/>
        </w:rPr>
        <w:t>2.1 “招标人”系指</w:t>
      </w:r>
      <w:r>
        <w:rPr>
          <w:rFonts w:hint="eastAsia" w:ascii="宋体" w:hAnsi="宋体" w:eastAsia="宋体" w:cs="宋体"/>
          <w:b/>
          <w:bCs/>
          <w:sz w:val="28"/>
          <w:szCs w:val="28"/>
          <w:highlight w:val="none"/>
        </w:rPr>
        <w:t>厦门国贸城市服务集团股份有限公司</w:t>
      </w:r>
      <w:r>
        <w:rPr>
          <w:rFonts w:hint="eastAsia" w:ascii="宋体" w:hAnsi="宋体" w:eastAsia="宋体" w:cs="宋体"/>
          <w:b/>
          <w:sz w:val="28"/>
          <w:szCs w:val="28"/>
          <w:highlight w:val="none"/>
        </w:rPr>
        <w:t>。</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2.2“投标人”系指获取了本招标文件，且已经提交或者准备提交本次投标文件的制造商或供货商。</w:t>
      </w:r>
    </w:p>
    <w:p>
      <w:pPr>
        <w:pStyle w:val="4"/>
        <w:keepNext w:val="0"/>
        <w:keepLines w:val="0"/>
        <w:spacing w:before="0" w:after="0" w:line="360" w:lineRule="auto"/>
        <w:ind w:firstLine="562" w:firstLineChars="200"/>
        <w:jc w:val="left"/>
        <w:rPr>
          <w:rFonts w:hint="eastAsia" w:ascii="宋体" w:hAnsi="宋体" w:eastAsia="宋体" w:cs="宋体"/>
          <w:sz w:val="28"/>
          <w:szCs w:val="28"/>
          <w:highlight w:val="none"/>
        </w:rPr>
      </w:pPr>
      <w:bookmarkStart w:id="67" w:name="_Toc191892302"/>
      <w:bookmarkStart w:id="68" w:name="_Toc22330"/>
      <w:bookmarkStart w:id="69" w:name="_Toc23655"/>
      <w:bookmarkStart w:id="70" w:name="_Toc22832"/>
      <w:bookmarkStart w:id="71" w:name="_Toc3249"/>
      <w:bookmarkStart w:id="72" w:name="_Toc13995"/>
      <w:bookmarkStart w:id="73" w:name="_Toc16439"/>
      <w:bookmarkStart w:id="74" w:name="_Toc8731"/>
      <w:bookmarkStart w:id="75" w:name="_Toc24240"/>
      <w:bookmarkStart w:id="76" w:name="_Toc192925650"/>
      <w:bookmarkStart w:id="77" w:name="_Toc11072"/>
      <w:r>
        <w:rPr>
          <w:rFonts w:hint="eastAsia" w:ascii="宋体" w:hAnsi="宋体" w:eastAsia="宋体" w:cs="宋体"/>
          <w:sz w:val="28"/>
          <w:szCs w:val="28"/>
          <w:highlight w:val="none"/>
        </w:rPr>
        <w:t>3. 合格的投标人</w:t>
      </w:r>
      <w:bookmarkEnd w:id="67"/>
      <w:bookmarkEnd w:id="68"/>
      <w:bookmarkEnd w:id="69"/>
      <w:bookmarkEnd w:id="70"/>
      <w:bookmarkEnd w:id="71"/>
      <w:bookmarkEnd w:id="72"/>
      <w:bookmarkEnd w:id="73"/>
      <w:bookmarkEnd w:id="74"/>
      <w:bookmarkEnd w:id="75"/>
      <w:bookmarkEnd w:id="76"/>
      <w:bookmarkEnd w:id="77"/>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3.1凡有能力提供本招标文件所述货物及服务的，符合本招标文件规定的资格要求（具体要求见 “投标资格要求与投标资格证明文件”），符合政府采购法第二十二条的规定的均可能成为合格的投标人。</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3.2 投标人应遵守中国的有关法律、法规和规章的规定</w:t>
      </w:r>
      <w:r>
        <w:rPr>
          <w:rFonts w:hint="eastAsia" w:ascii="宋体" w:hAnsi="宋体" w:eastAsia="宋体" w:cs="宋体"/>
          <w:bCs/>
          <w:sz w:val="28"/>
          <w:szCs w:val="28"/>
          <w:highlight w:val="none"/>
        </w:rPr>
        <w:t>。</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3.3 一个投标人对同一个合同包只能提交一个投标文件。如果投标人之间存在下列互为关联关系的情形之一的，不得同时参加本项目投标：</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 法定代表人为同一人的两个及两个以上法人；</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 母公司、直接或间接持股50％及以上的被投资公司；</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 均为同一家母公司直接或间接持股50％及以上的被投资公司。</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3.4 本项目不接受联合体形式投标。</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3.5 投标代理人在同一个合同包中只能接受一个投标人的委托参加投标。</w:t>
      </w:r>
    </w:p>
    <w:p>
      <w:pPr>
        <w:pStyle w:val="4"/>
        <w:keepNext w:val="0"/>
        <w:keepLines w:val="0"/>
        <w:spacing w:before="0" w:after="0" w:line="360" w:lineRule="auto"/>
        <w:ind w:firstLine="562" w:firstLineChars="200"/>
        <w:jc w:val="left"/>
        <w:rPr>
          <w:rFonts w:hint="eastAsia" w:ascii="宋体" w:hAnsi="宋体" w:eastAsia="宋体" w:cs="宋体"/>
          <w:sz w:val="28"/>
          <w:szCs w:val="28"/>
          <w:highlight w:val="none"/>
        </w:rPr>
      </w:pPr>
      <w:bookmarkStart w:id="78" w:name="_Toc22891"/>
      <w:bookmarkStart w:id="79" w:name="_Toc8182"/>
      <w:bookmarkStart w:id="80" w:name="_Toc26481"/>
      <w:bookmarkStart w:id="81" w:name="_Toc8696"/>
      <w:bookmarkStart w:id="82" w:name="_Toc191892303"/>
      <w:bookmarkStart w:id="83" w:name="_Toc9237"/>
      <w:bookmarkStart w:id="84" w:name="_Toc27059"/>
      <w:bookmarkStart w:id="85" w:name="_Toc24568"/>
      <w:bookmarkStart w:id="86" w:name="_Toc31545"/>
      <w:bookmarkStart w:id="87" w:name="_Toc17887"/>
      <w:bookmarkStart w:id="88" w:name="_Toc192925651"/>
      <w:r>
        <w:rPr>
          <w:rFonts w:hint="eastAsia" w:ascii="宋体" w:hAnsi="宋体" w:eastAsia="宋体" w:cs="宋体"/>
          <w:sz w:val="28"/>
          <w:szCs w:val="28"/>
          <w:highlight w:val="none"/>
        </w:rPr>
        <w:t>4. 投标费用</w:t>
      </w:r>
      <w:bookmarkEnd w:id="78"/>
      <w:bookmarkEnd w:id="79"/>
      <w:bookmarkEnd w:id="80"/>
      <w:bookmarkEnd w:id="81"/>
      <w:bookmarkEnd w:id="82"/>
      <w:bookmarkEnd w:id="83"/>
      <w:bookmarkEnd w:id="84"/>
      <w:bookmarkEnd w:id="85"/>
      <w:bookmarkEnd w:id="86"/>
      <w:bookmarkEnd w:id="87"/>
      <w:bookmarkEnd w:id="88"/>
    </w:p>
    <w:p>
      <w:pPr>
        <w:spacing w:line="360" w:lineRule="auto"/>
        <w:ind w:firstLine="560" w:firstLineChars="200"/>
        <w:rPr>
          <w:rFonts w:hint="eastAsia" w:ascii="宋体" w:hAnsi="宋体" w:eastAsia="宋体" w:cs="宋体"/>
          <w:sz w:val="28"/>
          <w:szCs w:val="28"/>
          <w:highlight w:val="none"/>
        </w:rPr>
      </w:pPr>
      <w:bookmarkStart w:id="89" w:name="_Toc6975"/>
      <w:bookmarkStart w:id="90" w:name="_Toc337"/>
      <w:bookmarkStart w:id="91" w:name="_Toc5426"/>
      <w:r>
        <w:rPr>
          <w:rFonts w:hint="eastAsia" w:ascii="宋体" w:hAnsi="宋体" w:eastAsia="宋体" w:cs="宋体"/>
          <w:sz w:val="28"/>
          <w:szCs w:val="28"/>
          <w:highlight w:val="none"/>
        </w:rPr>
        <w:t>投标人自行承担其参加投标所涉及的一切费用。</w:t>
      </w:r>
      <w:bookmarkEnd w:id="89"/>
      <w:bookmarkEnd w:id="90"/>
      <w:bookmarkEnd w:id="91"/>
      <w:bookmarkStart w:id="92" w:name="_Toc192925652"/>
      <w:bookmarkStart w:id="93" w:name="_Toc191892304"/>
    </w:p>
    <w:p>
      <w:pPr>
        <w:pStyle w:val="3"/>
        <w:keepNext w:val="0"/>
        <w:keepLines w:val="0"/>
        <w:spacing w:before="0" w:after="0" w:line="360" w:lineRule="auto"/>
        <w:ind w:firstLine="314"/>
        <w:rPr>
          <w:rFonts w:hint="eastAsia" w:ascii="宋体" w:hAnsi="宋体" w:eastAsia="宋体" w:cs="宋体"/>
          <w:sz w:val="28"/>
          <w:szCs w:val="28"/>
          <w:highlight w:val="none"/>
        </w:rPr>
      </w:pPr>
      <w:bookmarkStart w:id="94" w:name="_Toc17382"/>
      <w:bookmarkStart w:id="95" w:name="_Toc22748"/>
      <w:bookmarkStart w:id="96" w:name="_Toc12167"/>
      <w:bookmarkStart w:id="97" w:name="_Toc26753"/>
      <w:bookmarkStart w:id="98" w:name="_Toc14925"/>
      <w:bookmarkStart w:id="99" w:name="_Toc31559"/>
      <w:bookmarkStart w:id="100" w:name="_Toc19646"/>
      <w:bookmarkStart w:id="101" w:name="_Toc10888"/>
      <w:bookmarkStart w:id="102" w:name="_Toc11955"/>
      <w:r>
        <w:rPr>
          <w:rFonts w:hint="eastAsia" w:ascii="宋体" w:hAnsi="宋体" w:eastAsia="宋体" w:cs="宋体"/>
          <w:sz w:val="28"/>
          <w:szCs w:val="28"/>
          <w:highlight w:val="none"/>
        </w:rPr>
        <w:t>第二节  招标文件说明</w:t>
      </w:r>
      <w:bookmarkEnd w:id="92"/>
      <w:bookmarkEnd w:id="93"/>
      <w:bookmarkEnd w:id="94"/>
      <w:bookmarkEnd w:id="95"/>
      <w:bookmarkEnd w:id="96"/>
      <w:bookmarkEnd w:id="97"/>
      <w:bookmarkEnd w:id="98"/>
      <w:bookmarkEnd w:id="99"/>
      <w:bookmarkEnd w:id="100"/>
      <w:bookmarkEnd w:id="101"/>
      <w:bookmarkEnd w:id="102"/>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103" w:name="_Toc3806"/>
      <w:bookmarkStart w:id="104" w:name="_Toc5267"/>
      <w:bookmarkStart w:id="105" w:name="_Toc30859"/>
      <w:bookmarkStart w:id="106" w:name="_Toc26976"/>
      <w:bookmarkStart w:id="107" w:name="_Toc11103"/>
      <w:bookmarkStart w:id="108" w:name="_Toc192925653"/>
      <w:bookmarkStart w:id="109" w:name="_Toc17403"/>
      <w:bookmarkStart w:id="110" w:name="_Toc191892305"/>
      <w:bookmarkStart w:id="111" w:name="_Toc24364"/>
      <w:bookmarkStart w:id="112" w:name="_Toc32402"/>
      <w:bookmarkStart w:id="113" w:name="_Toc7857"/>
      <w:r>
        <w:rPr>
          <w:rFonts w:hint="eastAsia" w:ascii="宋体" w:hAnsi="宋体" w:eastAsia="宋体" w:cs="宋体"/>
          <w:sz w:val="28"/>
          <w:szCs w:val="28"/>
          <w:highlight w:val="none"/>
        </w:rPr>
        <w:t>5. 招标文件的组成</w:t>
      </w:r>
      <w:bookmarkEnd w:id="103"/>
      <w:bookmarkEnd w:id="104"/>
      <w:bookmarkEnd w:id="105"/>
      <w:bookmarkEnd w:id="106"/>
      <w:bookmarkEnd w:id="107"/>
      <w:bookmarkEnd w:id="108"/>
      <w:bookmarkEnd w:id="109"/>
      <w:bookmarkEnd w:id="110"/>
      <w:bookmarkEnd w:id="111"/>
      <w:bookmarkEnd w:id="112"/>
      <w:bookmarkEnd w:id="113"/>
    </w:p>
    <w:p>
      <w:pPr>
        <w:spacing w:line="360" w:lineRule="auto"/>
        <w:ind w:firstLine="560" w:firstLineChars="200"/>
        <w:rPr>
          <w:rFonts w:hint="eastAsia" w:ascii="宋体" w:hAnsi="宋体" w:eastAsia="宋体" w:cs="宋体"/>
          <w:b/>
          <w:sz w:val="28"/>
          <w:szCs w:val="28"/>
          <w:highlight w:val="none"/>
        </w:rPr>
      </w:pPr>
      <w:bookmarkStart w:id="114" w:name="_Toc523325329"/>
      <w:bookmarkStart w:id="115" w:name="_Toc523325149"/>
      <w:r>
        <w:rPr>
          <w:rFonts w:hint="eastAsia" w:ascii="宋体" w:hAnsi="宋体" w:eastAsia="宋体" w:cs="宋体"/>
          <w:sz w:val="28"/>
          <w:szCs w:val="28"/>
          <w:highlight w:val="none"/>
        </w:rPr>
        <w:t>5.1招标文件用以阐明所需货物及服务招标程序和合同主要条款。招标文件由下述主要部分组成：</w:t>
      </w:r>
      <w:bookmarkEnd w:id="114"/>
      <w:bookmarkEnd w:id="115"/>
    </w:p>
    <w:p>
      <w:pPr>
        <w:spacing w:line="360" w:lineRule="auto"/>
        <w:ind w:firstLine="560" w:firstLineChars="200"/>
        <w:rPr>
          <w:rFonts w:hint="eastAsia" w:ascii="宋体" w:hAnsi="宋体" w:eastAsia="宋体" w:cs="宋体"/>
          <w:b/>
          <w:sz w:val="28"/>
          <w:szCs w:val="28"/>
          <w:highlight w:val="none"/>
        </w:rPr>
      </w:pPr>
      <w:bookmarkStart w:id="116" w:name="_Toc523325150"/>
      <w:bookmarkStart w:id="117" w:name="_Toc523325330"/>
      <w:r>
        <w:rPr>
          <w:rFonts w:hint="eastAsia" w:ascii="宋体" w:hAnsi="宋体" w:eastAsia="宋体" w:cs="宋体"/>
          <w:sz w:val="28"/>
          <w:szCs w:val="28"/>
          <w:highlight w:val="none"/>
        </w:rPr>
        <w:t xml:space="preserve">⑴ </w:t>
      </w:r>
      <w:bookmarkEnd w:id="116"/>
      <w:bookmarkEnd w:id="117"/>
      <w:r>
        <w:rPr>
          <w:rFonts w:hint="eastAsia" w:ascii="宋体" w:hAnsi="宋体" w:eastAsia="宋体" w:cs="宋体"/>
          <w:sz w:val="28"/>
          <w:szCs w:val="28"/>
          <w:highlight w:val="none"/>
        </w:rPr>
        <w:t>投标公告</w:t>
      </w:r>
    </w:p>
    <w:p>
      <w:pPr>
        <w:spacing w:line="360" w:lineRule="auto"/>
        <w:ind w:firstLine="560" w:firstLineChars="200"/>
        <w:rPr>
          <w:rFonts w:hint="eastAsia" w:ascii="宋体" w:hAnsi="宋体" w:eastAsia="宋体" w:cs="宋体"/>
          <w:b/>
          <w:sz w:val="28"/>
          <w:szCs w:val="28"/>
          <w:highlight w:val="none"/>
        </w:rPr>
      </w:pPr>
      <w:bookmarkStart w:id="118" w:name="_Toc523325151"/>
      <w:bookmarkStart w:id="119" w:name="_Toc523325331"/>
      <w:r>
        <w:rPr>
          <w:rFonts w:hint="eastAsia" w:ascii="宋体" w:hAnsi="宋体" w:eastAsia="宋体" w:cs="宋体"/>
          <w:sz w:val="28"/>
          <w:szCs w:val="28"/>
          <w:highlight w:val="none"/>
        </w:rPr>
        <w:t>⑵ 投标人须知</w:t>
      </w:r>
      <w:bookmarkEnd w:id="118"/>
      <w:bookmarkEnd w:id="119"/>
    </w:p>
    <w:p>
      <w:pPr>
        <w:spacing w:line="360" w:lineRule="auto"/>
        <w:ind w:firstLine="560" w:firstLineChars="200"/>
        <w:rPr>
          <w:rFonts w:hint="eastAsia" w:ascii="宋体" w:hAnsi="宋体" w:eastAsia="宋体" w:cs="宋体"/>
          <w:b/>
          <w:sz w:val="28"/>
          <w:szCs w:val="28"/>
          <w:highlight w:val="none"/>
        </w:rPr>
      </w:pPr>
      <w:bookmarkStart w:id="120" w:name="_Toc523325332"/>
      <w:bookmarkStart w:id="121" w:name="_Toc523325152"/>
      <w:r>
        <w:rPr>
          <w:rFonts w:hint="eastAsia" w:ascii="宋体" w:hAnsi="宋体" w:eastAsia="宋体" w:cs="宋体"/>
          <w:sz w:val="28"/>
          <w:szCs w:val="28"/>
          <w:highlight w:val="none"/>
        </w:rPr>
        <w:t>⑶ 招标内容及要求</w:t>
      </w:r>
      <w:bookmarkEnd w:id="120"/>
      <w:bookmarkEnd w:id="121"/>
    </w:p>
    <w:p>
      <w:pPr>
        <w:spacing w:line="360" w:lineRule="auto"/>
        <w:ind w:firstLine="560" w:firstLineChars="200"/>
        <w:rPr>
          <w:rFonts w:hint="eastAsia" w:ascii="宋体" w:hAnsi="宋体" w:eastAsia="宋体" w:cs="宋体"/>
          <w:sz w:val="28"/>
          <w:szCs w:val="28"/>
          <w:highlight w:val="none"/>
        </w:rPr>
      </w:pPr>
      <w:bookmarkStart w:id="122" w:name="_Toc523325153"/>
      <w:bookmarkStart w:id="123" w:name="_Toc523325333"/>
      <w:r>
        <w:rPr>
          <w:rFonts w:hint="eastAsia" w:ascii="宋体" w:hAnsi="宋体" w:eastAsia="宋体" w:cs="宋体"/>
          <w:sz w:val="28"/>
          <w:szCs w:val="28"/>
          <w:highlight w:val="none"/>
        </w:rPr>
        <w:t>⑷ 投标文件格式</w:t>
      </w:r>
      <w:bookmarkEnd w:id="122"/>
      <w:bookmarkEnd w:id="123"/>
      <w:bookmarkStart w:id="124" w:name="_Toc192925654"/>
      <w:bookmarkStart w:id="125" w:name="_Toc430492126"/>
      <w:bookmarkStart w:id="126" w:name="_Toc430488644"/>
      <w:bookmarkStart w:id="127" w:name="_Toc430422413"/>
      <w:bookmarkStart w:id="128" w:name="_Toc430489119"/>
      <w:bookmarkStart w:id="129" w:name="_Toc415567497"/>
      <w:bookmarkStart w:id="130" w:name="_Toc191892306"/>
      <w:bookmarkStart w:id="131" w:name="_Toc430488851"/>
      <w:bookmarkStart w:id="132" w:name="_Toc430490612"/>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133" w:name="_Toc27802"/>
      <w:bookmarkStart w:id="134" w:name="_Toc23910"/>
      <w:bookmarkStart w:id="135" w:name="_Toc25729"/>
      <w:bookmarkStart w:id="136" w:name="_Toc23474"/>
      <w:bookmarkStart w:id="137" w:name="_Toc25860"/>
      <w:bookmarkStart w:id="138" w:name="_Toc3644"/>
      <w:bookmarkStart w:id="139" w:name="_Toc22001"/>
      <w:bookmarkStart w:id="140" w:name="_Toc13012"/>
      <w:bookmarkStart w:id="141" w:name="_Toc18914"/>
      <w:bookmarkStart w:id="142" w:name="_Toc22782"/>
      <w:r>
        <w:rPr>
          <w:rFonts w:hint="eastAsia" w:ascii="宋体" w:hAnsi="宋体" w:eastAsia="宋体" w:cs="宋体"/>
          <w:sz w:val="28"/>
          <w:szCs w:val="28"/>
          <w:highlight w:val="none"/>
        </w:rPr>
        <w:t>6. 招标文件的澄清</w:t>
      </w:r>
      <w:bookmarkEnd w:id="133"/>
      <w:bookmarkEnd w:id="134"/>
      <w:bookmarkEnd w:id="135"/>
      <w:bookmarkEnd w:id="136"/>
      <w:bookmarkEnd w:id="137"/>
      <w:bookmarkEnd w:id="138"/>
      <w:bookmarkEnd w:id="139"/>
      <w:bookmarkEnd w:id="140"/>
      <w:bookmarkEnd w:id="141"/>
      <w:bookmarkEnd w:id="142"/>
    </w:p>
    <w:bookmarkEnd w:id="124"/>
    <w:bookmarkEnd w:id="125"/>
    <w:bookmarkEnd w:id="126"/>
    <w:bookmarkEnd w:id="127"/>
    <w:bookmarkEnd w:id="128"/>
    <w:bookmarkEnd w:id="129"/>
    <w:bookmarkEnd w:id="130"/>
    <w:bookmarkEnd w:id="131"/>
    <w:bookmarkEnd w:id="132"/>
    <w:p>
      <w:pPr>
        <w:spacing w:line="360" w:lineRule="auto"/>
        <w:ind w:firstLine="560" w:firstLineChars="200"/>
        <w:rPr>
          <w:rFonts w:hint="eastAsia" w:ascii="宋体" w:hAnsi="宋体" w:eastAsia="宋体" w:cs="宋体"/>
          <w:sz w:val="28"/>
          <w:szCs w:val="28"/>
          <w:highlight w:val="none"/>
        </w:rPr>
      </w:pPr>
      <w:bookmarkStart w:id="143" w:name="_Toc523325155"/>
      <w:bookmarkStart w:id="144" w:name="_Toc523325335"/>
      <w:bookmarkStart w:id="145" w:name="_Toc191892308"/>
      <w:bookmarkStart w:id="146" w:name="_Toc192925656"/>
      <w:r>
        <w:rPr>
          <w:rFonts w:hint="eastAsia" w:ascii="宋体" w:hAnsi="宋体" w:eastAsia="宋体" w:cs="宋体"/>
          <w:sz w:val="28"/>
          <w:szCs w:val="28"/>
          <w:highlight w:val="none"/>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143"/>
      <w:bookmarkEnd w:id="144"/>
      <w:bookmarkStart w:id="147" w:name="_Toc192925655"/>
      <w:bookmarkStart w:id="148" w:name="_Toc415567498"/>
      <w:bookmarkStart w:id="149" w:name="_Toc430492127"/>
      <w:bookmarkStart w:id="150" w:name="_Toc430489120"/>
      <w:bookmarkStart w:id="151" w:name="_Toc430488852"/>
      <w:bookmarkStart w:id="152" w:name="_Toc430422414"/>
      <w:bookmarkStart w:id="153" w:name="_Toc430488645"/>
      <w:bookmarkStart w:id="154" w:name="_Toc191892307"/>
      <w:bookmarkStart w:id="155" w:name="_Toc430490613"/>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156" w:name="_Toc22311"/>
      <w:bookmarkStart w:id="157" w:name="_Toc12661"/>
      <w:bookmarkStart w:id="158" w:name="_Toc22848"/>
      <w:bookmarkStart w:id="159" w:name="_Toc12762"/>
      <w:bookmarkStart w:id="160" w:name="_Toc3126"/>
      <w:bookmarkStart w:id="161" w:name="_Toc1142"/>
      <w:bookmarkStart w:id="162" w:name="_Toc15838"/>
      <w:bookmarkStart w:id="163" w:name="_Toc8673"/>
      <w:bookmarkStart w:id="164" w:name="_Toc1889"/>
      <w:bookmarkStart w:id="165" w:name="_Toc1010"/>
      <w:r>
        <w:rPr>
          <w:rFonts w:hint="eastAsia" w:ascii="宋体" w:hAnsi="宋体" w:eastAsia="宋体" w:cs="宋体"/>
          <w:sz w:val="28"/>
          <w:szCs w:val="28"/>
          <w:highlight w:val="none"/>
        </w:rPr>
        <w:t>7. 招标文件的修改</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spacing w:line="360" w:lineRule="auto"/>
        <w:ind w:firstLine="560" w:firstLineChars="200"/>
        <w:rPr>
          <w:rFonts w:hint="eastAsia" w:ascii="宋体" w:hAnsi="宋体" w:eastAsia="宋体" w:cs="宋体"/>
          <w:sz w:val="28"/>
          <w:szCs w:val="28"/>
          <w:highlight w:val="none"/>
        </w:rPr>
      </w:pPr>
      <w:bookmarkStart w:id="166" w:name="_Toc523325157"/>
      <w:bookmarkStart w:id="167" w:name="_Toc523325337"/>
      <w:r>
        <w:rPr>
          <w:rFonts w:hint="eastAsia" w:ascii="宋体" w:hAnsi="宋体" w:eastAsia="宋体" w:cs="宋体"/>
          <w:sz w:val="28"/>
          <w:szCs w:val="28"/>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66"/>
      <w:bookmarkEnd w:id="167"/>
    </w:p>
    <w:p>
      <w:pPr>
        <w:spacing w:line="360" w:lineRule="auto"/>
        <w:ind w:firstLine="560" w:firstLineChars="200"/>
        <w:rPr>
          <w:rFonts w:hint="eastAsia" w:ascii="宋体" w:hAnsi="宋体" w:eastAsia="宋体" w:cs="宋体"/>
          <w:sz w:val="28"/>
          <w:szCs w:val="28"/>
          <w:highlight w:val="none"/>
        </w:rPr>
      </w:pPr>
      <w:bookmarkStart w:id="168" w:name="_Toc523325338"/>
      <w:bookmarkStart w:id="169" w:name="_Toc523325158"/>
      <w:r>
        <w:rPr>
          <w:rFonts w:hint="eastAsia" w:ascii="宋体" w:hAnsi="宋体" w:eastAsia="宋体" w:cs="宋体"/>
          <w:sz w:val="28"/>
          <w:szCs w:val="28"/>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68"/>
      <w:bookmarkEnd w:id="169"/>
    </w:p>
    <w:p>
      <w:pPr>
        <w:pStyle w:val="3"/>
        <w:keepNext w:val="0"/>
        <w:keepLines w:val="0"/>
        <w:spacing w:before="0" w:after="0" w:line="360" w:lineRule="auto"/>
        <w:ind w:firstLine="314"/>
        <w:rPr>
          <w:rFonts w:hint="eastAsia" w:ascii="宋体" w:hAnsi="宋体" w:eastAsia="宋体" w:cs="宋体"/>
          <w:sz w:val="28"/>
          <w:szCs w:val="28"/>
          <w:highlight w:val="none"/>
        </w:rPr>
      </w:pPr>
    </w:p>
    <w:p>
      <w:pPr>
        <w:pStyle w:val="3"/>
        <w:keepNext w:val="0"/>
        <w:keepLines w:val="0"/>
        <w:spacing w:before="0" w:after="0" w:line="360" w:lineRule="auto"/>
        <w:ind w:firstLine="314"/>
        <w:rPr>
          <w:rFonts w:hint="eastAsia" w:ascii="宋体" w:hAnsi="宋体" w:eastAsia="宋体" w:cs="宋体"/>
          <w:sz w:val="28"/>
          <w:szCs w:val="28"/>
          <w:highlight w:val="none"/>
        </w:rPr>
      </w:pPr>
      <w:bookmarkStart w:id="170" w:name="_Toc13273"/>
      <w:bookmarkStart w:id="171" w:name="_Toc13898"/>
      <w:bookmarkStart w:id="172" w:name="_Toc29504"/>
      <w:bookmarkStart w:id="173" w:name="_Toc4052"/>
      <w:bookmarkStart w:id="174" w:name="_Toc25018"/>
      <w:bookmarkStart w:id="175" w:name="_Toc30985"/>
      <w:bookmarkStart w:id="176" w:name="_Toc23535"/>
      <w:bookmarkStart w:id="177" w:name="_Toc11069"/>
      <w:bookmarkStart w:id="178" w:name="_Toc30297"/>
      <w:r>
        <w:rPr>
          <w:rFonts w:hint="eastAsia" w:ascii="宋体" w:hAnsi="宋体" w:eastAsia="宋体" w:cs="宋体"/>
          <w:sz w:val="28"/>
          <w:szCs w:val="28"/>
          <w:highlight w:val="none"/>
        </w:rPr>
        <w:t>第三节  投标文件的编写</w:t>
      </w:r>
      <w:bookmarkEnd w:id="145"/>
      <w:bookmarkEnd w:id="146"/>
      <w:bookmarkEnd w:id="170"/>
      <w:bookmarkEnd w:id="171"/>
      <w:bookmarkEnd w:id="172"/>
      <w:bookmarkEnd w:id="173"/>
      <w:bookmarkEnd w:id="174"/>
      <w:bookmarkEnd w:id="175"/>
      <w:bookmarkEnd w:id="176"/>
      <w:bookmarkEnd w:id="177"/>
      <w:bookmarkEnd w:id="178"/>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179" w:name="_Toc13651"/>
      <w:bookmarkStart w:id="180" w:name="_Toc9608"/>
      <w:bookmarkStart w:id="181" w:name="_Toc15070"/>
      <w:bookmarkStart w:id="182" w:name="_Toc8037"/>
      <w:bookmarkStart w:id="183" w:name="_Toc16712"/>
      <w:bookmarkStart w:id="184" w:name="_Toc192925657"/>
      <w:bookmarkStart w:id="185" w:name="_Toc21442"/>
      <w:bookmarkStart w:id="186" w:name="_Toc30113"/>
      <w:bookmarkStart w:id="187" w:name="_Toc191892309"/>
      <w:bookmarkStart w:id="188" w:name="_Toc22788"/>
      <w:bookmarkStart w:id="189" w:name="_Toc29854"/>
      <w:r>
        <w:rPr>
          <w:rFonts w:hint="eastAsia" w:ascii="宋体" w:hAnsi="宋体" w:eastAsia="宋体" w:cs="宋体"/>
          <w:sz w:val="28"/>
          <w:szCs w:val="28"/>
          <w:highlight w:val="none"/>
        </w:rPr>
        <w:t>8. 要求</w:t>
      </w:r>
      <w:bookmarkEnd w:id="179"/>
      <w:bookmarkEnd w:id="180"/>
      <w:bookmarkEnd w:id="181"/>
      <w:bookmarkEnd w:id="182"/>
      <w:bookmarkEnd w:id="183"/>
      <w:bookmarkEnd w:id="184"/>
      <w:bookmarkEnd w:id="185"/>
      <w:bookmarkEnd w:id="186"/>
      <w:bookmarkEnd w:id="187"/>
      <w:bookmarkEnd w:id="188"/>
      <w:bookmarkEnd w:id="189"/>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190" w:name="_Toc191892310"/>
      <w:bookmarkStart w:id="191" w:name="_Toc20969"/>
      <w:bookmarkStart w:id="192" w:name="_Toc362"/>
      <w:bookmarkStart w:id="193" w:name="_Toc20485"/>
      <w:bookmarkStart w:id="194" w:name="_Toc18141"/>
      <w:bookmarkStart w:id="195" w:name="_Toc192925658"/>
      <w:bookmarkStart w:id="196" w:name="_Toc21237"/>
      <w:bookmarkStart w:id="197" w:name="_Toc21047"/>
      <w:bookmarkStart w:id="198" w:name="_Toc26302"/>
      <w:bookmarkStart w:id="199" w:name="_Toc1732"/>
      <w:bookmarkStart w:id="200" w:name="_Toc7850"/>
      <w:r>
        <w:rPr>
          <w:rFonts w:hint="eastAsia" w:ascii="宋体" w:hAnsi="宋体" w:eastAsia="宋体" w:cs="宋体"/>
          <w:sz w:val="28"/>
          <w:szCs w:val="28"/>
          <w:highlight w:val="none"/>
        </w:rPr>
        <w:t>9. 投标文件语言</w:t>
      </w:r>
      <w:bookmarkEnd w:id="190"/>
      <w:bookmarkEnd w:id="191"/>
      <w:bookmarkEnd w:id="192"/>
      <w:bookmarkEnd w:id="193"/>
      <w:bookmarkEnd w:id="194"/>
      <w:bookmarkEnd w:id="195"/>
      <w:bookmarkEnd w:id="196"/>
      <w:bookmarkEnd w:id="197"/>
      <w:bookmarkEnd w:id="198"/>
      <w:bookmarkEnd w:id="199"/>
      <w:bookmarkEnd w:id="200"/>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201" w:name="_Toc20530"/>
      <w:bookmarkStart w:id="202" w:name="_Toc3598"/>
      <w:bookmarkStart w:id="203" w:name="_Toc20874"/>
      <w:bookmarkStart w:id="204" w:name="_Toc19766"/>
      <w:bookmarkStart w:id="205" w:name="_Toc21609"/>
      <w:bookmarkStart w:id="206" w:name="_Toc2478"/>
      <w:bookmarkStart w:id="207" w:name="_Toc192925659"/>
      <w:bookmarkStart w:id="208" w:name="_Toc12983"/>
      <w:bookmarkStart w:id="209" w:name="_Toc19647"/>
      <w:bookmarkStart w:id="210" w:name="_Toc1934"/>
      <w:bookmarkStart w:id="211" w:name="_Toc191892311"/>
      <w:r>
        <w:rPr>
          <w:rFonts w:hint="eastAsia" w:ascii="宋体" w:hAnsi="宋体" w:eastAsia="宋体" w:cs="宋体"/>
          <w:sz w:val="28"/>
          <w:szCs w:val="28"/>
          <w:highlight w:val="none"/>
        </w:rPr>
        <w:t>10. 投标文件的组成</w:t>
      </w:r>
      <w:bookmarkEnd w:id="201"/>
      <w:bookmarkEnd w:id="202"/>
      <w:bookmarkEnd w:id="203"/>
      <w:bookmarkEnd w:id="204"/>
      <w:bookmarkEnd w:id="205"/>
      <w:bookmarkEnd w:id="206"/>
      <w:bookmarkEnd w:id="207"/>
      <w:bookmarkEnd w:id="208"/>
      <w:bookmarkEnd w:id="209"/>
      <w:bookmarkEnd w:id="210"/>
      <w:bookmarkEnd w:id="211"/>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投标文件应包括下列部分：</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10.1.1投标书</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10.1.2开标一览表</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10.1.3价格明细表</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10.1.4保安服务方案</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10.1.5投标人承诺函</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10.1.6投标人提交的其它资料</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10.1.7投标保证金</w:t>
      </w:r>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212" w:name="_Toc18697"/>
      <w:bookmarkStart w:id="213" w:name="_Toc14096"/>
      <w:bookmarkStart w:id="214" w:name="_Toc21933"/>
      <w:bookmarkStart w:id="215" w:name="_Toc9328"/>
      <w:bookmarkStart w:id="216" w:name="_Toc7261"/>
      <w:bookmarkStart w:id="217" w:name="_Toc2590"/>
      <w:bookmarkStart w:id="218" w:name="_Toc192925660"/>
      <w:bookmarkStart w:id="219" w:name="_Toc191892312"/>
      <w:bookmarkStart w:id="220" w:name="_Toc21167"/>
      <w:bookmarkStart w:id="221" w:name="_Toc11443"/>
      <w:bookmarkStart w:id="222" w:name="_Toc29554"/>
      <w:r>
        <w:rPr>
          <w:rFonts w:hint="eastAsia" w:ascii="宋体" w:hAnsi="宋体" w:eastAsia="宋体" w:cs="宋体"/>
          <w:sz w:val="28"/>
          <w:szCs w:val="28"/>
          <w:highlight w:val="none"/>
        </w:rPr>
        <w:t>11. 投标有效期</w:t>
      </w:r>
      <w:bookmarkEnd w:id="212"/>
      <w:bookmarkEnd w:id="213"/>
      <w:bookmarkEnd w:id="214"/>
      <w:bookmarkEnd w:id="215"/>
      <w:bookmarkEnd w:id="216"/>
      <w:bookmarkEnd w:id="217"/>
      <w:bookmarkEnd w:id="218"/>
      <w:bookmarkEnd w:id="219"/>
      <w:bookmarkEnd w:id="220"/>
      <w:bookmarkEnd w:id="221"/>
      <w:bookmarkEnd w:id="222"/>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11.1投标文件从“</w:t>
      </w:r>
      <w:r>
        <w:rPr>
          <w:rFonts w:hint="eastAsia" w:ascii="宋体" w:hAnsi="宋体" w:eastAsia="宋体" w:cs="宋体"/>
          <w:bCs/>
          <w:sz w:val="28"/>
          <w:szCs w:val="28"/>
          <w:highlight w:val="none"/>
        </w:rPr>
        <w:t>投标人须知前附表”</w:t>
      </w:r>
      <w:r>
        <w:rPr>
          <w:rFonts w:hint="eastAsia" w:ascii="宋体" w:hAnsi="宋体" w:eastAsia="宋体" w:cs="宋体"/>
          <w:sz w:val="28"/>
          <w:szCs w:val="28"/>
          <w:highlight w:val="none"/>
        </w:rPr>
        <w:t>第4项所规定的投标截止期之后开始生效，在“</w:t>
      </w:r>
      <w:r>
        <w:rPr>
          <w:rFonts w:hint="eastAsia" w:ascii="宋体" w:hAnsi="宋体" w:eastAsia="宋体" w:cs="宋体"/>
          <w:bCs/>
          <w:sz w:val="28"/>
          <w:szCs w:val="28"/>
          <w:highlight w:val="none"/>
        </w:rPr>
        <w:t>投标人须知前附表”</w:t>
      </w:r>
      <w:r>
        <w:rPr>
          <w:rFonts w:hint="eastAsia" w:ascii="宋体" w:hAnsi="宋体" w:eastAsia="宋体" w:cs="宋体"/>
          <w:sz w:val="28"/>
          <w:szCs w:val="28"/>
          <w:highlight w:val="none"/>
        </w:rPr>
        <w:t>第3项所规定的期限内保持有效。有效期不足将导致其投标文件被拒绝。</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223" w:name="_Toc2459"/>
      <w:bookmarkStart w:id="224" w:name="_Toc8515"/>
      <w:bookmarkStart w:id="225" w:name="_Toc29932"/>
      <w:bookmarkStart w:id="226" w:name="_Toc192925661"/>
      <w:bookmarkStart w:id="227" w:name="_Toc3751"/>
      <w:bookmarkStart w:id="228" w:name="_Toc8234"/>
      <w:bookmarkStart w:id="229" w:name="_Toc3780"/>
      <w:bookmarkStart w:id="230" w:name="_Toc6280"/>
      <w:bookmarkStart w:id="231" w:name="_Toc27704"/>
      <w:bookmarkStart w:id="232" w:name="_Toc191892313"/>
      <w:bookmarkStart w:id="233" w:name="_Toc17957"/>
      <w:r>
        <w:rPr>
          <w:rFonts w:hint="eastAsia" w:ascii="宋体" w:hAnsi="宋体" w:eastAsia="宋体" w:cs="宋体"/>
          <w:sz w:val="28"/>
          <w:szCs w:val="28"/>
          <w:highlight w:val="none"/>
        </w:rPr>
        <w:t>12. 投标保证金</w:t>
      </w:r>
      <w:bookmarkEnd w:id="223"/>
      <w:bookmarkEnd w:id="224"/>
      <w:bookmarkEnd w:id="225"/>
      <w:bookmarkEnd w:id="226"/>
      <w:bookmarkEnd w:id="227"/>
      <w:bookmarkEnd w:id="228"/>
      <w:bookmarkEnd w:id="229"/>
      <w:bookmarkEnd w:id="230"/>
      <w:bookmarkEnd w:id="231"/>
      <w:bookmarkEnd w:id="232"/>
      <w:bookmarkEnd w:id="233"/>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12.1 投标保证金</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12.1.1 投标保证金为投标文件的组成部分之一。</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12.1.2 投标人应在提交投标文件之前，向招标人缴交“投标人须知前附表”第5项要求的投标保证金。</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12.1.3 投标保证金用于保护本次招标活动免受投标人的行为而引起的风险。</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12.1.4 投标保证金以转账或电汇形式提交，必须于投标截止时间前到账。</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12.1.5 未按规定缴交投标保证金的投标，将被视为无效投标。</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12.1.6 中标通知书发出后，招标人将在20个工作日内予以原额无息退还未中标人的投标保证金。</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12.1.7 发生</w:t>
      </w:r>
      <w:r>
        <w:rPr>
          <w:rFonts w:hint="eastAsia" w:ascii="宋体" w:hAnsi="宋体" w:eastAsia="宋体" w:cs="宋体"/>
          <w:b/>
          <w:sz w:val="28"/>
          <w:szCs w:val="28"/>
          <w:highlight w:val="none"/>
        </w:rPr>
        <w:t>以下情况之一</w:t>
      </w:r>
      <w:r>
        <w:rPr>
          <w:rFonts w:hint="eastAsia" w:ascii="宋体" w:hAnsi="宋体" w:eastAsia="宋体" w:cs="宋体"/>
          <w:sz w:val="28"/>
          <w:szCs w:val="28"/>
          <w:highlight w:val="none"/>
        </w:rPr>
        <w:t>的，投标保证金将</w:t>
      </w:r>
      <w:r>
        <w:rPr>
          <w:rFonts w:hint="eastAsia" w:ascii="宋体" w:hAnsi="宋体" w:eastAsia="宋体" w:cs="宋体"/>
          <w:b/>
          <w:sz w:val="28"/>
          <w:szCs w:val="28"/>
          <w:highlight w:val="none"/>
        </w:rPr>
        <w:t>不予退还</w:t>
      </w:r>
      <w:r>
        <w:rPr>
          <w:rFonts w:hint="eastAsia" w:ascii="宋体" w:hAnsi="宋体" w:eastAsia="宋体" w:cs="宋体"/>
          <w:sz w:val="28"/>
          <w:szCs w:val="28"/>
          <w:highlight w:val="none"/>
        </w:rPr>
        <w:t>：</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⑴ 投标人在投标截止期后，投标有效期内撤回投标；</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⑵ 中标人未能做到按本须知第22条规定签订合同；</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⑶ 中标人未按本招标文件规定提交银行履约保函或履约保证金的；</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⑷ 以他人名义投标或者以其他方式弄虚作假，骗取中标；</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⑸ 本招标文件中规定的其他没收投标保证金的情形。</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上述不予退还投标保证金的情况，如给招标人造成损失的，投标人还应承担赔偿责任。</w:t>
      </w:r>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234" w:name="_Toc16440"/>
      <w:bookmarkStart w:id="235" w:name="_Toc7503"/>
      <w:bookmarkStart w:id="236" w:name="_Toc1164"/>
      <w:bookmarkStart w:id="237" w:name="_Toc191892314"/>
      <w:bookmarkStart w:id="238" w:name="_Toc25891"/>
      <w:bookmarkStart w:id="239" w:name="_Toc6454"/>
      <w:bookmarkStart w:id="240" w:name="_Toc192925662"/>
      <w:bookmarkStart w:id="241" w:name="_Toc26548"/>
      <w:bookmarkStart w:id="242" w:name="_Toc9871"/>
      <w:bookmarkStart w:id="243" w:name="_Toc1283"/>
      <w:bookmarkStart w:id="244" w:name="_Toc4808"/>
      <w:r>
        <w:rPr>
          <w:rFonts w:hint="eastAsia" w:ascii="宋体" w:hAnsi="宋体" w:eastAsia="宋体" w:cs="宋体"/>
          <w:sz w:val="28"/>
          <w:szCs w:val="28"/>
          <w:highlight w:val="none"/>
        </w:rPr>
        <w:t>13. 投标文件的格式</w:t>
      </w:r>
      <w:bookmarkEnd w:id="234"/>
      <w:bookmarkEnd w:id="235"/>
      <w:bookmarkEnd w:id="236"/>
      <w:bookmarkEnd w:id="237"/>
      <w:bookmarkEnd w:id="238"/>
      <w:bookmarkEnd w:id="239"/>
      <w:bookmarkEnd w:id="240"/>
      <w:bookmarkEnd w:id="241"/>
      <w:bookmarkEnd w:id="242"/>
      <w:bookmarkEnd w:id="243"/>
      <w:bookmarkEnd w:id="244"/>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13.1 投标人须按照本招标文件规定，编制投标文件的</w:t>
      </w:r>
      <w:r>
        <w:rPr>
          <w:rFonts w:hint="eastAsia" w:ascii="宋体" w:hAnsi="宋体" w:eastAsia="宋体" w:cs="宋体"/>
          <w:b w:val="0"/>
          <w:sz w:val="28"/>
          <w:szCs w:val="28"/>
          <w:highlight w:val="none"/>
        </w:rPr>
        <w:t>正本一份、</w:t>
      </w:r>
      <w:r>
        <w:rPr>
          <w:rFonts w:hint="eastAsia" w:ascii="宋体" w:hAnsi="宋体" w:eastAsia="宋体" w:cs="宋体"/>
          <w:b w:val="0"/>
          <w:color w:val="auto"/>
          <w:sz w:val="28"/>
          <w:szCs w:val="28"/>
          <w:highlight w:val="none"/>
        </w:rPr>
        <w:t>副本一份、</w:t>
      </w:r>
      <w:r>
        <w:rPr>
          <w:rFonts w:hint="eastAsia" w:ascii="宋体" w:hAnsi="宋体" w:eastAsia="宋体" w:cs="宋体"/>
          <w:sz w:val="28"/>
          <w:szCs w:val="28"/>
          <w:highlight w:val="none"/>
        </w:rPr>
        <w:t>电子版一份(通过U盘介质提交）。正本必须用A4幅面纸张打印装订，副本可用正本的完整复印件，投标文件电子版应为doc格式，并在封面标明“正本”、“副本”、“电子版”字样。正本、副本、电子版如有不一致，则以正本为准。</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13.2 投标文件应由投标人的法定代表人或者其授权代表签字并加盖公章，如由后者签字，应提供“法定代表人授权委托书”。</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13.3 除非有另外的规定或许可外，投标使用货币均为人民币。</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13.4 投标人应提交证明其拟供货物符合招标文件要求的技术响应文件，该文件可以是文字资料、图纸和数据，并须提供货物主要技术性能的详细描述。</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13.5 投标文件的正本和全部副本均应使用不能擦去的墨料或墨水打印、书写或复印，并由法定代表人或其授权代表签署，盖投标人公章。</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13.6 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13.7 未按本招标文件规定的格式填写投标文件或投标文件字迹模糊不清的投标可能导致不利于投标人的评标结果。</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13.8 所有资格证明文件复印件，须加盖投标人公章。</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13.9 投标人应将投标文件按顺序装订成册、打印页码，并编列目录、资料清单，由于装订不规范或编排顺序混乱而导致投标文件被误读或漏读，投标人自行承担后果。</w:t>
      </w:r>
    </w:p>
    <w:p>
      <w:pPr>
        <w:spacing w:line="360" w:lineRule="auto"/>
        <w:rPr>
          <w:rFonts w:hint="eastAsia" w:ascii="宋体" w:hAnsi="宋体" w:eastAsia="宋体" w:cs="宋体"/>
          <w:sz w:val="28"/>
          <w:szCs w:val="28"/>
          <w:highlight w:val="none"/>
        </w:rPr>
      </w:pPr>
    </w:p>
    <w:p>
      <w:pPr>
        <w:pStyle w:val="3"/>
        <w:keepNext w:val="0"/>
        <w:keepLines w:val="0"/>
        <w:spacing w:before="0" w:after="0" w:line="360" w:lineRule="auto"/>
        <w:ind w:firstLine="314"/>
        <w:rPr>
          <w:rFonts w:hint="eastAsia" w:ascii="宋体" w:hAnsi="宋体" w:eastAsia="宋体" w:cs="宋体"/>
          <w:sz w:val="28"/>
          <w:szCs w:val="28"/>
          <w:highlight w:val="none"/>
        </w:rPr>
      </w:pPr>
      <w:bookmarkStart w:id="245" w:name="_Toc21477"/>
      <w:bookmarkStart w:id="246" w:name="_Toc9182"/>
      <w:bookmarkStart w:id="247" w:name="_Toc30574"/>
      <w:bookmarkStart w:id="248" w:name="_Toc27787"/>
      <w:bookmarkStart w:id="249" w:name="_Toc20896"/>
      <w:bookmarkStart w:id="250" w:name="_Toc4731"/>
      <w:bookmarkStart w:id="251" w:name="_Toc26098"/>
      <w:bookmarkStart w:id="252" w:name="_Toc191892315"/>
      <w:bookmarkStart w:id="253" w:name="_Toc1622"/>
      <w:bookmarkStart w:id="254" w:name="_Toc25619"/>
      <w:bookmarkStart w:id="255" w:name="_Toc192925663"/>
      <w:r>
        <w:rPr>
          <w:rFonts w:hint="eastAsia" w:ascii="宋体" w:hAnsi="宋体" w:eastAsia="宋体" w:cs="宋体"/>
          <w:sz w:val="28"/>
          <w:szCs w:val="28"/>
          <w:highlight w:val="none"/>
        </w:rPr>
        <w:t>第四节  投标文件的提交</w:t>
      </w:r>
      <w:bookmarkEnd w:id="245"/>
      <w:bookmarkEnd w:id="246"/>
      <w:bookmarkEnd w:id="247"/>
      <w:bookmarkEnd w:id="248"/>
      <w:bookmarkEnd w:id="249"/>
      <w:bookmarkEnd w:id="250"/>
      <w:bookmarkEnd w:id="251"/>
      <w:bookmarkEnd w:id="252"/>
      <w:bookmarkEnd w:id="253"/>
      <w:bookmarkEnd w:id="254"/>
      <w:bookmarkEnd w:id="255"/>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256" w:name="_Toc19621"/>
      <w:bookmarkStart w:id="257" w:name="_Toc11748"/>
      <w:bookmarkStart w:id="258" w:name="_Toc570"/>
      <w:bookmarkStart w:id="259" w:name="_Toc3377"/>
      <w:bookmarkStart w:id="260" w:name="_Toc11508"/>
      <w:bookmarkStart w:id="261" w:name="_Toc192925664"/>
      <w:bookmarkStart w:id="262" w:name="_Toc18054"/>
      <w:bookmarkStart w:id="263" w:name="_Toc25727"/>
      <w:bookmarkStart w:id="264" w:name="_Toc22594"/>
      <w:bookmarkStart w:id="265" w:name="_Toc7872"/>
      <w:bookmarkStart w:id="266" w:name="_Toc191892316"/>
      <w:r>
        <w:rPr>
          <w:rFonts w:hint="eastAsia" w:ascii="宋体" w:hAnsi="宋体" w:eastAsia="宋体" w:cs="宋体"/>
          <w:sz w:val="28"/>
          <w:szCs w:val="28"/>
          <w:highlight w:val="none"/>
        </w:rPr>
        <w:t>14. 投标文件的密封、标记和递交</w:t>
      </w:r>
      <w:bookmarkEnd w:id="256"/>
      <w:bookmarkEnd w:id="257"/>
      <w:bookmarkEnd w:id="258"/>
      <w:bookmarkEnd w:id="259"/>
      <w:bookmarkEnd w:id="260"/>
      <w:bookmarkEnd w:id="261"/>
      <w:bookmarkEnd w:id="262"/>
      <w:bookmarkEnd w:id="263"/>
      <w:bookmarkEnd w:id="264"/>
      <w:bookmarkEnd w:id="265"/>
      <w:bookmarkEnd w:id="266"/>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14.1 投标人应将投标文件正本、副本、电子版分别用信封密封，并标明招标编号、招标项目名称、投标人名称等及“正本”、“副本”、“电子版”字样。投标文件未密封将导致其投标被拒绝。</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14.2 每一信封密封处应加盖投标人公章或由授权代表签字。</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14.3 投标人应将投标文件按照本须知第14.1条至第14.2条的规定进行密封和标记，按“投标人须知前附表”注明的地址和时间派专人送达接收人。</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14.4 如果未按上述规定进行密封和标记，招标人将不承担由此造成的对投标文件的误投或提前拆封的责任。</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14.5 投标文件应在投标邀请中规定的截止时间前送达，迟到的投标文件为无效投标文件，将被拒收。</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14.6 投标人在投标截止时间之前，允许对所提交的投标文件进行修改或者撤回，并书面通知招标人。修改的内容和撤回通知应当按本须知要求签署、盖章、密封，并作为投标文件的组成部分。</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14.7 投标人在投标截止时间后不得修改、撤回投标文件。投标人在投标截止时间后修改投标文件的，其投标将被拒绝。</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14.8投标截止时间结束后，参加投标的投标人不足三家的，本次招标程序终止。除采购任务取消情形外，招标人将依法重新组织招标或者采取竞争性谈判等其他方式采购。</w:t>
      </w:r>
      <w:bookmarkStart w:id="267" w:name="_Toc191892317"/>
      <w:bookmarkStart w:id="268" w:name="_Toc192925665"/>
    </w:p>
    <w:p>
      <w:pPr>
        <w:spacing w:line="360" w:lineRule="auto"/>
        <w:ind w:firstLine="560" w:firstLineChars="200"/>
        <w:rPr>
          <w:rFonts w:hint="eastAsia" w:ascii="宋体" w:hAnsi="宋体" w:eastAsia="宋体" w:cs="宋体"/>
          <w:sz w:val="28"/>
          <w:szCs w:val="28"/>
          <w:highlight w:val="none"/>
        </w:rPr>
      </w:pPr>
    </w:p>
    <w:p>
      <w:pPr>
        <w:pStyle w:val="3"/>
        <w:keepNext w:val="0"/>
        <w:keepLines w:val="0"/>
        <w:spacing w:before="0" w:after="0" w:line="360" w:lineRule="auto"/>
        <w:ind w:firstLine="314"/>
        <w:rPr>
          <w:rFonts w:hint="eastAsia" w:ascii="宋体" w:hAnsi="宋体" w:eastAsia="宋体" w:cs="宋体"/>
          <w:sz w:val="28"/>
          <w:szCs w:val="28"/>
          <w:highlight w:val="none"/>
        </w:rPr>
      </w:pPr>
      <w:bookmarkStart w:id="269" w:name="_Toc19934"/>
      <w:bookmarkStart w:id="270" w:name="_Toc12653"/>
      <w:bookmarkStart w:id="271" w:name="_Toc11454"/>
      <w:bookmarkStart w:id="272" w:name="_Toc12893"/>
      <w:bookmarkStart w:id="273" w:name="_Toc28672"/>
      <w:bookmarkStart w:id="274" w:name="_Toc20129"/>
      <w:bookmarkStart w:id="275" w:name="_Toc26441"/>
      <w:bookmarkStart w:id="276" w:name="_Toc24143"/>
      <w:bookmarkStart w:id="277" w:name="_Toc12691"/>
      <w:r>
        <w:rPr>
          <w:rFonts w:hint="eastAsia" w:ascii="宋体" w:hAnsi="宋体" w:eastAsia="宋体" w:cs="宋体"/>
          <w:sz w:val="28"/>
          <w:szCs w:val="28"/>
          <w:highlight w:val="none"/>
        </w:rPr>
        <w:t>第五节  投标文件的评估和比较</w:t>
      </w:r>
      <w:bookmarkEnd w:id="267"/>
      <w:bookmarkEnd w:id="268"/>
      <w:bookmarkEnd w:id="269"/>
      <w:bookmarkEnd w:id="270"/>
      <w:bookmarkEnd w:id="271"/>
      <w:bookmarkEnd w:id="272"/>
      <w:bookmarkEnd w:id="273"/>
      <w:bookmarkEnd w:id="274"/>
      <w:bookmarkEnd w:id="275"/>
      <w:bookmarkEnd w:id="276"/>
      <w:bookmarkEnd w:id="277"/>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278" w:name="_Toc1626"/>
      <w:bookmarkStart w:id="279" w:name="_Toc27985"/>
      <w:bookmarkStart w:id="280" w:name="_Toc13799"/>
      <w:bookmarkStart w:id="281" w:name="_Toc29132"/>
      <w:bookmarkStart w:id="282" w:name="_Toc191892318"/>
      <w:bookmarkStart w:id="283" w:name="_Toc192925666"/>
      <w:bookmarkStart w:id="284" w:name="_Toc23732"/>
      <w:bookmarkStart w:id="285" w:name="_Toc3152"/>
      <w:bookmarkStart w:id="286" w:name="_Toc5121"/>
      <w:bookmarkStart w:id="287" w:name="_Toc4583"/>
      <w:bookmarkStart w:id="288" w:name="_Toc25123"/>
      <w:r>
        <w:rPr>
          <w:rFonts w:hint="eastAsia" w:ascii="宋体" w:hAnsi="宋体" w:eastAsia="宋体" w:cs="宋体"/>
          <w:sz w:val="28"/>
          <w:szCs w:val="28"/>
          <w:highlight w:val="none"/>
        </w:rPr>
        <w:t>15．开标、评标时间</w:t>
      </w:r>
      <w:bookmarkEnd w:id="278"/>
      <w:bookmarkEnd w:id="279"/>
      <w:bookmarkEnd w:id="280"/>
      <w:bookmarkEnd w:id="281"/>
      <w:bookmarkEnd w:id="282"/>
      <w:bookmarkEnd w:id="283"/>
      <w:bookmarkEnd w:id="284"/>
      <w:bookmarkEnd w:id="285"/>
      <w:bookmarkEnd w:id="286"/>
      <w:bookmarkEnd w:id="287"/>
      <w:bookmarkEnd w:id="288"/>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15.1 在“投标人须知前附表”（有延期通知的以延期通知为准）中所规定的时间、地点开标。</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15.2 招标人负责组建评标委员会，评标委员会负责评标工作。</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15.3 本项目采用</w:t>
      </w:r>
      <w:r>
        <w:rPr>
          <w:rFonts w:hint="eastAsia" w:ascii="宋体" w:hAnsi="宋体" w:eastAsia="宋体" w:cs="宋体"/>
          <w:sz w:val="28"/>
          <w:szCs w:val="28"/>
          <w:highlight w:val="none"/>
        </w:rPr>
        <w:t>综合评分法</w:t>
      </w:r>
      <w:r>
        <w:rPr>
          <w:rFonts w:hint="eastAsia" w:ascii="宋体" w:hAnsi="宋体" w:eastAsia="宋体" w:cs="宋体"/>
          <w:color w:val="000000" w:themeColor="text1"/>
          <w:sz w:val="28"/>
          <w:szCs w:val="28"/>
          <w:highlight w:val="none"/>
          <w14:textFill>
            <w14:solidFill>
              <w14:schemeClr w14:val="tx1"/>
            </w14:solidFill>
          </w14:textFill>
        </w:rPr>
        <w:t>评选方法评定，公司纪检人员进行监督。</w:t>
      </w:r>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289" w:name="_Toc5700"/>
      <w:bookmarkStart w:id="290" w:name="_Toc1675"/>
      <w:bookmarkStart w:id="291" w:name="_Toc30627"/>
      <w:bookmarkStart w:id="292" w:name="_Toc28940"/>
      <w:bookmarkStart w:id="293" w:name="_Toc8811"/>
      <w:bookmarkStart w:id="294" w:name="_Toc21160"/>
      <w:bookmarkStart w:id="295" w:name="_Toc21678"/>
      <w:bookmarkStart w:id="296" w:name="_Toc27536"/>
      <w:bookmarkStart w:id="297" w:name="_Toc27522"/>
      <w:r>
        <w:rPr>
          <w:rFonts w:hint="eastAsia" w:ascii="宋体" w:hAnsi="宋体" w:eastAsia="宋体" w:cs="宋体"/>
          <w:sz w:val="28"/>
          <w:szCs w:val="28"/>
          <w:highlight w:val="none"/>
        </w:rPr>
        <w:t>16．评标委员会</w:t>
      </w:r>
      <w:bookmarkEnd w:id="289"/>
      <w:bookmarkEnd w:id="290"/>
      <w:bookmarkEnd w:id="291"/>
      <w:bookmarkEnd w:id="292"/>
      <w:bookmarkEnd w:id="293"/>
      <w:bookmarkEnd w:id="294"/>
      <w:bookmarkEnd w:id="295"/>
      <w:bookmarkEnd w:id="296"/>
      <w:bookmarkEnd w:id="297"/>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16.1 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298" w:name="_Toc6050"/>
      <w:bookmarkStart w:id="299" w:name="_Toc192925668"/>
      <w:bookmarkStart w:id="300" w:name="_Toc16888"/>
      <w:bookmarkStart w:id="301" w:name="_Toc22954"/>
      <w:bookmarkStart w:id="302" w:name="_Toc7795"/>
      <w:bookmarkStart w:id="303" w:name="_Toc18064"/>
      <w:bookmarkStart w:id="304" w:name="_Toc29315"/>
      <w:bookmarkStart w:id="305" w:name="_Toc2424"/>
      <w:bookmarkStart w:id="306" w:name="_Toc13205"/>
      <w:bookmarkStart w:id="307" w:name="_Toc191892320"/>
      <w:bookmarkStart w:id="308" w:name="_Toc18173"/>
      <w:r>
        <w:rPr>
          <w:rFonts w:hint="eastAsia" w:ascii="宋体" w:hAnsi="宋体" w:eastAsia="宋体" w:cs="宋体"/>
          <w:sz w:val="28"/>
          <w:szCs w:val="28"/>
          <w:highlight w:val="none"/>
        </w:rPr>
        <w:t>17. 投标文件的初审</w:t>
      </w:r>
      <w:bookmarkEnd w:id="298"/>
      <w:bookmarkEnd w:id="299"/>
      <w:bookmarkEnd w:id="300"/>
      <w:bookmarkEnd w:id="301"/>
      <w:bookmarkEnd w:id="302"/>
      <w:bookmarkEnd w:id="303"/>
      <w:bookmarkEnd w:id="304"/>
      <w:bookmarkEnd w:id="305"/>
      <w:bookmarkEnd w:id="306"/>
      <w:bookmarkEnd w:id="307"/>
      <w:bookmarkEnd w:id="308"/>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对所有投标人的评估，都采用相同的程序和标准。评议过程将严格按照招标文件的要求和条件进行。</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有关投标文件的审查、澄清、评估和比较以及推荐中标候选人的一切情况，都不得透露给任一投标人或与上述评标工作无关的人员。</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投标人任何试图影响评委会对投标文件的评估、比较或者推荐候选人的行为，都将导致其投标被拒绝，并被没收投标保证金。</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17.1 评标委员会将对投标文件进行审查，以确定投标文件是否完整、有无计算上的错误、是否提交了投标保证金、文件是否已正确签署。</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17.2 算术错误将按以下方法更正：</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 如投标文件中“开标一览表（报价表）”内容与投标文件中的明细表内容不一致的，以“开标一览表（报价表）”为准。</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如果投标人不接受按上述方法对投标文件中的算术错误进行更正，其投标将被拒绝并没收其投标保证金。</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17.3 资格性检查和符合性检查 </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17.3.1资格性检查。依据法律法规和招标文件的规定，在对投标文件详细评估之前，评标委员会将依据投标人提交的投标文件，按“投标人须知前附表”所述的资格标准对投标人进行资格审查，以确定其是否具备投标资格。如果投标人不具备投标资格，不满足招标文件所规定的资格标准，或者其提供的资格证明文件不全的，其投标将被拒绝。</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17.3.2符合性检查。依据招标文件的规定，评标委员会还将从投标文件的有效性、完整性和对招标文件的响应程度进行审查，以确定是否符合对招标文件的实质性要求做出响应。</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实质性偏离是指：（1）实质性影响合同的范围、质量和履行；（2）实质性违背招标文件，限制了招标人的权利和中标人合同项下的义务；（3）不公正地影响了其它作出实质性响应的投标人的竞争地位。</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对没有实质性响应的投标文件将不进行评估，其投标将被拒绝。</w:t>
      </w:r>
    </w:p>
    <w:p>
      <w:pPr>
        <w:spacing w:line="360" w:lineRule="auto"/>
        <w:ind w:firstLine="560" w:firstLineChars="200"/>
        <w:rPr>
          <w:rFonts w:hint="eastAsia" w:ascii="宋体" w:hAnsi="宋体" w:eastAsia="宋体" w:cs="宋体"/>
          <w:b/>
          <w:sz w:val="28"/>
          <w:szCs w:val="28"/>
          <w:highlight w:val="none"/>
        </w:rPr>
      </w:pPr>
      <w:r>
        <w:rPr>
          <w:rFonts w:hint="eastAsia" w:ascii="宋体" w:hAnsi="宋体" w:eastAsia="宋体" w:cs="宋体"/>
          <w:sz w:val="28"/>
          <w:szCs w:val="28"/>
          <w:highlight w:val="none"/>
        </w:rPr>
        <w:t>凡有</w:t>
      </w:r>
      <w:r>
        <w:rPr>
          <w:rFonts w:hint="eastAsia" w:ascii="宋体" w:hAnsi="宋体" w:eastAsia="宋体" w:cs="宋体"/>
          <w:b/>
          <w:sz w:val="28"/>
          <w:szCs w:val="28"/>
          <w:highlight w:val="none"/>
        </w:rPr>
        <w:t>下列情况之一</w:t>
      </w:r>
      <w:r>
        <w:rPr>
          <w:rFonts w:hint="eastAsia" w:ascii="宋体" w:hAnsi="宋体" w:eastAsia="宋体" w:cs="宋体"/>
          <w:sz w:val="28"/>
          <w:szCs w:val="28"/>
          <w:highlight w:val="none"/>
        </w:rPr>
        <w:t>者，投标文件也将被视为</w:t>
      </w:r>
      <w:r>
        <w:rPr>
          <w:rFonts w:hint="eastAsia" w:ascii="宋体" w:hAnsi="宋体" w:eastAsia="宋体" w:cs="宋体"/>
          <w:b/>
          <w:sz w:val="28"/>
          <w:szCs w:val="28"/>
          <w:highlight w:val="none"/>
        </w:rPr>
        <w:t>未实质性响应招标文件要求：</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(1) 投标文件未按照本须知第14条的规定进行密封、标记的；</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(2) 未按规定由投标人的法定代表人或其授权代表签字，或未加盖投标人公章的；或签字人未提供法定代表人有效授权委托书原件的；</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(3) 未按规定提交投标保证金的；</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(4) 投标有效期不满足招标文件要求的；</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(5) 投标内容与招标内容及要求有重大偏离或保留的；</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(6) 投标人提交的是可选择的报价；</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(7) 投标人未按规定对投标进行分项报价；</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(8) 一个投标人对同一个合同包不止投一个标的；</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(9) 投标文件组成不符合招标文件要求的；</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(10) 投标文件中提供虚假或失实资料的；</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(11) 不符合招标文件中规定的</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b/>
          <w:sz w:val="28"/>
          <w:szCs w:val="28"/>
          <w:highlight w:val="none"/>
        </w:rPr>
        <w:t>号条款或其它实质性条款要求的。</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投标人存在</w:t>
      </w:r>
      <w:r>
        <w:rPr>
          <w:rFonts w:hint="eastAsia" w:ascii="宋体" w:hAnsi="宋体" w:eastAsia="宋体" w:cs="宋体"/>
          <w:b/>
          <w:bCs/>
          <w:sz w:val="28"/>
          <w:szCs w:val="28"/>
          <w:highlight w:val="none"/>
        </w:rPr>
        <w:t>下列情形之一</w:t>
      </w:r>
      <w:r>
        <w:rPr>
          <w:rFonts w:hint="eastAsia" w:ascii="宋体" w:hAnsi="宋体" w:eastAsia="宋体" w:cs="宋体"/>
          <w:sz w:val="28"/>
          <w:szCs w:val="28"/>
          <w:highlight w:val="none"/>
        </w:rPr>
        <w:t>的，将被认定为</w:t>
      </w:r>
      <w:r>
        <w:rPr>
          <w:rFonts w:hint="eastAsia" w:ascii="宋体" w:hAnsi="宋体" w:eastAsia="宋体" w:cs="宋体"/>
          <w:b/>
          <w:bCs/>
          <w:sz w:val="28"/>
          <w:szCs w:val="28"/>
          <w:highlight w:val="none"/>
        </w:rPr>
        <w:t>串通投标行为并作无效投标处理</w:t>
      </w:r>
      <w:r>
        <w:rPr>
          <w:rFonts w:hint="eastAsia" w:ascii="宋体" w:hAnsi="宋体" w:eastAsia="宋体" w:cs="宋体"/>
          <w:sz w:val="28"/>
          <w:szCs w:val="28"/>
          <w:highlight w:val="none"/>
        </w:rPr>
        <w:t>：</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（1）投标人之间协商投标报价等投标文件的实质性内容；</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（2）投标人之间约定中标供应商；</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（3）投标人之间约定部分投标人放弃投标或者中标；</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（4）属于同一集团、协会、商会等组织成员的投标人按照该组织要求协同投标；</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（5）投标人之间为谋取中标或者排斥特定投标人而采取的其他联合行动；</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（6）不同投标人的投标文件由同一单位或者个人编制；</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（7）不同投标人委托同一单位或者个人办理投标事宜；</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（8）不同投标人的投标文件载明的项目管理成员为同一人；</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（9）不同投标人的投标文件异常一致或者投标报价呈规律性差异；</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（10）不同投标人的投标文件相互混装；</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（11）不同投标人的投标保证金从同一单位或者个人的账户转出。</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（12）不同投标人的投标文件错、漏之处一致或雷同，且不能合理解释的；</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（13）不同的投标人的法定代表人、委托代理人等由同一个单位缴纳社会保险的；</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（15）有关法律、法规或规章规定的其他串通投标行为。</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评标委员会决定投标的响应性，只根据投标文件本身的内容，而不寻求其他的外部证据。</w:t>
      </w:r>
    </w:p>
    <w:p>
      <w:pPr>
        <w:pStyle w:val="4"/>
        <w:spacing w:before="0" w:after="0" w:line="360" w:lineRule="auto"/>
        <w:ind w:firstLine="562" w:firstLineChars="200"/>
        <w:rPr>
          <w:rFonts w:hint="eastAsia" w:ascii="宋体" w:hAnsi="宋体" w:eastAsia="宋体" w:cs="宋体"/>
          <w:sz w:val="28"/>
          <w:szCs w:val="28"/>
          <w:highlight w:val="none"/>
        </w:rPr>
      </w:pPr>
      <w:bookmarkStart w:id="309" w:name="_Toc2250"/>
      <w:bookmarkStart w:id="310" w:name="_Toc24292"/>
      <w:bookmarkStart w:id="311" w:name="_Toc26410"/>
      <w:bookmarkStart w:id="312" w:name="_Toc28131"/>
      <w:bookmarkStart w:id="313" w:name="_Toc26989"/>
      <w:bookmarkStart w:id="314" w:name="_Toc19416"/>
      <w:bookmarkStart w:id="315" w:name="_Toc377"/>
      <w:bookmarkStart w:id="316" w:name="_Toc23169"/>
      <w:bookmarkStart w:id="317" w:name="_Toc20479"/>
      <w:bookmarkStart w:id="318" w:name="_Toc13539"/>
      <w:bookmarkStart w:id="319" w:name="_Toc28663"/>
      <w:bookmarkStart w:id="320" w:name="_Toc18242"/>
      <w:r>
        <w:rPr>
          <w:rFonts w:hint="eastAsia" w:ascii="宋体" w:hAnsi="宋体" w:eastAsia="宋体" w:cs="宋体"/>
          <w:sz w:val="28"/>
          <w:szCs w:val="28"/>
          <w:highlight w:val="none"/>
        </w:rPr>
        <w:t>18.评标办法</w:t>
      </w:r>
      <w:bookmarkEnd w:id="309"/>
      <w:bookmarkEnd w:id="310"/>
      <w:bookmarkEnd w:id="311"/>
      <w:bookmarkEnd w:id="312"/>
      <w:bookmarkEnd w:id="313"/>
      <w:bookmarkEnd w:id="314"/>
      <w:bookmarkEnd w:id="315"/>
      <w:bookmarkEnd w:id="316"/>
      <w:bookmarkEnd w:id="317"/>
      <w:bookmarkEnd w:id="318"/>
      <w:bookmarkEnd w:id="319"/>
    </w:p>
    <w:p>
      <w:pPr>
        <w:widowControl/>
        <w:shd w:val="clear" w:color="auto" w:fill="FFFFFF"/>
        <w:adjustRightInd w:val="0"/>
        <w:snapToGrid w:val="0"/>
        <w:spacing w:before="60" w:beforeLines="25" w:after="60" w:afterLines="25" w:line="360" w:lineRule="auto"/>
        <w:ind w:firstLine="560" w:firstLineChars="200"/>
        <w:rPr>
          <w:rFonts w:hint="eastAsia" w:ascii="宋体" w:hAnsi="宋体" w:eastAsia="宋体" w:cs="宋体"/>
          <w:bCs/>
          <w:color w:val="000000"/>
          <w:sz w:val="28"/>
          <w:szCs w:val="28"/>
          <w:highlight w:val="none"/>
          <w:u w:val="single"/>
        </w:rPr>
      </w:pPr>
      <w:r>
        <w:rPr>
          <w:rFonts w:hint="eastAsia" w:ascii="宋体" w:hAnsi="宋体" w:eastAsia="宋体" w:cs="宋体"/>
          <w:bCs/>
          <w:color w:val="000000"/>
          <w:sz w:val="28"/>
          <w:szCs w:val="28"/>
          <w:highlight w:val="none"/>
        </w:rPr>
        <w:t>本次招标采用</w:t>
      </w:r>
      <w:r>
        <w:rPr>
          <w:rFonts w:hint="eastAsia" w:ascii="宋体" w:hAnsi="宋体" w:eastAsia="宋体" w:cs="宋体"/>
          <w:bCs/>
          <w:sz w:val="28"/>
          <w:szCs w:val="28"/>
          <w:highlight w:val="none"/>
        </w:rPr>
        <w:t>综合评分法</w:t>
      </w:r>
      <w:r>
        <w:rPr>
          <w:rFonts w:hint="eastAsia" w:ascii="宋体" w:hAnsi="宋体" w:eastAsia="宋体" w:cs="宋体"/>
          <w:bCs/>
          <w:color w:val="000000"/>
          <w:sz w:val="28"/>
          <w:szCs w:val="28"/>
          <w:highlight w:val="none"/>
        </w:rPr>
        <w:t>评标。</w:t>
      </w:r>
    </w:p>
    <w:p>
      <w:pPr>
        <w:pStyle w:val="6"/>
        <w:shd w:val="clear" w:color="auto" w:fill="FFFFFF"/>
        <w:snapToGrid w:val="0"/>
        <w:spacing w:line="360" w:lineRule="auto"/>
        <w:ind w:left="0" w:firstLine="562" w:firstLineChars="200"/>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lang w:eastAsia="zh-CN"/>
        </w:rPr>
        <w:t>18.1 具体的评标标准（评标办法）</w:t>
      </w:r>
    </w:p>
    <w:p>
      <w:pPr>
        <w:shd w:val="clear" w:color="auto" w:fill="FFFFFF"/>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18.1.1 </w:t>
      </w:r>
      <w:r>
        <w:rPr>
          <w:rFonts w:hint="eastAsia" w:ascii="宋体" w:hAnsi="宋体" w:eastAsia="宋体" w:cs="宋体"/>
          <w:sz w:val="28"/>
          <w:szCs w:val="28"/>
          <w:highlight w:val="none"/>
        </w:rPr>
        <w:t>初审合格（即资格性、符合性检查合格并按其他相关条款审查后）的投标人在三家以上（含三家）的，评标委员会将按以下评标方法与标准，对初审合格的投标文件进行商务和技术评估，综合比较与评价</w:t>
      </w:r>
      <w:r>
        <w:rPr>
          <w:rFonts w:hint="eastAsia" w:ascii="宋体" w:hAnsi="宋体" w:eastAsia="宋体" w:cs="宋体"/>
          <w:color w:val="000000"/>
          <w:sz w:val="28"/>
          <w:szCs w:val="28"/>
          <w:highlight w:val="none"/>
        </w:rPr>
        <w:t>。</w:t>
      </w:r>
    </w:p>
    <w:p>
      <w:pPr>
        <w:snapToGrid w:val="0"/>
        <w:spacing w:line="360" w:lineRule="auto"/>
        <w:ind w:firstLine="413" w:firstLineChars="147"/>
        <w:rPr>
          <w:rStyle w:val="22"/>
          <w:rFonts w:hint="eastAsia" w:ascii="宋体" w:hAnsi="宋体" w:eastAsia="宋体" w:cs="宋体"/>
          <w:sz w:val="28"/>
          <w:szCs w:val="28"/>
          <w:highlight w:val="none"/>
        </w:rPr>
      </w:pPr>
      <w:r>
        <w:rPr>
          <w:rStyle w:val="22"/>
          <w:rFonts w:hint="eastAsia" w:ascii="宋体" w:hAnsi="宋体" w:eastAsia="宋体" w:cs="宋体"/>
          <w:sz w:val="28"/>
          <w:szCs w:val="28"/>
          <w:highlight w:val="none"/>
        </w:rPr>
        <w:t>（1）技术分F1（</w:t>
      </w:r>
      <w:r>
        <w:rPr>
          <w:rFonts w:hint="eastAsia" w:ascii="宋体" w:hAnsi="宋体" w:eastAsia="宋体" w:cs="宋体"/>
          <w:b/>
          <w:sz w:val="28"/>
          <w:szCs w:val="28"/>
          <w:highlight w:val="none"/>
        </w:rPr>
        <w:t>满分40分</w:t>
      </w:r>
      <w:r>
        <w:rPr>
          <w:rStyle w:val="22"/>
          <w:rFonts w:hint="eastAsia" w:ascii="宋体" w:hAnsi="宋体" w:eastAsia="宋体" w:cs="宋体"/>
          <w:sz w:val="28"/>
          <w:szCs w:val="28"/>
          <w:highlight w:val="none"/>
        </w:rPr>
        <w:t>）</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7266"/>
        <w:gridCol w:w="1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04" w:type="dxa"/>
            <w:vAlign w:val="center"/>
          </w:tcPr>
          <w:p>
            <w:pPr>
              <w:snapToGrid w:val="0"/>
              <w:spacing w:line="360" w:lineRule="auto"/>
              <w:jc w:val="center"/>
              <w:rPr>
                <w:rFonts w:hint="eastAsia" w:ascii="宋体" w:hAnsi="宋体" w:eastAsia="宋体" w:cs="宋体"/>
                <w:b/>
                <w:bCs w:val="0"/>
                <w:kern w:val="10"/>
                <w:sz w:val="28"/>
                <w:szCs w:val="28"/>
                <w:highlight w:val="none"/>
              </w:rPr>
            </w:pPr>
            <w:r>
              <w:rPr>
                <w:rFonts w:hint="eastAsia" w:ascii="宋体" w:hAnsi="宋体" w:eastAsia="宋体" w:cs="宋体"/>
                <w:b/>
                <w:bCs w:val="0"/>
                <w:kern w:val="10"/>
                <w:sz w:val="28"/>
                <w:szCs w:val="28"/>
                <w:highlight w:val="none"/>
              </w:rPr>
              <w:t>序号</w:t>
            </w:r>
          </w:p>
        </w:tc>
        <w:tc>
          <w:tcPr>
            <w:tcW w:w="7266" w:type="dxa"/>
            <w:vAlign w:val="center"/>
          </w:tcPr>
          <w:p>
            <w:pPr>
              <w:snapToGrid w:val="0"/>
              <w:spacing w:line="360" w:lineRule="auto"/>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评分界定</w:t>
            </w:r>
          </w:p>
        </w:tc>
        <w:tc>
          <w:tcPr>
            <w:tcW w:w="1013" w:type="dxa"/>
            <w:vAlign w:val="center"/>
          </w:tcPr>
          <w:p>
            <w:pPr>
              <w:snapToGrid w:val="0"/>
              <w:spacing w:line="360" w:lineRule="auto"/>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7266" w:type="dxa"/>
            <w:vAlign w:val="center"/>
          </w:tcPr>
          <w:p>
            <w:pPr>
              <w:snapToGrid w:val="0"/>
              <w:spacing w:line="360" w:lineRule="auto"/>
              <w:ind w:right="31" w:rightChars="1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根据投标人针对本项目服务内容及总体要求，提出消防管理、公共突发紧急事件应急处理、台风暴雨等自然灾害的预防和应急处理措施。预防和应急处理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7266" w:type="dxa"/>
            <w:vAlign w:val="center"/>
          </w:tcPr>
          <w:p>
            <w:pPr>
              <w:snapToGrid w:val="0"/>
              <w:spacing w:line="360" w:lineRule="auto"/>
              <w:ind w:right="31" w:rightChars="1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人通过项目现场踏勘，针对安保服务特点，列出管理上的难点、重点及解决方案，并提供现场踏勘报告。评标小组按优（3分）、良（2分）、一般（1分）打分，未提供分析方案或未对现场进行踏勘均不得分。（优：针对本项目服务内容和项目特点进行难点、重点分析全面完整，提出的解决方案具备针对性及可行性，现场踏勘报告完整、图文并茂；良：针对本项目服务内容和项目特点进行难点、重点分析较完整，提出的解决方案具备一定的针对性及可行性，有提供较完整的现场踏勘报告；一般：针对本项目服务内容和项目特点的难点、重点分析不够突出、有欠缺，提出的解决方案针对性及可行性较差，现场踏勘报告简单或者信息不完整）。</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tcBorders>
              <w:bottom w:val="single" w:color="auto" w:sz="4" w:space="0"/>
            </w:tcBorders>
            <w:vAlign w:val="center"/>
          </w:tcPr>
          <w:p>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7266" w:type="dxa"/>
            <w:vAlign w:val="center"/>
          </w:tcPr>
          <w:p>
            <w:pPr>
              <w:snapToGrid w:val="0"/>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根据投标人针对本项目服务内容及总体要求，提出监控系统、消防系统、车辆人员出入系统等公共设备设施日常维护管理、交通和车辆停放秩序的管理方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tcBorders>
              <w:bottom w:val="single" w:color="auto" w:sz="4" w:space="0"/>
            </w:tcBorders>
            <w:vAlign w:val="center"/>
          </w:tcPr>
          <w:p>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7266" w:type="dxa"/>
            <w:vAlign w:val="center"/>
          </w:tcPr>
          <w:p>
            <w:pPr>
              <w:snapToGrid w:val="0"/>
              <w:spacing w:line="360" w:lineRule="auto"/>
              <w:ind w:right="31" w:rightChars="1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根据投标人针对本项目服务内容及总体要求，提出公共安全秩序的维护方案（包括安全监控、巡视、门岗执勤等；建立24小时值班制度及来访人员登记制度，协助接受报修、求助、建议、问询、质疑、投诉等与公共安全有关信息的收集和反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tcBorders>
              <w:top w:val="single" w:color="auto" w:sz="4" w:space="0"/>
            </w:tcBorders>
            <w:vAlign w:val="center"/>
          </w:tcPr>
          <w:p>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7266" w:type="dxa"/>
            <w:vAlign w:val="center"/>
          </w:tcPr>
          <w:p>
            <w:pPr>
              <w:adjustRightInd w:val="0"/>
              <w:snapToGrid w:val="0"/>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根据投标人针对本项目服务内容及总体要求，提出如遇项目举办大型活动、迎接上级检查评估以及处于特殊敏感时期的其它安全保障工作方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7266" w:type="dxa"/>
            <w:vAlign w:val="center"/>
          </w:tcPr>
          <w:p>
            <w:pPr>
              <w:snapToGrid w:val="0"/>
              <w:spacing w:line="360" w:lineRule="auto"/>
              <w:ind w:right="31" w:rightChars="1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根据投标人拟投入的设备进行评价，所有岗位配备反恐防暴、处突防卫器具：防爆钢叉、防爆盾牌、强光手电筒、辣椒水、防割手套、伸缩棍（且安保器材等威慑犯罪的器具必须由投标人向公安部门报批，并尽可能多配置一些其它安全防卫器具。）投标人应提供设备清单表，详细列出设备品牌、型号、功能、数量等：设备种类众多、功能齐全、质量有保障的得3分；设备种类较多，功能较齐全的得2分；设备只能基本满足项目需要的得1分；其他不得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7</w:t>
            </w:r>
          </w:p>
        </w:tc>
        <w:tc>
          <w:tcPr>
            <w:tcW w:w="7266" w:type="dxa"/>
            <w:vAlign w:val="center"/>
          </w:tcPr>
          <w:p>
            <w:pPr>
              <w:snapToGrid w:val="0"/>
              <w:spacing w:line="360" w:lineRule="auto"/>
              <w:ind w:right="31" w:rightChars="1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根据投标人提供的“维序部”人员（维序员）配置及日常运作管理方案的完整性、合理性、可行性情况，由评标委员会进行横向评议，优得2分，良得1分，一般得不得分，未提供或偏差较大的不得分。（优：“维序部”人员（维序员）配置及日常运作管理方案完整且合理可行的；良：“维序部”人员（维序员）配置及日常运作管理方案较完整且较合理可行的；一般：“维序部”人员（维序员）配置及日常运作管理方案有偏差、可行性较一般的）</w:t>
            </w:r>
            <w:r>
              <w:rPr>
                <w:rFonts w:hint="eastAsia" w:ascii="宋体" w:hAnsi="宋体" w:eastAsia="宋体" w:cs="宋体"/>
                <w:kern w:val="0"/>
                <w:sz w:val="28"/>
                <w:szCs w:val="28"/>
                <w:highlight w:val="none"/>
              </w:rPr>
              <w:t>。</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c>
          <w:tcPr>
            <w:tcW w:w="7266" w:type="dxa"/>
            <w:vAlign w:val="center"/>
          </w:tcPr>
          <w:p>
            <w:pPr>
              <w:snapToGrid w:val="0"/>
              <w:spacing w:line="360" w:lineRule="auto"/>
              <w:ind w:right="31" w:rightChars="1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根据投标人针对本项目编制的管理组织架构、管理职责、日常运行管理制度及监督机制、信息反馈渠道及处理机制情况，由评标委员会进行横向评议，优得3分，良得2分，一般得1分，未提供或偏差较大的不得分。（优：针对本项目编制的管理组织架构、管理职责、日常运行管理制度及监督机制、信息反馈渠道及处理机制完整且配备合理可行的；良：针对本项目编制的管理组织架构、管理职责、日常运行管理制度及监督机制、信息反馈渠道及处理机制较完整、配备较合理可行的；一般：针对本项目编制的管理组织架构、管理职责、日常运行管理制度及监督机制、信息反馈渠道及处理机制虽有偏差、但不影响服务效果，具有一定可行性的）</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9</w:t>
            </w:r>
          </w:p>
        </w:tc>
        <w:tc>
          <w:tcPr>
            <w:tcW w:w="7266" w:type="dxa"/>
            <w:vAlign w:val="center"/>
          </w:tcPr>
          <w:p>
            <w:pPr>
              <w:adjustRightInd w:val="0"/>
              <w:snapToGrid w:val="0"/>
              <w:spacing w:line="360" w:lineRule="auto"/>
              <w:jc w:val="left"/>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根据投标人针对本项目编制制定的岗位设置、各岗位人数、人员年龄情况进行评议，维序人员年龄不得超过40周岁，其中35周岁以下所占比例不低于55%。优得3分，良得2分，一般得1分。（优：岗位设置、各岗位人数能优于的最低需求、人员年龄结构搭配合理；良：岗位设置、各岗位人数能满足或优于的最低需求、人员年龄结构搭配较合理；一般：岗位设置、各岗位人数能低于的最低需求或人员年龄结构搭配不合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10</w:t>
            </w:r>
          </w:p>
        </w:tc>
        <w:tc>
          <w:tcPr>
            <w:tcW w:w="7266" w:type="dxa"/>
            <w:vAlign w:val="center"/>
          </w:tcPr>
          <w:p>
            <w:pPr>
              <w:adjustRightInd w:val="0"/>
              <w:snapToGrid w:val="0"/>
              <w:spacing w:line="360" w:lineRule="auto"/>
              <w:jc w:val="left"/>
              <w:rPr>
                <w:rFonts w:hint="eastAsia" w:ascii="宋体" w:hAnsi="宋体" w:eastAsia="宋体" w:cs="宋体"/>
                <w:kern w:val="1"/>
                <w:sz w:val="28"/>
                <w:szCs w:val="28"/>
                <w:highlight w:val="none"/>
                <w:lang w:val="en-US" w:eastAsia="zh-CN"/>
              </w:rPr>
            </w:pPr>
            <w:r>
              <w:rPr>
                <w:rFonts w:hint="eastAsia" w:ascii="宋体" w:hAnsi="宋体" w:eastAsia="宋体" w:cs="宋体"/>
                <w:kern w:val="1"/>
                <w:sz w:val="28"/>
                <w:szCs w:val="28"/>
                <w:highlight w:val="none"/>
              </w:rPr>
              <w:t>根据</w:t>
            </w:r>
            <w:r>
              <w:rPr>
                <w:rFonts w:hint="eastAsia" w:ascii="宋体" w:hAnsi="宋体" w:cs="宋体"/>
                <w:kern w:val="1"/>
                <w:sz w:val="28"/>
                <w:szCs w:val="28"/>
                <w:highlight w:val="none"/>
                <w:lang w:val="en-US" w:eastAsia="zh-CN"/>
              </w:rPr>
              <w:t>派遣本</w:t>
            </w:r>
            <w:r>
              <w:rPr>
                <w:rFonts w:hint="eastAsia" w:ascii="宋体" w:hAnsi="宋体" w:eastAsia="宋体" w:cs="宋体"/>
                <w:kern w:val="1"/>
                <w:sz w:val="28"/>
                <w:szCs w:val="28"/>
                <w:highlight w:val="none"/>
              </w:rPr>
              <w:t>项目维序</w:t>
            </w:r>
            <w:r>
              <w:rPr>
                <w:rFonts w:hint="eastAsia" w:ascii="宋体" w:hAnsi="宋体" w:cs="宋体"/>
                <w:kern w:val="1"/>
                <w:sz w:val="28"/>
                <w:szCs w:val="28"/>
                <w:highlight w:val="none"/>
                <w:lang w:val="en-US" w:eastAsia="zh-CN"/>
              </w:rPr>
              <w:t>员</w:t>
            </w:r>
            <w:r>
              <w:rPr>
                <w:rFonts w:hint="eastAsia" w:ascii="宋体" w:hAnsi="宋体" w:eastAsia="宋体" w:cs="宋体"/>
                <w:kern w:val="1"/>
                <w:sz w:val="28"/>
                <w:szCs w:val="28"/>
                <w:highlight w:val="none"/>
              </w:rPr>
              <w:t>的履历情况进行评价（承诺人员须与派遣人员一致）：①具有大专以上（含大专）学历达到30%，同时退役军人员需达到60%，派遣的员工需100%持有保安证，且男性年龄不超过40周岁，需提供本人的身份证及学历、职业证书有效复印件并加盖投标人公章；退伍军人需提供退伍证复印件并加盖投标人公章；②具备3年以上（含3年）住宅项目、写字楼、高校、政府机关、企事业单位物业安防管理从业经验，身体健康、无犯罪记录；③本企业人员，需提供近半年连续三个月的社保缴交证明。以上条件均符合的得2分；</w:t>
            </w:r>
            <w:r>
              <w:rPr>
                <w:rFonts w:hint="eastAsia" w:ascii="宋体" w:hAnsi="宋体" w:eastAsia="宋体" w:cs="宋体"/>
                <w:color w:val="auto"/>
                <w:kern w:val="1"/>
                <w:sz w:val="28"/>
                <w:szCs w:val="28"/>
                <w:highlight w:val="none"/>
              </w:rPr>
              <w:t>如符合条件①得1分，</w:t>
            </w:r>
            <w:r>
              <w:rPr>
                <w:rFonts w:hint="eastAsia" w:ascii="宋体" w:hAnsi="宋体" w:cs="宋体"/>
                <w:color w:val="auto"/>
                <w:kern w:val="1"/>
                <w:sz w:val="28"/>
                <w:szCs w:val="28"/>
                <w:highlight w:val="none"/>
                <w:lang w:val="en-US" w:eastAsia="zh-CN"/>
              </w:rPr>
              <w:t>符合</w:t>
            </w:r>
            <w:r>
              <w:rPr>
                <w:rFonts w:hint="eastAsia" w:ascii="宋体" w:hAnsi="宋体" w:eastAsia="宋体" w:cs="宋体"/>
                <w:color w:val="auto"/>
                <w:kern w:val="1"/>
                <w:sz w:val="28"/>
                <w:szCs w:val="28"/>
                <w:highlight w:val="none"/>
              </w:rPr>
              <w:t>条件②、③</w:t>
            </w:r>
            <w:r>
              <w:rPr>
                <w:rFonts w:hint="eastAsia" w:ascii="宋体" w:hAnsi="宋体" w:cs="宋体"/>
                <w:color w:val="auto"/>
                <w:kern w:val="1"/>
                <w:sz w:val="28"/>
                <w:szCs w:val="28"/>
                <w:highlight w:val="none"/>
                <w:lang w:val="en-US" w:eastAsia="zh-CN"/>
              </w:rPr>
              <w:t>各得0</w:t>
            </w:r>
            <w:r>
              <w:rPr>
                <w:rFonts w:hint="eastAsia" w:ascii="宋体" w:hAnsi="宋体" w:eastAsia="宋体" w:cs="宋体"/>
                <w:color w:val="auto"/>
                <w:kern w:val="1"/>
                <w:sz w:val="28"/>
                <w:szCs w:val="28"/>
                <w:highlight w:val="none"/>
              </w:rPr>
              <w:t>.5分。三个条件都不符合则不得分。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11</w:t>
            </w:r>
          </w:p>
        </w:tc>
        <w:tc>
          <w:tcPr>
            <w:tcW w:w="7266" w:type="dxa"/>
            <w:vAlign w:val="center"/>
          </w:tcPr>
          <w:p>
            <w:pPr>
              <w:adjustRightInd w:val="0"/>
              <w:snapToGrid w:val="0"/>
              <w:spacing w:line="360" w:lineRule="auto"/>
              <w:jc w:val="left"/>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根据投标人对拟投入的服务人员提供的岗前人员培训计划及不定时培训计划方案进行评审，方案合理可行，有利于工作开展的得2分，方案较可行，能够基本满足工作进展需要的得1分，方案较一般，可能影响工作进展的得0.5分，未提供培训计划方案的不得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12</w:t>
            </w:r>
          </w:p>
        </w:tc>
        <w:tc>
          <w:tcPr>
            <w:tcW w:w="7266" w:type="dxa"/>
            <w:vAlign w:val="center"/>
          </w:tcPr>
          <w:p>
            <w:pPr>
              <w:adjustRightInd w:val="0"/>
              <w:snapToGrid w:val="0"/>
              <w:spacing w:line="360" w:lineRule="auto"/>
              <w:jc w:val="left"/>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根据投标人承诺的：拟派的所有维序人员均符合中华人民共和国国务院令第564号《保安服务管理条例》的所有规定，若获得中标资格所有人员均需通过审核同意后方可派驻上岗。显眼岗位（如大门执勤岗和巡逻岗人员）人员，对所派遣人员包括但不限于学历、政治面貌、外形条件等有特殊要求的，中标人应无条件配合要求。完全满足得2分，否则不得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13</w:t>
            </w:r>
          </w:p>
        </w:tc>
        <w:tc>
          <w:tcPr>
            <w:tcW w:w="7266" w:type="dxa"/>
            <w:vAlign w:val="center"/>
          </w:tcPr>
          <w:p>
            <w:pPr>
              <w:adjustRightInd w:val="0"/>
              <w:snapToGrid w:val="0"/>
              <w:spacing w:line="360" w:lineRule="auto"/>
              <w:jc w:val="left"/>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根据各投标人提供的在岗值班制度方案进行评价。方案详细、具体、完整、合理可行、重点突出、可操作性强的得2分；方案较详细具体，具有较强的可操作性，虽有缺漏，但能够把握重点、不影响项目实施的得1分；方案存在缺漏，但基本满足项目实施需要的得0.5分；方案存在缺漏，对项目实施影响较大或者未提供方案的不得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14</w:t>
            </w:r>
          </w:p>
        </w:tc>
        <w:tc>
          <w:tcPr>
            <w:tcW w:w="7266" w:type="dxa"/>
            <w:vAlign w:val="center"/>
          </w:tcPr>
          <w:p>
            <w:pPr>
              <w:adjustRightInd w:val="0"/>
              <w:snapToGrid w:val="0"/>
              <w:spacing w:line="360" w:lineRule="auto"/>
              <w:jc w:val="left"/>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1）根据投标人提供的消（监）控管理方案需包含管理规定及操作流程等，并方便查阅情况进行评价，消（监）控管理方案包含的内容齐全、方案详细、具体重点突出、可操作性强的得2分；监控管理方案较详细、内容较齐全、有重点、可操作性较的得1分；方案存在缺漏，不够详细，但基本满足项目实施需要的得0.5分；方案存在缺漏，对项目实施影响较大或者未提供方案的不得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15</w:t>
            </w:r>
          </w:p>
        </w:tc>
        <w:tc>
          <w:tcPr>
            <w:tcW w:w="7266" w:type="dxa"/>
            <w:vAlign w:val="center"/>
          </w:tcPr>
          <w:p>
            <w:pPr>
              <w:adjustRightInd w:val="0"/>
              <w:snapToGrid w:val="0"/>
              <w:spacing w:line="360" w:lineRule="auto"/>
              <w:jc w:val="left"/>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2）根据投标人提供的监控管理方案中可查阅监控视频的速度进行评价：监控调阅方案可行，且调阅速度（接口头通知起5分钟以内（不含））能够满足快速查阅监控视频的得1分；方案虽可行，但是调阅监控时间相对较长的（接口头通知起5（含）-10（含）分钟）得0.5分；方案存在瑕疵或者调阅监控时间长的（接口头通知起超过10分钟）的均不得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16</w:t>
            </w:r>
          </w:p>
        </w:tc>
        <w:tc>
          <w:tcPr>
            <w:tcW w:w="7266" w:type="dxa"/>
            <w:vAlign w:val="center"/>
          </w:tcPr>
          <w:p>
            <w:pPr>
              <w:adjustRightInd w:val="0"/>
              <w:snapToGrid w:val="0"/>
              <w:spacing w:line="360" w:lineRule="auto"/>
              <w:jc w:val="left"/>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（3）根据项目消（监）控值班员情况进行评价（承诺人员须与派遣人员一致）：监控岗位2名员工必须持有四级消防设施操作员证书</w:t>
            </w:r>
            <w:r>
              <w:rPr>
                <w:rFonts w:hint="eastAsia" w:ascii="宋体" w:hAnsi="宋体" w:cs="宋体"/>
                <w:kern w:val="1"/>
                <w:sz w:val="28"/>
                <w:szCs w:val="28"/>
                <w:highlight w:val="none"/>
                <w:lang w:val="en-US" w:eastAsia="zh-CN"/>
              </w:rPr>
              <w:t>或四级建（构）筑物消防员证</w:t>
            </w:r>
            <w:r>
              <w:rPr>
                <w:rFonts w:hint="eastAsia" w:ascii="宋体" w:hAnsi="宋体" w:eastAsia="宋体" w:cs="宋体"/>
                <w:kern w:val="1"/>
                <w:sz w:val="28"/>
                <w:szCs w:val="28"/>
                <w:highlight w:val="none"/>
              </w:rPr>
              <w:t>共计两本、职业证书有效复印件并加盖投标人公章；满足得1分，否则不得分。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17</w:t>
            </w:r>
          </w:p>
        </w:tc>
        <w:tc>
          <w:tcPr>
            <w:tcW w:w="7266" w:type="dxa"/>
            <w:vAlign w:val="center"/>
          </w:tcPr>
          <w:p>
            <w:pPr>
              <w:adjustRightInd w:val="0"/>
              <w:snapToGrid w:val="0"/>
              <w:spacing w:line="360" w:lineRule="auto"/>
              <w:jc w:val="left"/>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根据投标人提供的进场计划安排与组织实施的情况进行评价，方案详细、具体、完整、合理可行，可操作性强的得2分，方案较为详细具体，具有较强的可操作性，虽有缺漏，但能够把握重点、对项目实施还是有一定促进作用的得1分，方案存在缺漏，但基本满足项目实施需要的得0.5分，方案存在缺漏，对项目实施影响较大的不得分</w:t>
            </w:r>
          </w:p>
        </w:tc>
        <w:tc>
          <w:tcPr>
            <w:tcW w:w="101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2分</w:t>
            </w:r>
          </w:p>
        </w:tc>
      </w:tr>
    </w:tbl>
    <w:p>
      <w:pPr>
        <w:snapToGrid w:val="0"/>
        <w:spacing w:line="360" w:lineRule="auto"/>
        <w:ind w:firstLine="413" w:firstLineChars="147"/>
        <w:rPr>
          <w:rStyle w:val="22"/>
          <w:rFonts w:hint="eastAsia" w:ascii="宋体" w:hAnsi="宋体" w:eastAsia="宋体" w:cs="宋体"/>
          <w:sz w:val="28"/>
          <w:szCs w:val="28"/>
          <w:highlight w:val="none"/>
        </w:rPr>
      </w:pPr>
    </w:p>
    <w:p>
      <w:pPr>
        <w:snapToGrid w:val="0"/>
        <w:spacing w:before="120" w:beforeLines="50" w:after="120" w:afterLines="50" w:line="360" w:lineRule="auto"/>
        <w:ind w:left="-99" w:leftChars="-47" w:right="-78" w:firstLine="275" w:firstLineChars="98"/>
        <w:rPr>
          <w:rFonts w:hint="eastAsia" w:ascii="宋体" w:hAnsi="宋体" w:eastAsia="宋体" w:cs="宋体"/>
          <w:b/>
          <w:sz w:val="28"/>
          <w:szCs w:val="28"/>
          <w:highlight w:val="none"/>
        </w:rPr>
      </w:pPr>
      <w:r>
        <w:rPr>
          <w:rFonts w:hint="eastAsia" w:ascii="宋体" w:hAnsi="宋体" w:eastAsia="宋体" w:cs="宋体"/>
          <w:b/>
          <w:sz w:val="28"/>
          <w:szCs w:val="28"/>
          <w:highlight w:val="none"/>
        </w:rPr>
        <w:t>（2）商务分F2（满分20分）</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356"/>
        <w:gridCol w:w="9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06" w:type="dxa"/>
            <w:vAlign w:val="center"/>
          </w:tcPr>
          <w:p>
            <w:pPr>
              <w:snapToGrid w:val="0"/>
              <w:spacing w:line="360" w:lineRule="auto"/>
              <w:jc w:val="center"/>
              <w:rPr>
                <w:rFonts w:hint="eastAsia" w:ascii="宋体" w:hAnsi="宋体" w:eastAsia="宋体" w:cs="宋体"/>
                <w:b/>
                <w:bCs w:val="0"/>
                <w:kern w:val="10"/>
                <w:sz w:val="28"/>
                <w:szCs w:val="28"/>
                <w:highlight w:val="none"/>
              </w:rPr>
            </w:pPr>
            <w:r>
              <w:rPr>
                <w:rFonts w:hint="eastAsia" w:ascii="宋体" w:hAnsi="宋体" w:eastAsia="宋体" w:cs="宋体"/>
                <w:b/>
                <w:bCs w:val="0"/>
                <w:kern w:val="10"/>
                <w:sz w:val="28"/>
                <w:szCs w:val="28"/>
                <w:highlight w:val="none"/>
              </w:rPr>
              <w:t>序号</w:t>
            </w:r>
          </w:p>
        </w:tc>
        <w:tc>
          <w:tcPr>
            <w:tcW w:w="7356" w:type="dxa"/>
            <w:vAlign w:val="center"/>
          </w:tcPr>
          <w:p>
            <w:pPr>
              <w:snapToGrid w:val="0"/>
              <w:spacing w:line="360" w:lineRule="auto"/>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评分界定</w:t>
            </w:r>
          </w:p>
        </w:tc>
        <w:tc>
          <w:tcPr>
            <w:tcW w:w="993" w:type="dxa"/>
            <w:vAlign w:val="center"/>
          </w:tcPr>
          <w:p>
            <w:pPr>
              <w:snapToGrid w:val="0"/>
              <w:spacing w:line="360" w:lineRule="auto"/>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1</w:t>
            </w:r>
          </w:p>
        </w:tc>
        <w:tc>
          <w:tcPr>
            <w:tcW w:w="7356" w:type="dxa"/>
            <w:vAlign w:val="center"/>
          </w:tcPr>
          <w:p>
            <w:pPr>
              <w:snapToGrid w:val="0"/>
              <w:spacing w:line="360" w:lineRule="auto"/>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投标人具备有效的安保服务企业①ISO9001质量管理体系认证证书；②OHSAS18001或ISO45001职业健康安全管理体系认证证书；③ISO14001环境管理体系认证证书。三项同时满足者得3分；满足任意两项者得2分；仅满足ISO9001质量管理体系认证证书或OHSAS18001职业健康安全管理体系认证证书任意一项者得1分，其他情况不得分。提供相关证书复印件，原件备查。</w:t>
            </w:r>
          </w:p>
        </w:tc>
        <w:tc>
          <w:tcPr>
            <w:tcW w:w="99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2</w:t>
            </w:r>
          </w:p>
        </w:tc>
        <w:tc>
          <w:tcPr>
            <w:tcW w:w="7356" w:type="dxa"/>
            <w:vAlign w:val="center"/>
          </w:tcPr>
          <w:p>
            <w:pPr>
              <w:snapToGrid w:val="0"/>
              <w:spacing w:line="360" w:lineRule="auto"/>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投标人提供第三方机构评定的资信等级评定为AAA级的得1分，其他情况不得分。提供相关证书复印件，原件备查。</w:t>
            </w:r>
          </w:p>
        </w:tc>
        <w:tc>
          <w:tcPr>
            <w:tcW w:w="99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3</w:t>
            </w:r>
          </w:p>
        </w:tc>
        <w:tc>
          <w:tcPr>
            <w:tcW w:w="7356" w:type="dxa"/>
            <w:vAlign w:val="center"/>
          </w:tcPr>
          <w:p>
            <w:pPr>
              <w:snapToGrid w:val="0"/>
              <w:spacing w:line="360" w:lineRule="auto"/>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投标人负责维序队伍培训的教练，形式不仅限于内训以及外部聘请相符资质机构，需要的培训师资资格：①大专及以上学历或持有国家认证的高级保安师证书；②警校或武术学校毕业；③部队退役人员，满足任意两项者得3分；仅满足警校或武术学校毕业或部队退役人员任意一项者得1分，其他情况不得分。提供相关培训的证明文书复印件，原件备查。</w:t>
            </w:r>
          </w:p>
        </w:tc>
        <w:tc>
          <w:tcPr>
            <w:tcW w:w="99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4</w:t>
            </w:r>
          </w:p>
        </w:tc>
        <w:tc>
          <w:tcPr>
            <w:tcW w:w="7356" w:type="dxa"/>
            <w:vAlign w:val="center"/>
          </w:tcPr>
          <w:p>
            <w:pPr>
              <w:snapToGrid w:val="0"/>
              <w:spacing w:line="360" w:lineRule="auto"/>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投标人有加入上海市内市级保安协会会员和曾获得政府机关单位颁发的奖状，满足两项者得3分，任意一项者得1分。提供有效证明资料，原件备查。</w:t>
            </w:r>
          </w:p>
        </w:tc>
        <w:tc>
          <w:tcPr>
            <w:tcW w:w="99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5</w:t>
            </w:r>
          </w:p>
        </w:tc>
        <w:tc>
          <w:tcPr>
            <w:tcW w:w="7356" w:type="dxa"/>
            <w:vAlign w:val="center"/>
          </w:tcPr>
          <w:p>
            <w:pPr>
              <w:autoSpaceDE w:val="0"/>
              <w:autoSpaceDN w:val="0"/>
              <w:snapToGrid w:val="0"/>
              <w:spacing w:line="360" w:lineRule="auto"/>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根据投标人所提供近2020年1月以来（以合同签订时间为准）承接管理物业费单价为4元</w:t>
            </w:r>
            <w:r>
              <w:rPr>
                <w:rFonts w:hint="eastAsia" w:ascii="宋体" w:hAnsi="宋体" w:cs="宋体"/>
                <w:kern w:val="1"/>
                <w:sz w:val="28"/>
                <w:szCs w:val="28"/>
                <w:highlight w:val="none"/>
                <w:lang w:val="en-US" w:eastAsia="zh-CN"/>
              </w:rPr>
              <w:t>及以上</w:t>
            </w:r>
            <w:r>
              <w:rPr>
                <w:rFonts w:hint="eastAsia" w:ascii="宋体" w:hAnsi="宋体" w:eastAsia="宋体" w:cs="宋体"/>
                <w:kern w:val="1"/>
                <w:sz w:val="28"/>
                <w:szCs w:val="28"/>
                <w:highlight w:val="none"/>
              </w:rPr>
              <w:t>的高端住宅项目安保服务项目，由评委进行评议并打分，有提供一份完整资料的得</w:t>
            </w:r>
            <w:r>
              <w:rPr>
                <w:rFonts w:hint="eastAsia" w:ascii="宋体" w:hAnsi="宋体" w:cs="宋体"/>
                <w:kern w:val="1"/>
                <w:sz w:val="28"/>
                <w:szCs w:val="28"/>
                <w:highlight w:val="none"/>
                <w:lang w:val="en-US" w:eastAsia="zh-CN"/>
              </w:rPr>
              <w:t>3</w:t>
            </w:r>
            <w:r>
              <w:rPr>
                <w:rFonts w:hint="eastAsia" w:ascii="宋体" w:hAnsi="宋体" w:eastAsia="宋体" w:cs="宋体"/>
                <w:kern w:val="1"/>
                <w:sz w:val="28"/>
                <w:szCs w:val="28"/>
                <w:highlight w:val="none"/>
              </w:rPr>
              <w:t>分，最高</w:t>
            </w:r>
            <w:r>
              <w:rPr>
                <w:rFonts w:hint="eastAsia" w:ascii="宋体" w:hAnsi="宋体" w:cs="宋体"/>
                <w:kern w:val="1"/>
                <w:sz w:val="28"/>
                <w:szCs w:val="28"/>
                <w:highlight w:val="none"/>
                <w:lang w:val="en-US" w:eastAsia="zh-CN"/>
              </w:rPr>
              <w:t>3</w:t>
            </w:r>
            <w:r>
              <w:rPr>
                <w:rFonts w:hint="eastAsia" w:ascii="宋体" w:hAnsi="宋体" w:eastAsia="宋体" w:cs="宋体"/>
                <w:kern w:val="1"/>
                <w:sz w:val="28"/>
                <w:szCs w:val="28"/>
                <w:highlight w:val="none"/>
              </w:rPr>
              <w:t>分。注：投标人应如实业绩证明文件，每项业绩应同时提供①该业绩的中标（成交）公告（提供相关网站中标（成交）公告的下载网页及其网址）；②中标（成交）通知书复印件； ③采购合同文本复印件； ④投标人有获得过业主单位出具的服务评价</w:t>
            </w:r>
            <w:r>
              <w:rPr>
                <w:rFonts w:hint="eastAsia" w:ascii="宋体" w:hAnsi="宋体" w:cs="宋体"/>
                <w:kern w:val="1"/>
                <w:sz w:val="28"/>
                <w:szCs w:val="28"/>
                <w:highlight w:val="none"/>
                <w:lang w:eastAsia="zh-CN"/>
              </w:rPr>
              <w:t>（</w:t>
            </w:r>
            <w:r>
              <w:rPr>
                <w:rFonts w:hint="eastAsia" w:ascii="宋体" w:hAnsi="宋体" w:cs="宋体"/>
                <w:kern w:val="1"/>
                <w:sz w:val="28"/>
                <w:szCs w:val="28"/>
                <w:highlight w:val="none"/>
                <w:lang w:val="en-US" w:eastAsia="zh-CN"/>
              </w:rPr>
              <w:t>满意或优秀</w:t>
            </w:r>
            <w:r>
              <w:rPr>
                <w:rFonts w:hint="eastAsia" w:ascii="宋体" w:hAnsi="宋体" w:cs="宋体"/>
                <w:kern w:val="1"/>
                <w:sz w:val="28"/>
                <w:szCs w:val="28"/>
                <w:highlight w:val="none"/>
                <w:lang w:eastAsia="zh-CN"/>
              </w:rPr>
              <w:t>）</w:t>
            </w:r>
            <w:r>
              <w:rPr>
                <w:rFonts w:hint="eastAsia" w:ascii="宋体" w:hAnsi="宋体" w:eastAsia="宋体" w:cs="宋体"/>
                <w:kern w:val="1"/>
                <w:sz w:val="28"/>
                <w:szCs w:val="28"/>
                <w:highlight w:val="none"/>
              </w:rPr>
              <w:t>复印件；以上4项资料均需提供，如未按照招标文件要求提供该项业绩完整资料的，评标委员会对该项业绩将不予采信。评委会将保留要求投标人提供原件予以核查的权利。评标过程中如发现填报不实，本项不得分。合同履行过程中发现虚假信息，将取消其中标资格，并追究相应法律责任和相应赔偿。注：与满意度证明材料为同一服务项目的不重复得分。</w:t>
            </w:r>
          </w:p>
        </w:tc>
        <w:tc>
          <w:tcPr>
            <w:tcW w:w="993" w:type="dxa"/>
            <w:vAlign w:val="center"/>
          </w:tcPr>
          <w:p>
            <w:pPr>
              <w:snapToGrid w:val="0"/>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cs="宋体"/>
                <w:color w:val="000000"/>
                <w:sz w:val="28"/>
                <w:szCs w:val="28"/>
                <w:highlight w:val="none"/>
                <w:lang w:val="en-US" w:eastAsia="zh-CN"/>
              </w:rPr>
              <w:t>3</w:t>
            </w:r>
            <w:r>
              <w:rPr>
                <w:rFonts w:hint="eastAsia" w:ascii="宋体" w:hAnsi="宋体" w:eastAsia="宋体" w:cs="宋体"/>
                <w:color w:val="000000"/>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6</w:t>
            </w:r>
          </w:p>
        </w:tc>
        <w:tc>
          <w:tcPr>
            <w:tcW w:w="7356" w:type="dxa"/>
            <w:vAlign w:val="center"/>
          </w:tcPr>
          <w:p>
            <w:pPr>
              <w:snapToGrid w:val="0"/>
              <w:spacing w:line="360" w:lineRule="auto"/>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根据投标人所提供近2020年1月以来由投标人独立承接并已完成或正在履行的保安服务项目获得业主单位满意评价的，每提供一份完整的满意证明材料的得1分，满分2分。注：完整的满意证明材料包括合同文本复印件，以及业主满意度的相关证明文件复印件，所有材料缺一不可且须加盖业主公章，否则不得分。</w:t>
            </w:r>
          </w:p>
        </w:tc>
        <w:tc>
          <w:tcPr>
            <w:tcW w:w="99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kern w:val="1"/>
                <w:sz w:val="28"/>
                <w:szCs w:val="28"/>
                <w:highlight w:val="none"/>
                <w:lang w:eastAsia="zh-CN"/>
              </w:rPr>
            </w:pPr>
            <w:r>
              <w:rPr>
                <w:rFonts w:hint="eastAsia" w:ascii="宋体" w:hAnsi="宋体" w:eastAsia="宋体" w:cs="宋体"/>
                <w:kern w:val="1"/>
                <w:sz w:val="28"/>
                <w:szCs w:val="28"/>
                <w:highlight w:val="none"/>
                <w:lang w:val="en-US" w:eastAsia="zh-CN"/>
              </w:rPr>
              <w:t>7</w:t>
            </w:r>
          </w:p>
        </w:tc>
        <w:tc>
          <w:tcPr>
            <w:tcW w:w="7356" w:type="dxa"/>
            <w:vAlign w:val="center"/>
          </w:tcPr>
          <w:p>
            <w:pPr>
              <w:autoSpaceDE w:val="0"/>
              <w:autoSpaceDN w:val="0"/>
              <w:snapToGrid w:val="0"/>
              <w:spacing w:line="360" w:lineRule="auto"/>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根据投标人承诺的为本项目所有保安员投保意外伤害保险进行评价：保意外伤害保险金额≥80万元，得2分；80万元＞保意外伤害保险金额≥50万元，得1分，其它不得分，需提供承诺函并加盖投标人公章，否则不得分。</w:t>
            </w:r>
          </w:p>
        </w:tc>
        <w:tc>
          <w:tcPr>
            <w:tcW w:w="99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lang w:val="en-US" w:eastAsia="zh-CN"/>
              </w:rPr>
              <w:t>8</w:t>
            </w:r>
          </w:p>
        </w:tc>
        <w:tc>
          <w:tcPr>
            <w:tcW w:w="7356" w:type="dxa"/>
            <w:vAlign w:val="center"/>
          </w:tcPr>
          <w:p>
            <w:pPr>
              <w:autoSpaceDE w:val="0"/>
              <w:autoSpaceDN w:val="0"/>
              <w:snapToGrid w:val="0"/>
              <w:spacing w:line="360" w:lineRule="auto"/>
              <w:rPr>
                <w:rFonts w:hint="eastAsia" w:ascii="宋体" w:hAnsi="宋体" w:cs="宋体"/>
                <w:kern w:val="1"/>
                <w:sz w:val="28"/>
                <w:szCs w:val="28"/>
                <w:highlight w:val="none"/>
                <w:lang w:val="en-US" w:eastAsia="zh-CN"/>
              </w:rPr>
            </w:pPr>
            <w:r>
              <w:rPr>
                <w:rFonts w:hint="eastAsia" w:ascii="宋体" w:hAnsi="宋体" w:eastAsia="宋体" w:cs="宋体"/>
                <w:kern w:val="1"/>
                <w:sz w:val="28"/>
                <w:szCs w:val="28"/>
                <w:highlight w:val="none"/>
              </w:rPr>
              <w:t>投标人承诺：负责维序员培训的岗前培训单位应具有培训资质并取得相关培训证明，持证上岗；</w:t>
            </w:r>
            <w:r>
              <w:rPr>
                <w:rFonts w:hint="eastAsia" w:ascii="宋体" w:hAnsi="宋体" w:cs="宋体"/>
                <w:kern w:val="1"/>
                <w:sz w:val="28"/>
                <w:szCs w:val="28"/>
                <w:highlight w:val="none"/>
                <w:lang w:val="en-US" w:eastAsia="zh-CN"/>
              </w:rPr>
              <w:t>上岗维序</w:t>
            </w:r>
            <w:r>
              <w:rPr>
                <w:rFonts w:hint="eastAsia" w:ascii="宋体" w:hAnsi="宋体" w:eastAsia="宋体" w:cs="宋体"/>
                <w:kern w:val="1"/>
                <w:sz w:val="28"/>
                <w:szCs w:val="28"/>
                <w:highlight w:val="none"/>
              </w:rPr>
              <w:t>员</w:t>
            </w:r>
            <w:r>
              <w:rPr>
                <w:rFonts w:hint="eastAsia" w:ascii="宋体" w:hAnsi="宋体" w:cs="宋体"/>
                <w:kern w:val="1"/>
                <w:sz w:val="28"/>
                <w:szCs w:val="28"/>
                <w:highlight w:val="none"/>
                <w:lang w:val="en-US" w:eastAsia="zh-CN"/>
              </w:rPr>
              <w:t>需</w:t>
            </w:r>
            <w:r>
              <w:rPr>
                <w:rFonts w:hint="eastAsia" w:ascii="宋体" w:hAnsi="宋体" w:eastAsia="宋体" w:cs="宋体"/>
                <w:kern w:val="1"/>
                <w:sz w:val="28"/>
                <w:szCs w:val="28"/>
                <w:highlight w:val="none"/>
              </w:rPr>
              <w:t>身体健康，有三级医院的体检证明，并上交</w:t>
            </w:r>
            <w:r>
              <w:rPr>
                <w:rFonts w:hint="eastAsia" w:ascii="宋体" w:hAnsi="宋体" w:cs="宋体"/>
                <w:kern w:val="1"/>
                <w:sz w:val="28"/>
                <w:szCs w:val="28"/>
                <w:highlight w:val="none"/>
                <w:lang w:val="en-US" w:eastAsia="zh-CN"/>
              </w:rPr>
              <w:t>体检</w:t>
            </w:r>
            <w:r>
              <w:rPr>
                <w:rFonts w:hint="eastAsia" w:ascii="宋体" w:hAnsi="宋体" w:eastAsia="宋体" w:cs="宋体"/>
                <w:kern w:val="1"/>
                <w:sz w:val="28"/>
                <w:szCs w:val="28"/>
                <w:highlight w:val="none"/>
              </w:rPr>
              <w:t>证明复印件；所有</w:t>
            </w:r>
            <w:r>
              <w:rPr>
                <w:rFonts w:hint="eastAsia" w:ascii="宋体" w:hAnsi="宋体" w:cs="宋体"/>
                <w:kern w:val="1"/>
                <w:sz w:val="28"/>
                <w:szCs w:val="28"/>
                <w:highlight w:val="none"/>
                <w:lang w:val="en-US" w:eastAsia="zh-CN"/>
              </w:rPr>
              <w:t>维序</w:t>
            </w:r>
            <w:r>
              <w:rPr>
                <w:rFonts w:hint="eastAsia" w:ascii="宋体" w:hAnsi="宋体" w:eastAsia="宋体" w:cs="宋体"/>
                <w:kern w:val="1"/>
                <w:sz w:val="28"/>
                <w:szCs w:val="28"/>
                <w:highlight w:val="none"/>
              </w:rPr>
              <w:t>员上岗前必须提交身份证复印件，</w:t>
            </w:r>
            <w:r>
              <w:rPr>
                <w:rFonts w:hint="eastAsia" w:ascii="宋体" w:hAnsi="宋体" w:cs="宋体"/>
                <w:kern w:val="1"/>
                <w:sz w:val="28"/>
                <w:szCs w:val="28"/>
                <w:highlight w:val="none"/>
                <w:lang w:val="en-US" w:eastAsia="zh-CN"/>
              </w:rPr>
              <w:t>提供无犯罪记录证明。</w:t>
            </w:r>
          </w:p>
          <w:p>
            <w:pPr>
              <w:autoSpaceDE w:val="0"/>
              <w:autoSpaceDN w:val="0"/>
              <w:snapToGrid w:val="0"/>
              <w:spacing w:line="360" w:lineRule="auto"/>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完全满足得1分，否则不得分。</w:t>
            </w:r>
          </w:p>
        </w:tc>
        <w:tc>
          <w:tcPr>
            <w:tcW w:w="99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default" w:ascii="宋体" w:hAnsi="宋体" w:eastAsia="宋体" w:cs="宋体"/>
                <w:kern w:val="1"/>
                <w:sz w:val="28"/>
                <w:szCs w:val="28"/>
                <w:highlight w:val="none"/>
                <w:lang w:val="en-US" w:eastAsia="zh-CN"/>
              </w:rPr>
            </w:pPr>
            <w:r>
              <w:rPr>
                <w:rFonts w:hint="eastAsia" w:ascii="宋体" w:hAnsi="宋体" w:cs="宋体"/>
                <w:kern w:val="1"/>
                <w:sz w:val="28"/>
                <w:szCs w:val="28"/>
                <w:highlight w:val="none"/>
                <w:lang w:val="en-US" w:eastAsia="zh-CN"/>
              </w:rPr>
              <w:t>9</w:t>
            </w:r>
          </w:p>
        </w:tc>
        <w:tc>
          <w:tcPr>
            <w:tcW w:w="7356" w:type="dxa"/>
            <w:vAlign w:val="center"/>
          </w:tcPr>
          <w:p>
            <w:pPr>
              <w:autoSpaceDE w:val="0"/>
              <w:autoSpaceDN w:val="0"/>
              <w:snapToGrid w:val="0"/>
              <w:spacing w:line="360" w:lineRule="auto"/>
              <w:rPr>
                <w:rFonts w:hint="default" w:ascii="宋体" w:hAnsi="宋体" w:eastAsia="宋体" w:cs="宋体"/>
                <w:kern w:val="1"/>
                <w:sz w:val="28"/>
                <w:szCs w:val="28"/>
                <w:highlight w:val="none"/>
                <w:lang w:val="en-US" w:eastAsia="zh-CN"/>
              </w:rPr>
            </w:pPr>
            <w:r>
              <w:rPr>
                <w:rFonts w:hint="eastAsia" w:ascii="宋体" w:hAnsi="宋体" w:cs="宋体"/>
                <w:sz w:val="28"/>
                <w:szCs w:val="28"/>
                <w:highlight w:val="none"/>
                <w:lang w:val="en-US" w:eastAsia="zh-CN"/>
              </w:rPr>
              <w:t>根据</w:t>
            </w:r>
            <w:r>
              <w:rPr>
                <w:rFonts w:hint="eastAsia" w:ascii="宋体" w:hAnsi="宋体" w:eastAsia="宋体" w:cs="宋体"/>
                <w:sz w:val="28"/>
                <w:szCs w:val="28"/>
                <w:highlight w:val="none"/>
              </w:rPr>
              <w:t>投标人投入使用安保相关管理信息系统的</w:t>
            </w:r>
            <w:r>
              <w:rPr>
                <w:rFonts w:hint="eastAsia" w:ascii="宋体" w:hAnsi="宋体" w:cs="宋体"/>
                <w:sz w:val="28"/>
                <w:szCs w:val="28"/>
                <w:highlight w:val="none"/>
                <w:lang w:val="en-US" w:eastAsia="zh-CN"/>
              </w:rPr>
              <w:t>情况进行评价：</w:t>
            </w:r>
            <w:r>
              <w:rPr>
                <w:rFonts w:hint="eastAsia" w:ascii="宋体" w:hAnsi="宋体" w:eastAsia="宋体" w:cs="宋体"/>
                <w:sz w:val="28"/>
                <w:szCs w:val="28"/>
                <w:highlight w:val="none"/>
              </w:rPr>
              <w:t>提供</w:t>
            </w:r>
            <w:r>
              <w:rPr>
                <w:rFonts w:hint="eastAsia" w:ascii="宋体" w:hAnsi="宋体" w:cs="宋体"/>
                <w:sz w:val="28"/>
                <w:szCs w:val="28"/>
                <w:highlight w:val="none"/>
                <w:lang w:val="en-US" w:eastAsia="zh-CN"/>
              </w:rPr>
              <w:t>投入</w:t>
            </w:r>
            <w:r>
              <w:rPr>
                <w:rFonts w:hint="eastAsia" w:ascii="宋体" w:hAnsi="宋体" w:eastAsia="宋体" w:cs="宋体"/>
                <w:sz w:val="28"/>
                <w:szCs w:val="28"/>
                <w:highlight w:val="none"/>
              </w:rPr>
              <w:t>系统软件著作权登记证书复印件</w:t>
            </w:r>
            <w:r>
              <w:rPr>
                <w:rFonts w:hint="eastAsia" w:ascii="宋体" w:hAnsi="宋体" w:cs="宋体"/>
                <w:sz w:val="28"/>
                <w:szCs w:val="28"/>
                <w:highlight w:val="none"/>
                <w:lang w:val="en-US" w:eastAsia="zh-CN"/>
              </w:rPr>
              <w:t>的得1分，</w:t>
            </w:r>
            <w:r>
              <w:rPr>
                <w:rFonts w:hint="eastAsia" w:ascii="宋体" w:hAnsi="宋体" w:eastAsia="宋体" w:cs="宋体"/>
                <w:kern w:val="1"/>
                <w:sz w:val="28"/>
                <w:szCs w:val="28"/>
                <w:highlight w:val="none"/>
              </w:rPr>
              <w:t>否则不得分。</w:t>
            </w:r>
          </w:p>
        </w:tc>
        <w:tc>
          <w:tcPr>
            <w:tcW w:w="99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default" w:ascii="宋体" w:hAnsi="宋体" w:eastAsia="宋体" w:cs="宋体"/>
                <w:kern w:val="1"/>
                <w:sz w:val="28"/>
                <w:szCs w:val="28"/>
                <w:highlight w:val="none"/>
                <w:lang w:val="en-US" w:eastAsia="zh-CN"/>
              </w:rPr>
            </w:pPr>
            <w:r>
              <w:rPr>
                <w:rFonts w:hint="eastAsia" w:ascii="宋体" w:hAnsi="宋体" w:cs="宋体"/>
                <w:kern w:val="1"/>
                <w:sz w:val="28"/>
                <w:szCs w:val="28"/>
                <w:highlight w:val="none"/>
                <w:lang w:val="en-US" w:eastAsia="zh-CN"/>
              </w:rPr>
              <w:t>10</w:t>
            </w:r>
          </w:p>
        </w:tc>
        <w:tc>
          <w:tcPr>
            <w:tcW w:w="7356" w:type="dxa"/>
            <w:vAlign w:val="center"/>
          </w:tcPr>
          <w:p>
            <w:pPr>
              <w:autoSpaceDE w:val="0"/>
              <w:autoSpaceDN w:val="0"/>
              <w:snapToGrid w:val="0"/>
              <w:spacing w:line="360" w:lineRule="auto"/>
              <w:rPr>
                <w:rFonts w:hint="eastAsia" w:ascii="宋体" w:hAnsi="宋体" w:eastAsia="宋体" w:cs="宋体"/>
                <w:kern w:val="1"/>
                <w:sz w:val="28"/>
                <w:szCs w:val="28"/>
                <w:highlight w:val="none"/>
              </w:rPr>
            </w:pPr>
            <w:r>
              <w:rPr>
                <w:rFonts w:hint="eastAsia" w:ascii="宋体" w:hAnsi="宋体" w:eastAsia="宋体" w:cs="宋体"/>
                <w:kern w:val="1"/>
                <w:sz w:val="28"/>
                <w:szCs w:val="28"/>
                <w:highlight w:val="none"/>
              </w:rPr>
              <w:t>投标文件的资料提交完整度、编排水平以及链接情况：投标文件完全按照评分办法及系统编制要求逐一进行响应，便于评标委员会进行评审的得1分，编排混乱、内容缺失或难以一一对应的不得分。</w:t>
            </w:r>
          </w:p>
        </w:tc>
        <w:tc>
          <w:tcPr>
            <w:tcW w:w="993" w:type="dxa"/>
            <w:vAlign w:val="center"/>
          </w:tcPr>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满分</w:t>
            </w:r>
          </w:p>
          <w:p>
            <w:pPr>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1分</w:t>
            </w:r>
          </w:p>
        </w:tc>
      </w:tr>
    </w:tbl>
    <w:p>
      <w:pPr>
        <w:spacing w:before="120" w:beforeLines="50"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（3）价格分F3（满分</w:t>
      </w:r>
      <w:r>
        <w:rPr>
          <w:rFonts w:hint="eastAsia" w:ascii="宋体" w:hAnsi="宋体" w:eastAsia="宋体" w:cs="宋体"/>
          <w:sz w:val="28"/>
          <w:szCs w:val="28"/>
          <w:highlight w:val="none"/>
        </w:rPr>
        <w:t>40</w:t>
      </w:r>
      <w:r>
        <w:rPr>
          <w:rFonts w:hint="eastAsia" w:ascii="宋体" w:hAnsi="宋体" w:eastAsia="宋体" w:cs="宋体"/>
          <w:b/>
          <w:sz w:val="28"/>
          <w:szCs w:val="28"/>
          <w:highlight w:val="none"/>
        </w:rPr>
        <w:t>分）</w:t>
      </w:r>
    </w:p>
    <w:p>
      <w:pPr>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评标基准价计算方法采用低价优先法，即满足招标文件要求且评标价最低的评标价作为评标基准价，其价格分为满分。其他投标人价格分按下列公式计算：</w:t>
      </w:r>
    </w:p>
    <w:p>
      <w:pPr>
        <w:spacing w:line="360" w:lineRule="auto"/>
        <w:ind w:firstLine="275" w:firstLineChars="98"/>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价格分=评标基准价/投标人的评标价×40</w:t>
      </w:r>
    </w:p>
    <w:p>
      <w:pPr>
        <w:spacing w:line="360" w:lineRule="auto"/>
        <w:ind w:firstLine="274" w:firstLineChars="98"/>
        <w:rPr>
          <w:rFonts w:hint="eastAsia" w:ascii="宋体" w:hAnsi="宋体" w:eastAsia="宋体" w:cs="宋体"/>
          <w:sz w:val="28"/>
          <w:szCs w:val="28"/>
          <w:highlight w:val="none"/>
        </w:rPr>
      </w:pPr>
      <w:r>
        <w:rPr>
          <w:rFonts w:hint="eastAsia" w:ascii="宋体" w:hAnsi="宋体" w:eastAsia="宋体" w:cs="宋体"/>
          <w:sz w:val="28"/>
          <w:szCs w:val="28"/>
          <w:highlight w:val="none"/>
        </w:rPr>
        <w:t>注：如投标人的投标报价存在漏（缺）项的，按废标处理。</w:t>
      </w:r>
    </w:p>
    <w:p>
      <w:pPr>
        <w:spacing w:line="360" w:lineRule="auto"/>
        <w:ind w:firstLine="274" w:firstLineChars="98"/>
        <w:rPr>
          <w:rFonts w:hint="eastAsia" w:ascii="宋体" w:hAnsi="宋体" w:eastAsia="宋体" w:cs="宋体"/>
          <w:sz w:val="28"/>
          <w:szCs w:val="28"/>
          <w:highlight w:val="none"/>
        </w:rPr>
      </w:pPr>
      <w:r>
        <w:rPr>
          <w:rFonts w:hint="eastAsia" w:ascii="宋体" w:hAnsi="宋体" w:eastAsia="宋体" w:cs="宋体"/>
          <w:sz w:val="28"/>
          <w:szCs w:val="28"/>
          <w:highlight w:val="none"/>
        </w:rPr>
        <w:t>（由评标委员会当场统一计算）。</w:t>
      </w:r>
    </w:p>
    <w:p>
      <w:pPr>
        <w:spacing w:line="360" w:lineRule="auto"/>
        <w:ind w:firstLine="281" w:firstLineChars="100"/>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（4）各初审合格投标人综合得分= F1＋F2＋F3 </w:t>
      </w:r>
    </w:p>
    <w:p>
      <w:pPr>
        <w:spacing w:line="360" w:lineRule="auto"/>
        <w:ind w:firstLine="280" w:firstLineChars="100"/>
        <w:rPr>
          <w:rFonts w:hint="eastAsia" w:ascii="宋体" w:hAnsi="宋体" w:eastAsia="宋体" w:cs="宋体"/>
          <w:color w:val="000000"/>
          <w:sz w:val="28"/>
          <w:szCs w:val="28"/>
          <w:highlight w:val="none"/>
        </w:rPr>
      </w:pPr>
      <w:r>
        <w:rPr>
          <w:rFonts w:hint="eastAsia" w:ascii="宋体" w:hAnsi="宋体" w:eastAsia="宋体" w:cs="宋体"/>
          <w:sz w:val="28"/>
          <w:szCs w:val="28"/>
          <w:highlight w:val="none"/>
        </w:rPr>
        <w:t>说明：计算技术汇总得分、商务汇总得分及价格分时，经四舍五入后保留三位小数，计算投标人综合得分时，经四舍五入后保留两位小数。</w:t>
      </w:r>
    </w:p>
    <w:p>
      <w:pPr>
        <w:spacing w:line="360" w:lineRule="auto"/>
        <w:ind w:firstLine="413" w:firstLineChars="147"/>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18.2 推荐中标候选人原则</w:t>
      </w:r>
    </w:p>
    <w:p>
      <w:pPr>
        <w:shd w:val="clear" w:color="auto" w:fill="FFFFFF"/>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18.2.1 排名及排名规则：评标委员会根据以下原则对初审合格的投标人进行排名：</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（1）综合得分高者排名在前，即：综合得分最高者排名第一，综合得分次高者排名第二，以此类推。</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（2）综合得分相同时，投标报价低者排名在前；</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（3）综合得分相同且投标报价相同时，技术分得分高者（即F1得分高者）排名在前；</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（4）以上办法都不能确定排名时，评标委员会根据有利于项目实施的原则确定排名。</w:t>
      </w:r>
    </w:p>
    <w:p>
      <w:pPr>
        <w:shd w:val="clear" w:color="auto" w:fill="FFFFFF"/>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sz w:val="28"/>
          <w:szCs w:val="28"/>
          <w:highlight w:val="none"/>
        </w:rPr>
        <w:t>18.2.2推荐中标候选人：评标委员会将按比较与评价最优先原则，推荐出中标候选单位，其余的合格投标单位为备选供应商。</w:t>
      </w:r>
    </w:p>
    <w:bookmarkEnd w:id="320"/>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18.3.定标准则</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18.3.1 招标人将按照评标报告中推荐的中标候选人顺序确定拟中标人。</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18.3.2 招标人将审查拟中标人的投标人资格、信誉、生产条件、产品技术状态、性能以及其它投标人认为有必要了解的问题。</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18.3.3 如果确定拟中标人无能力履行合同，其投标将被拒绝，招标人将对下一个可能中标的投标人做类似审查。</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18.3.4 接受审查的拟中标人必须如实回答询问或接受招标人的考察，并提供所需的有关资料。</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18.3.5 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321" w:name="_Toc191892321"/>
      <w:bookmarkStart w:id="322" w:name="_Toc31244"/>
      <w:bookmarkStart w:id="323" w:name="_Toc26943"/>
      <w:bookmarkStart w:id="324" w:name="_Toc6657"/>
      <w:bookmarkStart w:id="325" w:name="_Toc9539"/>
      <w:bookmarkStart w:id="326" w:name="_Toc23720"/>
      <w:bookmarkStart w:id="327" w:name="_Toc22859"/>
      <w:bookmarkStart w:id="328" w:name="_Toc20247"/>
      <w:bookmarkStart w:id="329" w:name="_Toc26303"/>
      <w:bookmarkStart w:id="330" w:name="_Toc192925669"/>
      <w:bookmarkStart w:id="331" w:name="_Toc11932"/>
      <w:r>
        <w:rPr>
          <w:rFonts w:hint="eastAsia" w:ascii="宋体" w:hAnsi="宋体" w:eastAsia="宋体" w:cs="宋体"/>
          <w:sz w:val="28"/>
          <w:szCs w:val="28"/>
          <w:highlight w:val="none"/>
        </w:rPr>
        <w:t>19. 投标文件的澄清</w:t>
      </w:r>
      <w:bookmarkEnd w:id="321"/>
      <w:bookmarkEnd w:id="322"/>
      <w:bookmarkEnd w:id="323"/>
      <w:bookmarkEnd w:id="324"/>
      <w:bookmarkEnd w:id="325"/>
      <w:bookmarkEnd w:id="326"/>
      <w:bookmarkEnd w:id="327"/>
      <w:bookmarkEnd w:id="328"/>
      <w:bookmarkEnd w:id="329"/>
      <w:bookmarkEnd w:id="330"/>
      <w:bookmarkEnd w:id="331"/>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332" w:name="_Toc23086"/>
      <w:bookmarkStart w:id="333" w:name="_Toc14195"/>
      <w:bookmarkStart w:id="334" w:name="_Toc1874"/>
      <w:bookmarkStart w:id="335" w:name="_Toc22650"/>
      <w:bookmarkStart w:id="336" w:name="_Toc192925670"/>
      <w:bookmarkStart w:id="337" w:name="_Toc3267"/>
      <w:bookmarkStart w:id="338" w:name="_Toc28361"/>
      <w:bookmarkStart w:id="339" w:name="_Toc28136"/>
      <w:bookmarkStart w:id="340" w:name="_Toc7648"/>
      <w:bookmarkStart w:id="341" w:name="_Toc26807"/>
      <w:bookmarkStart w:id="342" w:name="_Toc191892322"/>
      <w:r>
        <w:rPr>
          <w:rFonts w:hint="eastAsia" w:ascii="宋体" w:hAnsi="宋体" w:eastAsia="宋体" w:cs="宋体"/>
          <w:sz w:val="28"/>
          <w:szCs w:val="28"/>
          <w:highlight w:val="none"/>
        </w:rPr>
        <w:t>20. 比较与评价</w:t>
      </w:r>
      <w:bookmarkEnd w:id="332"/>
      <w:bookmarkEnd w:id="333"/>
      <w:bookmarkEnd w:id="334"/>
      <w:bookmarkEnd w:id="335"/>
      <w:bookmarkEnd w:id="336"/>
      <w:bookmarkEnd w:id="337"/>
      <w:bookmarkEnd w:id="338"/>
      <w:bookmarkEnd w:id="339"/>
      <w:bookmarkEnd w:id="340"/>
      <w:bookmarkEnd w:id="341"/>
      <w:bookmarkEnd w:id="342"/>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20.1 评标委员会将根据评标方法与标准，对资格性检查和符合性检查合格的投标文件，进行商务和技术评估，综合比较与评价。  </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20.4 评标委员会将按比较与评价最优在先原则，排列评价顺序，根据在投标人须知前附表中确定的中标候选人数量，推荐出中标候选人。</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360" w:lineRule="auto"/>
        <w:ind w:firstLine="314"/>
        <w:rPr>
          <w:rFonts w:hint="eastAsia" w:ascii="宋体" w:hAnsi="宋体" w:eastAsia="宋体" w:cs="宋体"/>
          <w:sz w:val="28"/>
          <w:szCs w:val="28"/>
          <w:highlight w:val="none"/>
        </w:rPr>
      </w:pPr>
      <w:bookmarkStart w:id="343" w:name="_Toc15898"/>
      <w:bookmarkStart w:id="344" w:name="_Toc27987"/>
      <w:bookmarkStart w:id="345" w:name="_Toc16654"/>
      <w:bookmarkStart w:id="346" w:name="_Toc9679"/>
      <w:bookmarkStart w:id="347" w:name="_Toc14843"/>
      <w:bookmarkStart w:id="348" w:name="_Toc15282"/>
      <w:bookmarkStart w:id="349" w:name="_Toc192925671"/>
      <w:bookmarkStart w:id="350" w:name="_Toc21060"/>
      <w:bookmarkStart w:id="351" w:name="_Toc191892323"/>
      <w:bookmarkStart w:id="352" w:name="_Toc18644"/>
      <w:bookmarkStart w:id="353" w:name="_Toc303"/>
    </w:p>
    <w:p>
      <w:pPr>
        <w:pStyle w:val="3"/>
        <w:keepNext w:val="0"/>
        <w:keepLines w:val="0"/>
        <w:spacing w:before="0" w:after="0" w:line="360" w:lineRule="auto"/>
        <w:ind w:firstLine="314"/>
        <w:rPr>
          <w:rFonts w:hint="eastAsia" w:ascii="宋体" w:hAnsi="宋体" w:eastAsia="宋体" w:cs="宋体"/>
          <w:sz w:val="28"/>
          <w:szCs w:val="28"/>
          <w:highlight w:val="none"/>
        </w:rPr>
      </w:pPr>
      <w:r>
        <w:rPr>
          <w:rFonts w:hint="eastAsia" w:ascii="宋体" w:hAnsi="宋体" w:eastAsia="宋体" w:cs="宋体"/>
          <w:sz w:val="28"/>
          <w:szCs w:val="28"/>
          <w:highlight w:val="none"/>
        </w:rPr>
        <w:t>第六节 定标与签订合同</w:t>
      </w:r>
      <w:bookmarkEnd w:id="343"/>
      <w:bookmarkEnd w:id="344"/>
      <w:bookmarkEnd w:id="345"/>
      <w:bookmarkEnd w:id="346"/>
      <w:bookmarkEnd w:id="347"/>
      <w:bookmarkEnd w:id="348"/>
      <w:bookmarkEnd w:id="349"/>
      <w:bookmarkEnd w:id="350"/>
      <w:bookmarkEnd w:id="351"/>
      <w:bookmarkEnd w:id="352"/>
      <w:bookmarkEnd w:id="353"/>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354" w:name="_Toc191892324"/>
      <w:bookmarkStart w:id="355" w:name="_Toc4963"/>
      <w:bookmarkStart w:id="356" w:name="_Toc18570"/>
      <w:bookmarkStart w:id="357" w:name="_Toc192925672"/>
      <w:bookmarkStart w:id="358" w:name="_Toc24016"/>
      <w:bookmarkStart w:id="359" w:name="_Toc13260"/>
      <w:bookmarkStart w:id="360" w:name="_Toc14686"/>
      <w:bookmarkStart w:id="361" w:name="_Toc20961"/>
      <w:bookmarkStart w:id="362" w:name="_Toc27640"/>
      <w:bookmarkStart w:id="363" w:name="_Toc9667"/>
      <w:bookmarkStart w:id="364" w:name="_Toc6057"/>
      <w:r>
        <w:rPr>
          <w:rFonts w:hint="eastAsia" w:ascii="宋体" w:hAnsi="宋体" w:eastAsia="宋体" w:cs="宋体"/>
          <w:sz w:val="28"/>
          <w:szCs w:val="28"/>
          <w:highlight w:val="none"/>
        </w:rPr>
        <w:t>21. 定标准则</w:t>
      </w:r>
      <w:bookmarkEnd w:id="354"/>
      <w:bookmarkEnd w:id="355"/>
      <w:bookmarkEnd w:id="356"/>
      <w:bookmarkEnd w:id="357"/>
      <w:bookmarkEnd w:id="358"/>
      <w:bookmarkEnd w:id="359"/>
      <w:bookmarkEnd w:id="360"/>
      <w:bookmarkEnd w:id="361"/>
      <w:bookmarkEnd w:id="362"/>
      <w:bookmarkEnd w:id="363"/>
      <w:bookmarkEnd w:id="364"/>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投标人的投标文件符合招标文件要求，按招标文件确定评标标准、方法，经评委评审并推荐中标候选人。</w:t>
      </w:r>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365" w:name="_Toc14214"/>
      <w:bookmarkStart w:id="366" w:name="_Toc7328"/>
      <w:bookmarkStart w:id="367" w:name="_Toc21152"/>
      <w:bookmarkStart w:id="368" w:name="_Toc28902"/>
      <w:bookmarkStart w:id="369" w:name="_Toc15175"/>
      <w:bookmarkStart w:id="370" w:name="_Toc23960"/>
      <w:bookmarkStart w:id="371" w:name="_Toc4418"/>
      <w:bookmarkStart w:id="372" w:name="_Toc191892325"/>
      <w:bookmarkStart w:id="373" w:name="_Toc28332"/>
      <w:bookmarkStart w:id="374" w:name="_Toc29968"/>
      <w:bookmarkStart w:id="375" w:name="_Toc192925673"/>
      <w:r>
        <w:rPr>
          <w:rFonts w:hint="eastAsia" w:ascii="宋体" w:hAnsi="宋体" w:eastAsia="宋体" w:cs="宋体"/>
          <w:sz w:val="28"/>
          <w:szCs w:val="28"/>
          <w:highlight w:val="none"/>
        </w:rPr>
        <w:t>22. 中标通知</w:t>
      </w:r>
      <w:bookmarkEnd w:id="365"/>
      <w:bookmarkEnd w:id="366"/>
      <w:bookmarkEnd w:id="367"/>
      <w:bookmarkEnd w:id="368"/>
      <w:bookmarkEnd w:id="369"/>
      <w:bookmarkEnd w:id="370"/>
      <w:bookmarkEnd w:id="371"/>
      <w:bookmarkEnd w:id="372"/>
      <w:bookmarkEnd w:id="373"/>
      <w:bookmarkEnd w:id="374"/>
      <w:bookmarkEnd w:id="375"/>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22.1 评标结束后，评标结果经招标人流程确认后，招标人将向中标人发出中标通知书。中标通知书对招标人和中标人具有同等法律效力。中标通知书发出后，中标人放弃中标，应承担相应的法律责任。</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22.2 招标人将向中标单位发出《中标通知书》，没有中标的其他投标人不另行通知。</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22.3《中标通知书》将作为签订采购合同的依据。采购合同签订后，《中标通知书》成为合同的一部分。</w:t>
      </w:r>
    </w:p>
    <w:p>
      <w:pPr>
        <w:pStyle w:val="4"/>
        <w:keepNext w:val="0"/>
        <w:keepLines w:val="0"/>
        <w:spacing w:before="0" w:after="0" w:line="360" w:lineRule="auto"/>
        <w:ind w:firstLine="562" w:firstLineChars="200"/>
        <w:rPr>
          <w:rFonts w:hint="eastAsia" w:ascii="宋体" w:hAnsi="宋体" w:eastAsia="宋体" w:cs="宋体"/>
          <w:sz w:val="28"/>
          <w:szCs w:val="28"/>
          <w:highlight w:val="none"/>
        </w:rPr>
      </w:pPr>
      <w:bookmarkStart w:id="376" w:name="_Toc191892326"/>
      <w:bookmarkStart w:id="377" w:name="_Toc17153"/>
      <w:bookmarkStart w:id="378" w:name="_Toc20773"/>
      <w:bookmarkStart w:id="379" w:name="_Toc13402"/>
      <w:bookmarkStart w:id="380" w:name="_Toc10131"/>
      <w:bookmarkStart w:id="381" w:name="_Toc11987"/>
      <w:bookmarkStart w:id="382" w:name="_Toc22516"/>
      <w:bookmarkStart w:id="383" w:name="_Toc1530"/>
      <w:bookmarkStart w:id="384" w:name="_Toc13433"/>
      <w:bookmarkStart w:id="385" w:name="_Toc26788"/>
      <w:bookmarkStart w:id="386" w:name="_Toc192925674"/>
      <w:r>
        <w:rPr>
          <w:rFonts w:hint="eastAsia" w:ascii="宋体" w:hAnsi="宋体" w:eastAsia="宋体" w:cs="宋体"/>
          <w:sz w:val="28"/>
          <w:szCs w:val="28"/>
          <w:highlight w:val="none"/>
        </w:rPr>
        <w:t>23. 签订合同</w:t>
      </w:r>
      <w:bookmarkEnd w:id="376"/>
      <w:bookmarkEnd w:id="377"/>
      <w:bookmarkEnd w:id="378"/>
      <w:bookmarkEnd w:id="379"/>
      <w:bookmarkEnd w:id="380"/>
      <w:bookmarkEnd w:id="381"/>
      <w:bookmarkEnd w:id="382"/>
      <w:bookmarkEnd w:id="383"/>
      <w:bookmarkEnd w:id="384"/>
      <w:bookmarkEnd w:id="385"/>
      <w:bookmarkEnd w:id="386"/>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23.1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23.2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23.3中标人因不可抗力或者自身原因不能履行采购合同的，招标人将与排位在中标人之后第一位的中标候选人签订采购合同，以此类推。</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hint="eastAsia" w:ascii="宋体" w:hAnsi="宋体" w:eastAsia="宋体" w:cs="宋体"/>
          <w:sz w:val="28"/>
          <w:szCs w:val="28"/>
          <w:highlight w:val="none"/>
        </w:rPr>
      </w:pPr>
    </w:p>
    <w:p>
      <w:pPr>
        <w:pStyle w:val="2"/>
        <w:keepNext w:val="0"/>
        <w:keepLines w:val="0"/>
        <w:spacing w:before="0" w:after="0" w:line="360" w:lineRule="auto"/>
        <w:ind w:firstLine="314"/>
        <w:jc w:val="center"/>
        <w:rPr>
          <w:rFonts w:hint="eastAsia" w:ascii="宋体" w:hAnsi="宋体" w:eastAsia="宋体" w:cs="宋体"/>
          <w:sz w:val="32"/>
          <w:szCs w:val="32"/>
          <w:highlight w:val="none"/>
        </w:rPr>
      </w:pPr>
      <w:bookmarkStart w:id="387" w:name="_Toc18849"/>
      <w:bookmarkStart w:id="388" w:name="_Toc10075"/>
      <w:bookmarkStart w:id="389" w:name="_Toc11485"/>
      <w:bookmarkStart w:id="390" w:name="_Toc16262"/>
      <w:bookmarkStart w:id="391" w:name="_Toc15750"/>
      <w:bookmarkStart w:id="392" w:name="_Toc12474"/>
      <w:bookmarkStart w:id="393" w:name="_Toc23130"/>
      <w:bookmarkStart w:id="394" w:name="_Toc4366"/>
      <w:bookmarkStart w:id="395" w:name="_Toc26713"/>
      <w:r>
        <w:rPr>
          <w:rFonts w:hint="eastAsia" w:ascii="宋体" w:hAnsi="宋体" w:eastAsia="宋体" w:cs="宋体"/>
          <w:sz w:val="32"/>
          <w:szCs w:val="32"/>
          <w:highlight w:val="none"/>
        </w:rPr>
        <w:t>第三章　招标内容及要求</w:t>
      </w:r>
      <w:bookmarkEnd w:id="387"/>
      <w:bookmarkEnd w:id="388"/>
      <w:bookmarkEnd w:id="389"/>
      <w:bookmarkEnd w:id="390"/>
      <w:bookmarkEnd w:id="391"/>
      <w:bookmarkEnd w:id="392"/>
      <w:bookmarkEnd w:id="393"/>
      <w:bookmarkEnd w:id="394"/>
      <w:bookmarkEnd w:id="395"/>
    </w:p>
    <w:p>
      <w:pPr>
        <w:pStyle w:val="3"/>
        <w:keepNext w:val="0"/>
        <w:keepLines w:val="0"/>
        <w:spacing w:before="0" w:after="0" w:line="360" w:lineRule="auto"/>
        <w:ind w:firstLine="314"/>
        <w:jc w:val="left"/>
        <w:rPr>
          <w:rFonts w:hint="eastAsia" w:ascii="宋体" w:hAnsi="宋体" w:eastAsia="宋体" w:cs="宋体"/>
          <w:sz w:val="28"/>
          <w:szCs w:val="28"/>
          <w:highlight w:val="none"/>
        </w:rPr>
      </w:pPr>
      <w:bookmarkStart w:id="396" w:name="_Toc29999"/>
      <w:bookmarkStart w:id="397" w:name="_Toc11204"/>
      <w:bookmarkStart w:id="398" w:name="_Toc7158"/>
      <w:bookmarkStart w:id="399" w:name="_Toc18457"/>
      <w:bookmarkStart w:id="400" w:name="_Toc27727"/>
      <w:bookmarkStart w:id="401" w:name="_Toc27998"/>
      <w:bookmarkStart w:id="402" w:name="_Toc20777"/>
      <w:bookmarkStart w:id="403" w:name="_Toc23820"/>
      <w:bookmarkStart w:id="404" w:name="_Toc32677"/>
      <w:r>
        <w:rPr>
          <w:rFonts w:hint="eastAsia" w:ascii="宋体" w:hAnsi="宋体" w:eastAsia="宋体" w:cs="宋体"/>
          <w:sz w:val="28"/>
          <w:szCs w:val="28"/>
          <w:highlight w:val="none"/>
        </w:rPr>
        <w:t>第一节 招标项目需求</w:t>
      </w:r>
      <w:bookmarkEnd w:id="396"/>
      <w:bookmarkEnd w:id="397"/>
      <w:bookmarkEnd w:id="398"/>
      <w:bookmarkEnd w:id="399"/>
      <w:bookmarkEnd w:id="400"/>
      <w:bookmarkEnd w:id="401"/>
      <w:bookmarkEnd w:id="402"/>
      <w:bookmarkEnd w:id="403"/>
      <w:bookmarkEnd w:id="404"/>
    </w:p>
    <w:p>
      <w:pPr>
        <w:spacing w:line="360" w:lineRule="auto"/>
        <w:ind w:firstLine="562" w:firstLineChars="200"/>
        <w:rPr>
          <w:rFonts w:hint="eastAsia" w:ascii="宋体" w:hAnsi="宋体" w:eastAsia="宋体" w:cs="宋体"/>
          <w:b/>
          <w:sz w:val="28"/>
          <w:szCs w:val="28"/>
          <w:highlight w:val="none"/>
        </w:rPr>
      </w:pPr>
      <w:bookmarkStart w:id="405" w:name="_bookmark18"/>
      <w:bookmarkEnd w:id="405"/>
      <w:r>
        <w:rPr>
          <w:rFonts w:hint="eastAsia" w:ascii="宋体" w:hAnsi="宋体" w:eastAsia="宋体" w:cs="宋体"/>
          <w:b/>
          <w:sz w:val="28"/>
          <w:szCs w:val="28"/>
          <w:highlight w:val="none"/>
        </w:rPr>
        <w:t>一、招标项目基本情况概述</w:t>
      </w:r>
    </w:p>
    <w:p>
      <w:pPr>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上海国贸天悦三期</w:t>
      </w:r>
      <w:r>
        <w:rPr>
          <w:rFonts w:hint="eastAsia" w:ascii="宋体" w:hAnsi="宋体" w:eastAsia="宋体" w:cs="宋体"/>
          <w:sz w:val="28"/>
          <w:szCs w:val="28"/>
          <w:highlight w:val="none"/>
        </w:rPr>
        <w:t>（以下简称“项目”），位于上海市松江区</w:t>
      </w:r>
      <w:r>
        <w:rPr>
          <w:rFonts w:hint="eastAsia" w:ascii="宋体" w:hAnsi="宋体" w:eastAsia="宋体" w:cs="宋体"/>
          <w:sz w:val="28"/>
          <w:szCs w:val="28"/>
          <w:highlight w:val="none"/>
          <w:lang w:val="en-US" w:eastAsia="zh-CN"/>
        </w:rPr>
        <w:t>马尾</w:t>
      </w:r>
      <w:r>
        <w:rPr>
          <w:rFonts w:hint="eastAsia" w:ascii="宋体" w:hAnsi="宋体" w:eastAsia="宋体" w:cs="宋体"/>
          <w:sz w:val="28"/>
          <w:szCs w:val="28"/>
          <w:highlight w:val="none"/>
        </w:rPr>
        <w:t>山路</w:t>
      </w:r>
      <w:r>
        <w:rPr>
          <w:rFonts w:hint="eastAsia" w:ascii="宋体" w:hAnsi="宋体" w:eastAsia="宋体" w:cs="宋体"/>
          <w:sz w:val="28"/>
          <w:szCs w:val="28"/>
          <w:highlight w:val="none"/>
          <w:lang w:val="en-US" w:eastAsia="zh-CN"/>
        </w:rPr>
        <w:t>188号</w:t>
      </w:r>
      <w:r>
        <w:rPr>
          <w:rFonts w:hint="eastAsia" w:ascii="宋体" w:hAnsi="宋体" w:eastAsia="宋体" w:cs="宋体"/>
          <w:sz w:val="28"/>
          <w:szCs w:val="28"/>
          <w:highlight w:val="none"/>
        </w:rPr>
        <w:t>，总用地面积40861.8平，总建筑面积111032.68平</w:t>
      </w:r>
      <w:r>
        <w:rPr>
          <w:rFonts w:hint="eastAsia" w:ascii="宋体" w:hAnsi="宋体" w:eastAsia="宋体" w:cs="宋体"/>
          <w:sz w:val="28"/>
          <w:szCs w:val="28"/>
          <w:highlight w:val="none"/>
          <w:lang w:eastAsia="zh-CN"/>
        </w:rPr>
        <w:t>。</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二、保安服务内容</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（1）固定岗、巡逻、中控室值班、秩序维护等，提供24小时秩序维护服务。</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（2）事件应急处理：发生突发事件应及时赶往现场进行处理并组织秩序维护工作，同时报告项目方及有关部门。</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夜间进行安全巡查，维护本项目范围内业主及使用人的人身、财产安全，维护正常治安、消防秩序，做好防抢、防盗、防火、防破坏等工作；熟练掌握火灾、治安、自然灾害等突发事件应急预案，事发时积极采取相应措施，立即报告项目方人员或拨打紧急救助电话，同时要保护好现场，并详细记录备查。</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（4）定期完善应急预案，根据项目方要求开展应急预案演练和相关知识技能培训。</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三、人员要求</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（1）本次招标需要人员配置数为1</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岗，每天至少每岗配置1名保安人员，包含门岗、消控岗、巡逻岗等岗位。</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所有配置的保安人员应持证上岗，年龄应在18至40周岁之间，其中门岗身高需在178cm以上年龄不得超过35周岁，维序领班岗不得超过40周岁，其他岗位身高在175cm以上，不得超过35周岁。所有岗位均须持有保安证，消控岗须持四级消防设备设施操作员证书</w:t>
      </w:r>
      <w:r>
        <w:rPr>
          <w:rFonts w:hint="eastAsia" w:ascii="宋体" w:hAnsi="宋体" w:cs="宋体"/>
          <w:kern w:val="1"/>
          <w:sz w:val="28"/>
          <w:szCs w:val="28"/>
          <w:highlight w:val="none"/>
          <w:lang w:val="en-US" w:eastAsia="zh-CN"/>
        </w:rPr>
        <w:t>或四级建（构）筑物消防员证</w:t>
      </w:r>
      <w:r>
        <w:rPr>
          <w:rFonts w:hint="eastAsia" w:ascii="宋体" w:hAnsi="宋体" w:eastAsia="宋体" w:cs="宋体"/>
          <w:sz w:val="28"/>
          <w:szCs w:val="28"/>
          <w:highlight w:val="none"/>
        </w:rPr>
        <w:t>。确保所有保安人员无刑事和治安管理处罚记录，并提供无犯罪记录证明。</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（3）所有岗位的保安人员在上班期间严禁从事与工作无关的活动。如：睡觉、玩手机、打游戏、看报纸、聚集聊天、吸烟等。</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（4）巡逻岗位的保安人员应对项目任何角落，包括楼顶、房屋转角等地方都必须认真巡逻，任何突发情况如因巡逻未及时发现将给予重罚。</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（5）要求中标供应商必须承诺对上岗的每名保安人员购买相关的保险，如有突发疾病或其他意外伤害均与项目方无关，由中标供应商自行负责。</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（6）要求中标供应商为每名保安人员统一配发服装（含工作服、制式保安服装、帽子、肩章、反光背心、武装腰带等）。</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（7）基于岗位需求，要求中标供应商</w:t>
      </w:r>
      <w:r>
        <w:rPr>
          <w:rFonts w:hint="eastAsia" w:ascii="宋体" w:hAnsi="宋体" w:eastAsia="宋体" w:cs="宋体"/>
          <w:b/>
          <w:bCs/>
          <w:sz w:val="28"/>
          <w:szCs w:val="28"/>
          <w:highlight w:val="none"/>
        </w:rPr>
        <w:t>统一配发对讲机、强光手电、雨具及必要的警具（伸缩警棍、辣椒水）</w:t>
      </w:r>
      <w:r>
        <w:rPr>
          <w:rFonts w:hint="eastAsia" w:ascii="宋体" w:hAnsi="宋体" w:eastAsia="宋体" w:cs="宋体"/>
          <w:sz w:val="28"/>
          <w:szCs w:val="28"/>
          <w:highlight w:val="none"/>
        </w:rPr>
        <w:t>，便于保安人员统一高效地开展工作。</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（8）</w:t>
      </w:r>
      <w:r>
        <w:rPr>
          <w:rFonts w:hint="eastAsia" w:ascii="宋体" w:hAnsi="宋体" w:eastAsia="宋体" w:cs="宋体"/>
          <w:b/>
          <w:bCs/>
          <w:sz w:val="28"/>
          <w:szCs w:val="28"/>
          <w:highlight w:val="none"/>
        </w:rPr>
        <w:t>每月对保安员进行一次集中培训</w:t>
      </w:r>
      <w:r>
        <w:rPr>
          <w:rFonts w:hint="eastAsia" w:ascii="宋体" w:hAnsi="宋体" w:eastAsia="宋体" w:cs="宋体"/>
          <w:sz w:val="28"/>
          <w:szCs w:val="28"/>
          <w:highlight w:val="none"/>
        </w:rPr>
        <w:t>，确保保安员思想集中，保安业务精通；</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（9）管理人员每月对执勤情况进行检查，及时与项目方沟通执勤情况，确保安保工作安全顺利；</w:t>
      </w:r>
    </w:p>
    <w:p>
      <w:pPr>
        <w:spacing w:line="360" w:lineRule="auto"/>
        <w:ind w:firstLine="560" w:firstLineChars="200"/>
        <w:rPr>
          <w:rFonts w:hint="eastAsia" w:ascii="宋体" w:hAnsi="宋体" w:eastAsia="宋体" w:cs="宋体"/>
          <w:b/>
          <w:bCs/>
          <w:sz w:val="28"/>
          <w:szCs w:val="28"/>
          <w:highlight w:val="none"/>
        </w:rPr>
      </w:pPr>
      <w:r>
        <w:rPr>
          <w:rFonts w:hint="eastAsia" w:ascii="宋体" w:hAnsi="宋体" w:eastAsia="宋体" w:cs="宋体"/>
          <w:sz w:val="28"/>
          <w:szCs w:val="28"/>
          <w:highlight w:val="none"/>
        </w:rPr>
        <w:t>（10）项目方有权要求中标供应商更换所派驻的人员（包括保安班长）。</w:t>
      </w:r>
      <w:r>
        <w:rPr>
          <w:rFonts w:hint="eastAsia" w:ascii="宋体" w:hAnsi="宋体" w:eastAsia="宋体" w:cs="宋体"/>
          <w:b/>
          <w:bCs/>
          <w:sz w:val="28"/>
          <w:szCs w:val="28"/>
          <w:highlight w:val="none"/>
        </w:rPr>
        <w:t>中标供应商不得随意更换本项目保安人员，如确有特殊原因需要更换，应事先征得项目方同意，并提前15个工作日提出满足要求或更优的人员资料报项目方批准，经同意后方可更换派驻人员。</w:t>
      </w:r>
    </w:p>
    <w:p>
      <w:pPr>
        <w:spacing w:line="360" w:lineRule="auto"/>
        <w:ind w:firstLine="560" w:firstLineChars="200"/>
        <w:rPr>
          <w:rFonts w:hint="eastAsia" w:ascii="宋体" w:hAnsi="宋体" w:eastAsia="宋体" w:cs="宋体"/>
          <w:b/>
          <w:bCs/>
          <w:sz w:val="28"/>
          <w:szCs w:val="28"/>
          <w:highlight w:val="none"/>
        </w:rPr>
      </w:pPr>
      <w:r>
        <w:rPr>
          <w:rFonts w:hint="eastAsia" w:ascii="宋体" w:hAnsi="宋体" w:eastAsia="宋体" w:cs="宋体"/>
          <w:sz w:val="28"/>
          <w:szCs w:val="28"/>
          <w:highlight w:val="none"/>
        </w:rPr>
        <w:t>（11）</w:t>
      </w:r>
      <w:r>
        <w:rPr>
          <w:rFonts w:hint="eastAsia" w:ascii="宋体" w:hAnsi="宋体" w:eastAsia="宋体" w:cs="宋体"/>
          <w:b/>
          <w:bCs/>
          <w:sz w:val="28"/>
          <w:szCs w:val="28"/>
          <w:highlight w:val="none"/>
        </w:rPr>
        <w:t>中标供应商有以下情形视为缺岗：①若中标供应商更换的人员不满足招标方要求的，视为缺岗；②若中标供应商派驻人员于7天内离职的，视为缺岗；③未经甲方同意私自更换派驻人员的，视为缺岗。项目方有权按实际缺岗数扣除当月服务费。岗位缺员，项目方有权另行临时聘员或工作外协，所发生的费用由中标供应商承担。项目方有权要求更换工作态度不好、工作能力差的保安员，中标供应商应无条件服从。（中标供应商必须做出承诺）</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投标人应根据本项目的特点提供切实可行的完整的保安体系管理方案（包括人员配置方案（含专业队伍人数证明）、配置说明、配合方式、保安服务工作流程及工作内容等）、服务质量控制措施、保安服务预期效果、服务保障措施、人员配备情况、人员招聘计划、人员培训计划、确保人员相对稳定的措施。</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（14）中标供应商不按合同约定工作，不符合招标方要求，项目方有权提出异议直至终止合同。</w:t>
      </w:r>
    </w:p>
    <w:p>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四、进场计划</w:t>
      </w:r>
    </w:p>
    <w:tbl>
      <w:tblPr>
        <w:tblStyle w:val="19"/>
        <w:tblW w:w="8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计划进场时间</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计划事件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2024年11月1日</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以项目方实际通知人员进场时间为准</w:t>
            </w:r>
          </w:p>
        </w:tc>
      </w:tr>
    </w:tbl>
    <w:p>
      <w:pPr>
        <w:spacing w:before="120" w:beforeLines="50"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五、服务期限</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以项目方通知安排进场时间为准，需在15天内完成进场工作。</w:t>
      </w:r>
      <w:bookmarkStart w:id="406" w:name="_Toc19250"/>
      <w:bookmarkStart w:id="407" w:name="_Toc18955"/>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注：若有疑问或需前往踏勘，请与</w:t>
      </w:r>
      <w:r>
        <w:rPr>
          <w:rFonts w:hint="eastAsia" w:ascii="宋体" w:hAnsi="宋体" w:eastAsia="宋体" w:cs="宋体"/>
          <w:sz w:val="28"/>
          <w:szCs w:val="28"/>
          <w:highlight w:val="none"/>
          <w:lang w:val="en-US" w:eastAsia="zh-CN"/>
        </w:rPr>
        <w:t>郭</w:t>
      </w:r>
      <w:r>
        <w:rPr>
          <w:rFonts w:hint="eastAsia" w:ascii="宋体" w:hAnsi="宋体" w:cs="宋体"/>
          <w:sz w:val="28"/>
          <w:szCs w:val="28"/>
          <w:highlight w:val="none"/>
          <w:lang w:val="en-US" w:eastAsia="zh-CN"/>
        </w:rPr>
        <w:t>先生</w:t>
      </w:r>
      <w:r>
        <w:rPr>
          <w:rFonts w:hint="eastAsia" w:ascii="宋体" w:hAnsi="宋体" w:eastAsia="宋体" w:cs="宋体"/>
          <w:sz w:val="28"/>
          <w:szCs w:val="28"/>
          <w:highlight w:val="none"/>
        </w:rPr>
        <w:t>联系，联系方式：</w:t>
      </w:r>
      <w:r>
        <w:rPr>
          <w:rFonts w:hint="eastAsia" w:ascii="宋体" w:hAnsi="宋体" w:eastAsia="宋体" w:cs="宋体"/>
          <w:sz w:val="28"/>
          <w:szCs w:val="28"/>
          <w:highlight w:val="none"/>
          <w:lang w:val="en-US" w:eastAsia="zh-CN"/>
        </w:rPr>
        <w:t>13591226377</w:t>
      </w:r>
      <w:r>
        <w:rPr>
          <w:rFonts w:hint="eastAsia" w:ascii="宋体" w:hAnsi="宋体" w:eastAsia="宋体" w:cs="宋体"/>
          <w:sz w:val="28"/>
          <w:szCs w:val="28"/>
          <w:highlight w:val="none"/>
        </w:rPr>
        <w:t>。</w:t>
      </w:r>
    </w:p>
    <w:p>
      <w:pPr>
        <w:spacing w:line="360" w:lineRule="auto"/>
        <w:ind w:firstLine="560" w:firstLineChars="200"/>
        <w:rPr>
          <w:rFonts w:hint="eastAsia" w:ascii="宋体" w:hAnsi="宋体" w:eastAsia="宋体" w:cs="宋体"/>
          <w:sz w:val="28"/>
          <w:szCs w:val="28"/>
          <w:highlight w:val="none"/>
        </w:rPr>
      </w:pPr>
    </w:p>
    <w:p>
      <w:pPr>
        <w:pStyle w:val="3"/>
        <w:keepNext w:val="0"/>
        <w:keepLines w:val="0"/>
        <w:spacing w:before="0" w:after="0" w:line="360" w:lineRule="auto"/>
        <w:ind w:firstLine="314"/>
        <w:jc w:val="left"/>
        <w:rPr>
          <w:rFonts w:hint="eastAsia" w:ascii="宋体" w:hAnsi="宋体" w:eastAsia="宋体" w:cs="宋体"/>
          <w:sz w:val="28"/>
          <w:szCs w:val="28"/>
          <w:highlight w:val="none"/>
        </w:rPr>
      </w:pPr>
      <w:bookmarkStart w:id="408" w:name="_Toc15071"/>
      <w:bookmarkStart w:id="409" w:name="_Toc19488"/>
      <w:bookmarkStart w:id="410" w:name="_Toc13525"/>
      <w:bookmarkStart w:id="411" w:name="_Toc3369"/>
      <w:bookmarkStart w:id="412" w:name="_Toc26620"/>
      <w:bookmarkStart w:id="413" w:name="_Toc31431"/>
      <w:bookmarkStart w:id="414" w:name="_Toc23404"/>
      <w:r>
        <w:rPr>
          <w:rFonts w:hint="eastAsia" w:ascii="宋体" w:hAnsi="宋体" w:eastAsia="宋体" w:cs="宋体"/>
          <w:sz w:val="28"/>
          <w:szCs w:val="28"/>
          <w:highlight w:val="none"/>
        </w:rPr>
        <w:t>第二节 商务技术响应要求</w:t>
      </w:r>
      <w:bookmarkEnd w:id="406"/>
      <w:bookmarkEnd w:id="407"/>
      <w:bookmarkEnd w:id="408"/>
      <w:bookmarkEnd w:id="409"/>
      <w:bookmarkEnd w:id="410"/>
      <w:bookmarkEnd w:id="411"/>
      <w:bookmarkEnd w:id="412"/>
      <w:bookmarkEnd w:id="413"/>
      <w:bookmarkEnd w:id="414"/>
    </w:p>
    <w:p>
      <w:p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一、商务要求</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★1、投标人应具备独立的法人资格，提供法人营业执照（副本）复印件（加盖投标人公章）。</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2、投标人授权代表若不是企业法定代表人，应提供法人授权书原件，并提供被授权代表身份证复印件。</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3、投标人必须提供自2020年起至今在上海市至少1个以上有物业费单价4元</w:t>
      </w:r>
      <w:r>
        <w:rPr>
          <w:rFonts w:hint="eastAsia" w:ascii="宋体" w:hAnsi="宋体" w:cs="宋体"/>
          <w:kern w:val="1"/>
          <w:sz w:val="28"/>
          <w:szCs w:val="28"/>
          <w:highlight w:val="none"/>
          <w:lang w:val="en-US" w:eastAsia="zh-CN"/>
        </w:rPr>
        <w:t>及以上</w:t>
      </w:r>
      <w:r>
        <w:rPr>
          <w:rFonts w:hint="eastAsia" w:ascii="宋体" w:hAnsi="宋体" w:eastAsia="宋体" w:cs="宋体"/>
          <w:sz w:val="28"/>
          <w:szCs w:val="28"/>
          <w:highlight w:val="none"/>
        </w:rPr>
        <w:t>高端住宅物业项目的安保服务经验（需提供合同复印件，原件备查）。</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4、投标人拟投入使用安保相关管理信息系统的，需提供该系统软件著作权登记证书复印件。</w:t>
      </w:r>
    </w:p>
    <w:p>
      <w:pPr>
        <w:widowControl/>
        <w:adjustRightInd w:val="0"/>
        <w:snapToGrid w:val="0"/>
        <w:spacing w:before="60" w:beforeLines="25" w:after="60" w:afterLines="25"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二、技术要求</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1、投标人提供的服务方案必须满足招标人的实际需求，招标人不再支付因投标人方案不完整而引起的费用。</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若中标后未履行相关承诺，招标人有权扣除投标保证金和其他款项。</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3、投标人须提交《作业安全承诺书》并加盖公章。</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4、严格执行服务承诺。</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5、中标人应严格依据投标文件所作承诺履行职责，如有违约，招标人有权根据协议、合同采取措施追究违约方的违约责任。</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6、中标人应当按照合同约定履行义务，不得将本项目（转包）给他人，一经发现，招标人有权立即终止合同，并追究中标人的违约责任和要求赔偿。</w:t>
      </w:r>
    </w:p>
    <w:p>
      <w:pPr>
        <w:pStyle w:val="3"/>
        <w:keepNext w:val="0"/>
        <w:keepLines w:val="0"/>
        <w:spacing w:before="0" w:after="0" w:line="360" w:lineRule="auto"/>
        <w:ind w:firstLine="314"/>
        <w:jc w:val="left"/>
        <w:rPr>
          <w:rFonts w:hint="eastAsia" w:ascii="宋体" w:hAnsi="宋体" w:eastAsia="宋体" w:cs="宋体"/>
          <w:sz w:val="28"/>
          <w:szCs w:val="28"/>
          <w:highlight w:val="none"/>
        </w:rPr>
      </w:pPr>
      <w:bookmarkStart w:id="415" w:name="_Toc21771"/>
      <w:bookmarkStart w:id="416" w:name="_Toc23072"/>
      <w:bookmarkStart w:id="417" w:name="_Toc3674"/>
      <w:bookmarkStart w:id="418" w:name="_Toc23619"/>
      <w:bookmarkStart w:id="419" w:name="_Toc32751"/>
      <w:bookmarkStart w:id="420" w:name="_Toc12898"/>
      <w:bookmarkStart w:id="421" w:name="_Toc27882"/>
      <w:bookmarkStart w:id="422" w:name="_Toc19900"/>
      <w:bookmarkStart w:id="423" w:name="_Toc468718876"/>
      <w:bookmarkStart w:id="424" w:name="_Toc12512"/>
    </w:p>
    <w:p>
      <w:pPr>
        <w:pStyle w:val="3"/>
        <w:keepNext w:val="0"/>
        <w:keepLines w:val="0"/>
        <w:spacing w:before="0" w:after="0" w:line="360" w:lineRule="auto"/>
        <w:ind w:firstLine="314"/>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第三节 报价要求</w:t>
      </w:r>
      <w:bookmarkEnd w:id="415"/>
      <w:bookmarkEnd w:id="416"/>
      <w:bookmarkEnd w:id="417"/>
      <w:bookmarkEnd w:id="418"/>
      <w:bookmarkEnd w:id="419"/>
      <w:bookmarkEnd w:id="420"/>
      <w:bookmarkEnd w:id="421"/>
      <w:bookmarkEnd w:id="422"/>
      <w:bookmarkEnd w:id="423"/>
      <w:bookmarkEnd w:id="424"/>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bookmarkStart w:id="425" w:name="_Toc468718878"/>
      <w:bookmarkStart w:id="426" w:name="_Toc306290240"/>
      <w:r>
        <w:rPr>
          <w:rFonts w:hint="eastAsia" w:ascii="宋体" w:hAnsi="宋体" w:eastAsia="宋体" w:cs="宋体"/>
          <w:sz w:val="28"/>
          <w:szCs w:val="28"/>
          <w:highlight w:val="none"/>
        </w:rPr>
        <w:t>1、报价以人民币为货币单位，应分单价、小计和总价。</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2、投标报价应包含但不限于以下费用：服装费、</w:t>
      </w:r>
      <w:r>
        <w:rPr>
          <w:rFonts w:hint="eastAsia" w:ascii="宋体" w:hAnsi="宋体" w:eastAsia="宋体" w:cs="宋体"/>
          <w:color w:val="000000" w:themeColor="text1"/>
          <w:sz w:val="28"/>
          <w:szCs w:val="28"/>
          <w:highlight w:val="none"/>
          <w14:textFill>
            <w14:solidFill>
              <w14:schemeClr w14:val="tx1"/>
            </w14:solidFill>
          </w14:textFill>
        </w:rPr>
        <w:t>工具费、耗材费、保险费、人工费、员工福利等</w:t>
      </w:r>
      <w:r>
        <w:rPr>
          <w:rFonts w:hint="eastAsia" w:ascii="宋体" w:hAnsi="宋体" w:eastAsia="宋体" w:cs="宋体"/>
          <w:sz w:val="28"/>
          <w:szCs w:val="28"/>
          <w:highlight w:val="none"/>
        </w:rPr>
        <w:t>，各投标人应依据招标文件要求，并充分考虑市场、原材料价格、人工成本上涨等风险，自行核算成本报价，各项目为整体采购，如有遗漏部分将不再进行增补。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4、投标人对本项目只能有一个报价，招标人不接受有选择的报价。</w:t>
      </w:r>
    </w:p>
    <w:p>
      <w:pPr>
        <w:widowControl/>
        <w:adjustRightInd w:val="0"/>
        <w:snapToGrid w:val="0"/>
        <w:spacing w:before="60" w:beforeLines="25" w:after="60"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5、中标人在提供服务的过程中，若出现安全事故，其责任及相应的赔偿均由中标人承担，招标人不承担所有责任及义务。</w:t>
      </w:r>
    </w:p>
    <w:p>
      <w:pPr>
        <w:spacing w:line="360" w:lineRule="auto"/>
        <w:ind w:firstLine="560" w:firstLineChars="200"/>
        <w:rPr>
          <w:rFonts w:hint="eastAsia" w:asciiTheme="majorEastAsia" w:hAnsiTheme="majorEastAsia" w:eastAsiaTheme="majorEastAsia" w:cstheme="majorEastAsia"/>
          <w:highlight w:val="none"/>
        </w:rPr>
      </w:pPr>
      <w:r>
        <w:rPr>
          <w:rFonts w:hint="eastAsia" w:ascii="宋体" w:hAnsi="宋体" w:eastAsia="宋体" w:cs="宋体"/>
          <w:sz w:val="28"/>
          <w:szCs w:val="28"/>
          <w:highlight w:val="none"/>
        </w:rPr>
        <w:t>6、</w:t>
      </w:r>
      <w:bookmarkEnd w:id="425"/>
      <w:bookmarkEnd w:id="426"/>
      <w:r>
        <w:rPr>
          <w:rFonts w:hint="eastAsia" w:ascii="宋体" w:hAnsi="宋体" w:eastAsia="宋体" w:cs="宋体"/>
          <w:sz w:val="28"/>
          <w:szCs w:val="28"/>
          <w:highlight w:val="none"/>
        </w:rPr>
        <w:t>履约保证金：中标人须向招标人缴交履约保证金，履约保证金在双方合同终止、交接清楚、质保期结束和债权债务等关系理顺后30日历天内无息返还。</w:t>
      </w:r>
      <w:bookmarkEnd w:id="8"/>
      <w:r>
        <w:rPr>
          <w:rFonts w:hint="eastAsia" w:asciiTheme="majorEastAsia" w:hAnsiTheme="majorEastAsia" w:eastAsiaTheme="majorEastAsia" w:cstheme="majorEastAsia"/>
          <w:highlight w:val="none"/>
        </w:rPr>
        <w:br w:type="page"/>
      </w:r>
    </w:p>
    <w:p>
      <w:pPr>
        <w:pStyle w:val="2"/>
        <w:keepNext w:val="0"/>
        <w:keepLines w:val="0"/>
        <w:spacing w:before="0" w:after="0" w:line="360" w:lineRule="auto"/>
        <w:ind w:firstLine="314"/>
        <w:jc w:val="center"/>
        <w:rPr>
          <w:rFonts w:hint="eastAsia" w:asciiTheme="majorEastAsia" w:hAnsiTheme="majorEastAsia" w:eastAsiaTheme="majorEastAsia" w:cstheme="majorEastAsia"/>
          <w:highlight w:val="none"/>
        </w:rPr>
      </w:pPr>
      <w:bookmarkStart w:id="427" w:name="_Toc5790"/>
      <w:bookmarkStart w:id="428" w:name="_Toc27819"/>
      <w:bookmarkStart w:id="429" w:name="_Toc9629"/>
      <w:bookmarkStart w:id="430" w:name="_Toc31393"/>
      <w:bookmarkStart w:id="431" w:name="_Toc27395"/>
      <w:bookmarkStart w:id="432" w:name="_Toc5655"/>
      <w:bookmarkStart w:id="433" w:name="_Toc28738"/>
      <w:bookmarkStart w:id="434" w:name="_Toc2439"/>
      <w:bookmarkStart w:id="435" w:name="_Toc13390"/>
      <w:r>
        <w:rPr>
          <w:rFonts w:hint="eastAsia" w:asciiTheme="majorEastAsia" w:hAnsiTheme="majorEastAsia" w:eastAsiaTheme="majorEastAsia" w:cstheme="majorEastAsia"/>
          <w:highlight w:val="none"/>
        </w:rPr>
        <w:t>第四章  投标文件格式</w:t>
      </w:r>
      <w:bookmarkEnd w:id="427"/>
      <w:bookmarkEnd w:id="428"/>
      <w:bookmarkEnd w:id="429"/>
      <w:bookmarkEnd w:id="430"/>
      <w:bookmarkEnd w:id="431"/>
      <w:bookmarkEnd w:id="432"/>
      <w:bookmarkEnd w:id="433"/>
      <w:bookmarkEnd w:id="434"/>
      <w:bookmarkEnd w:id="435"/>
    </w:p>
    <w:p>
      <w:pPr>
        <w:spacing w:line="360" w:lineRule="auto"/>
        <w:rPr>
          <w:rFonts w:hint="eastAsia" w:asciiTheme="majorEastAsia" w:hAnsiTheme="majorEastAsia" w:eastAsiaTheme="majorEastAsia" w:cstheme="majorEastAsia"/>
          <w:highlight w:val="none"/>
        </w:rPr>
      </w:pPr>
    </w:p>
    <w:p>
      <w:pPr>
        <w:spacing w:line="360" w:lineRule="auto"/>
        <w:ind w:firstLine="275"/>
        <w:jc w:val="center"/>
        <w:rPr>
          <w:rFonts w:hint="eastAsia" w:asciiTheme="majorEastAsia" w:hAnsiTheme="majorEastAsia" w:eastAsiaTheme="majorEastAsia" w:cstheme="majorEastAsia"/>
          <w:b/>
          <w:sz w:val="28"/>
          <w:szCs w:val="28"/>
          <w:highlight w:val="none"/>
        </w:rPr>
      </w:pPr>
      <w:r>
        <w:rPr>
          <w:rFonts w:hint="eastAsia" w:asciiTheme="majorEastAsia" w:hAnsiTheme="majorEastAsia" w:eastAsiaTheme="majorEastAsia" w:cstheme="majorEastAsia"/>
          <w:b/>
          <w:sz w:val="28"/>
          <w:szCs w:val="28"/>
          <w:highlight w:val="none"/>
        </w:rPr>
        <w:t>（本章格式文件可供参考，投标人可根据项目实际需求进行编制）</w:t>
      </w:r>
    </w:p>
    <w:p>
      <w:pPr>
        <w:pStyle w:val="29"/>
        <w:spacing w:line="360" w:lineRule="auto"/>
        <w:rPr>
          <w:rFonts w:hint="eastAsia" w:asciiTheme="majorEastAsia" w:hAnsiTheme="majorEastAsia" w:eastAsiaTheme="majorEastAsia" w:cstheme="majorEastAsia"/>
          <w:color w:val="auto"/>
          <w:highlight w:val="none"/>
        </w:rPr>
      </w:pPr>
    </w:p>
    <w:p>
      <w:pPr>
        <w:pStyle w:val="29"/>
        <w:spacing w:line="360" w:lineRule="auto"/>
        <w:jc w:val="center"/>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 封面）</w:t>
      </w:r>
    </w:p>
    <w:p>
      <w:pPr>
        <w:spacing w:line="360" w:lineRule="auto"/>
        <w:ind w:firstLine="706"/>
        <w:jc w:val="center"/>
        <w:rPr>
          <w:rFonts w:hint="eastAsia" w:asciiTheme="majorEastAsia" w:hAnsiTheme="majorEastAsia" w:eastAsiaTheme="majorEastAsia" w:cstheme="majorEastAsia"/>
          <w:b/>
          <w:sz w:val="72"/>
          <w:highlight w:val="none"/>
        </w:rPr>
      </w:pPr>
    </w:p>
    <w:p>
      <w:pPr>
        <w:spacing w:line="360" w:lineRule="auto"/>
        <w:ind w:firstLine="708"/>
        <w:jc w:val="center"/>
        <w:rPr>
          <w:rFonts w:hint="eastAsia" w:asciiTheme="majorEastAsia" w:hAnsiTheme="majorEastAsia" w:eastAsiaTheme="majorEastAsia" w:cstheme="majorEastAsia"/>
          <w:b/>
          <w:sz w:val="72"/>
          <w:highlight w:val="none"/>
        </w:rPr>
      </w:pPr>
      <w:r>
        <w:rPr>
          <w:rFonts w:hint="eastAsia" w:asciiTheme="majorEastAsia" w:hAnsiTheme="majorEastAsia" w:eastAsiaTheme="majorEastAsia" w:cstheme="majorEastAsia"/>
          <w:b/>
          <w:sz w:val="72"/>
          <w:highlight w:val="none"/>
        </w:rPr>
        <w:t>投  标  文  件</w:t>
      </w:r>
    </w:p>
    <w:p>
      <w:pPr>
        <w:spacing w:line="360" w:lineRule="auto"/>
        <w:ind w:firstLine="353"/>
        <w:rPr>
          <w:rFonts w:hint="eastAsia" w:asciiTheme="majorEastAsia" w:hAnsiTheme="majorEastAsia" w:eastAsiaTheme="majorEastAsia" w:cstheme="majorEastAsia"/>
          <w:b/>
          <w:sz w:val="36"/>
          <w:highlight w:val="none"/>
        </w:rPr>
      </w:pPr>
    </w:p>
    <w:p>
      <w:pPr>
        <w:spacing w:line="360" w:lineRule="auto"/>
        <w:ind w:firstLine="1084" w:firstLineChars="300"/>
        <w:rPr>
          <w:rFonts w:hint="eastAsia" w:asciiTheme="majorEastAsia" w:hAnsiTheme="majorEastAsia" w:eastAsiaTheme="majorEastAsia" w:cstheme="majorEastAsia"/>
          <w:b/>
          <w:sz w:val="36"/>
          <w:highlight w:val="none"/>
        </w:rPr>
      </w:pPr>
      <w:r>
        <w:rPr>
          <w:rFonts w:hint="eastAsia" w:asciiTheme="majorEastAsia" w:hAnsiTheme="majorEastAsia" w:eastAsiaTheme="majorEastAsia" w:cstheme="majorEastAsia"/>
          <w:b/>
          <w:sz w:val="36"/>
          <w:highlight w:val="none"/>
        </w:rPr>
        <w:t>项 目 名 称：</w:t>
      </w:r>
    </w:p>
    <w:p>
      <w:pPr>
        <w:spacing w:line="360" w:lineRule="auto"/>
        <w:ind w:firstLine="1084" w:firstLineChars="300"/>
        <w:rPr>
          <w:rFonts w:hint="eastAsia" w:asciiTheme="majorEastAsia" w:hAnsiTheme="majorEastAsia" w:eastAsiaTheme="majorEastAsia" w:cstheme="majorEastAsia"/>
          <w:b/>
          <w:sz w:val="36"/>
          <w:highlight w:val="none"/>
          <w:u w:val="single"/>
        </w:rPr>
      </w:pPr>
      <w:r>
        <w:rPr>
          <w:rFonts w:hint="eastAsia" w:asciiTheme="majorEastAsia" w:hAnsiTheme="majorEastAsia" w:eastAsiaTheme="majorEastAsia" w:cstheme="majorEastAsia"/>
          <w:b/>
          <w:sz w:val="36"/>
          <w:highlight w:val="none"/>
        </w:rPr>
        <w:t>招 标 编 号：</w:t>
      </w:r>
    </w:p>
    <w:p>
      <w:pPr>
        <w:spacing w:line="360" w:lineRule="auto"/>
        <w:ind w:firstLine="353"/>
        <w:rPr>
          <w:rFonts w:hint="eastAsia" w:asciiTheme="majorEastAsia" w:hAnsiTheme="majorEastAsia" w:eastAsiaTheme="majorEastAsia" w:cstheme="majorEastAsia"/>
          <w:b/>
          <w:sz w:val="36"/>
          <w:highlight w:val="none"/>
        </w:rPr>
      </w:pPr>
    </w:p>
    <w:p>
      <w:pPr>
        <w:spacing w:line="360" w:lineRule="auto"/>
        <w:ind w:firstLine="353"/>
        <w:rPr>
          <w:rFonts w:hint="eastAsia" w:asciiTheme="majorEastAsia" w:hAnsiTheme="majorEastAsia" w:eastAsiaTheme="majorEastAsia" w:cstheme="majorEastAsia"/>
          <w:b/>
          <w:sz w:val="36"/>
          <w:highlight w:val="none"/>
        </w:rPr>
      </w:pPr>
    </w:p>
    <w:p>
      <w:pPr>
        <w:spacing w:line="360" w:lineRule="auto"/>
        <w:ind w:firstLine="354"/>
        <w:rPr>
          <w:rFonts w:hint="eastAsia" w:asciiTheme="majorEastAsia" w:hAnsiTheme="majorEastAsia" w:eastAsiaTheme="majorEastAsia" w:cstheme="majorEastAsia"/>
          <w:b/>
          <w:sz w:val="36"/>
          <w:highlight w:val="none"/>
          <w:u w:val="single"/>
        </w:rPr>
      </w:pPr>
      <w:r>
        <w:rPr>
          <w:rFonts w:hint="eastAsia" w:asciiTheme="majorEastAsia" w:hAnsiTheme="majorEastAsia" w:eastAsiaTheme="majorEastAsia" w:cstheme="majorEastAsia"/>
          <w:b/>
          <w:sz w:val="36"/>
          <w:highlight w:val="none"/>
        </w:rPr>
        <w:t xml:space="preserve">       投标人名称 ：</w:t>
      </w:r>
    </w:p>
    <w:p>
      <w:pPr>
        <w:spacing w:line="360" w:lineRule="auto"/>
        <w:ind w:firstLine="354"/>
        <w:rPr>
          <w:rFonts w:hint="eastAsia" w:asciiTheme="majorEastAsia" w:hAnsiTheme="majorEastAsia" w:eastAsiaTheme="majorEastAsia" w:cstheme="majorEastAsia"/>
          <w:b/>
          <w:sz w:val="36"/>
          <w:highlight w:val="none"/>
        </w:rPr>
      </w:pPr>
      <w:r>
        <w:rPr>
          <w:rFonts w:hint="eastAsia" w:asciiTheme="majorEastAsia" w:hAnsiTheme="majorEastAsia" w:eastAsiaTheme="majorEastAsia" w:cstheme="majorEastAsia"/>
          <w:b/>
          <w:sz w:val="36"/>
          <w:highlight w:val="none"/>
        </w:rPr>
        <w:t xml:space="preserve">       日      期 ：</w:t>
      </w:r>
    </w:p>
    <w:p>
      <w:pPr>
        <w:pStyle w:val="30"/>
        <w:spacing w:line="360" w:lineRule="auto"/>
        <w:ind w:firstLine="235"/>
        <w:jc w:val="left"/>
        <w:rPr>
          <w:rFonts w:hint="eastAsia" w:asciiTheme="majorEastAsia" w:hAnsiTheme="majorEastAsia" w:eastAsiaTheme="majorEastAsia" w:cstheme="majorEastAsia"/>
          <w:b/>
          <w:sz w:val="24"/>
          <w:highlight w:val="none"/>
        </w:rPr>
      </w:pPr>
    </w:p>
    <w:p>
      <w:pPr>
        <w:pStyle w:val="30"/>
        <w:spacing w:line="360" w:lineRule="auto"/>
        <w:ind w:firstLine="235"/>
        <w:jc w:val="left"/>
        <w:rPr>
          <w:rFonts w:hint="eastAsia" w:asciiTheme="majorEastAsia" w:hAnsiTheme="majorEastAsia" w:eastAsiaTheme="majorEastAsia" w:cstheme="majorEastAsia"/>
          <w:b/>
          <w:sz w:val="24"/>
          <w:highlight w:val="none"/>
        </w:rPr>
      </w:pPr>
    </w:p>
    <w:p>
      <w:pPr>
        <w:pStyle w:val="6"/>
        <w:snapToGrid w:val="0"/>
        <w:spacing w:line="360" w:lineRule="auto"/>
        <w:ind w:left="0" w:firstLine="3855" w:firstLineChars="1200"/>
        <w:jc w:val="both"/>
        <w:rPr>
          <w:rFonts w:hint="eastAsia" w:asciiTheme="majorEastAsia" w:hAnsiTheme="majorEastAsia" w:eastAsiaTheme="majorEastAsia" w:cstheme="majorEastAsia"/>
          <w:b/>
          <w:bCs/>
          <w:sz w:val="32"/>
          <w:highlight w:val="none"/>
          <w:lang w:eastAsia="zh-CN"/>
        </w:rPr>
      </w:pPr>
    </w:p>
    <w:p>
      <w:pPr>
        <w:pStyle w:val="6"/>
        <w:snapToGrid w:val="0"/>
        <w:spacing w:line="360" w:lineRule="auto"/>
        <w:ind w:left="0" w:firstLine="3855" w:firstLineChars="1200"/>
        <w:jc w:val="both"/>
        <w:rPr>
          <w:rFonts w:hint="eastAsia" w:asciiTheme="majorEastAsia" w:hAnsiTheme="majorEastAsia" w:eastAsiaTheme="majorEastAsia" w:cstheme="majorEastAsia"/>
          <w:b/>
          <w:bCs/>
          <w:sz w:val="32"/>
          <w:highlight w:val="none"/>
          <w:lang w:eastAsia="zh-CN"/>
        </w:rPr>
      </w:pPr>
    </w:p>
    <w:p>
      <w:pPr>
        <w:pStyle w:val="6"/>
        <w:snapToGrid w:val="0"/>
        <w:spacing w:line="360" w:lineRule="auto"/>
        <w:ind w:left="0" w:firstLine="3855" w:firstLineChars="1200"/>
        <w:jc w:val="both"/>
        <w:rPr>
          <w:rFonts w:hint="eastAsia" w:asciiTheme="majorEastAsia" w:hAnsiTheme="majorEastAsia" w:eastAsiaTheme="majorEastAsia" w:cstheme="majorEastAsia"/>
          <w:b/>
          <w:bCs/>
          <w:sz w:val="32"/>
          <w:highlight w:val="none"/>
          <w:lang w:eastAsia="zh-CN"/>
        </w:rPr>
      </w:pPr>
    </w:p>
    <w:p>
      <w:pPr>
        <w:pStyle w:val="6"/>
        <w:snapToGrid w:val="0"/>
        <w:spacing w:line="360" w:lineRule="auto"/>
        <w:ind w:left="0" w:firstLine="3855" w:firstLineChars="1200"/>
        <w:jc w:val="both"/>
        <w:rPr>
          <w:rFonts w:hint="eastAsia" w:asciiTheme="majorEastAsia" w:hAnsiTheme="majorEastAsia" w:eastAsiaTheme="majorEastAsia" w:cstheme="majorEastAsia"/>
          <w:b/>
          <w:bCs/>
          <w:sz w:val="32"/>
          <w:highlight w:val="none"/>
          <w:lang w:eastAsia="zh-CN"/>
        </w:rPr>
      </w:pPr>
    </w:p>
    <w:p>
      <w:pPr>
        <w:pStyle w:val="6"/>
        <w:snapToGrid w:val="0"/>
        <w:spacing w:line="360" w:lineRule="auto"/>
        <w:ind w:left="0" w:firstLine="3855" w:firstLineChars="1200"/>
        <w:jc w:val="both"/>
        <w:rPr>
          <w:rFonts w:hint="eastAsia" w:asciiTheme="majorEastAsia" w:hAnsiTheme="majorEastAsia" w:eastAsiaTheme="majorEastAsia" w:cstheme="majorEastAsia"/>
          <w:b/>
          <w:bCs/>
          <w:color w:val="000000" w:themeColor="text1"/>
          <w:sz w:val="32"/>
          <w:szCs w:val="3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eastAsia="zh-CN"/>
          <w14:textFill>
            <w14:solidFill>
              <w14:schemeClr w14:val="tx1"/>
            </w14:solidFill>
          </w14:textFill>
        </w:rPr>
        <w:t>目    录</w:t>
      </w:r>
    </w:p>
    <w:p>
      <w:pPr>
        <w:spacing w:line="360" w:lineRule="auto"/>
        <w:rPr>
          <w:rFonts w:hint="eastAsia" w:asciiTheme="majorEastAsia" w:hAnsiTheme="majorEastAsia" w:eastAsiaTheme="majorEastAsia" w:cstheme="majorEastAsia"/>
          <w:color w:val="FF0000"/>
          <w:sz w:val="28"/>
          <w:szCs w:val="28"/>
          <w:highlight w:val="none"/>
        </w:rPr>
      </w:pPr>
    </w:p>
    <w:p>
      <w:pPr>
        <w:numPr>
          <w:ilvl w:val="0"/>
          <w:numId w:val="2"/>
        </w:numPr>
        <w:snapToGrid w:val="0"/>
        <w:spacing w:line="360" w:lineRule="auto"/>
        <w:ind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投标书</w:t>
      </w:r>
    </w:p>
    <w:p>
      <w:pPr>
        <w:numPr>
          <w:ilvl w:val="0"/>
          <w:numId w:val="2"/>
        </w:numPr>
        <w:snapToGrid w:val="0"/>
        <w:spacing w:line="360" w:lineRule="auto"/>
        <w:ind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开标一览表</w:t>
      </w:r>
    </w:p>
    <w:p>
      <w:pPr>
        <w:numPr>
          <w:ilvl w:val="0"/>
          <w:numId w:val="2"/>
        </w:numPr>
        <w:snapToGrid w:val="0"/>
        <w:spacing w:line="360" w:lineRule="auto"/>
        <w:ind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价格明细表</w:t>
      </w:r>
    </w:p>
    <w:p>
      <w:pPr>
        <w:numPr>
          <w:ilvl w:val="0"/>
          <w:numId w:val="2"/>
        </w:numPr>
        <w:snapToGrid w:val="0"/>
        <w:spacing w:line="360" w:lineRule="auto"/>
        <w:ind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安保服务方案</w:t>
      </w:r>
    </w:p>
    <w:p>
      <w:pPr>
        <w:numPr>
          <w:ilvl w:val="0"/>
          <w:numId w:val="2"/>
        </w:numPr>
        <w:snapToGrid w:val="0"/>
        <w:spacing w:line="360" w:lineRule="auto"/>
        <w:ind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投标人业绩证明</w:t>
      </w:r>
    </w:p>
    <w:p>
      <w:pPr>
        <w:numPr>
          <w:ilvl w:val="0"/>
          <w:numId w:val="2"/>
        </w:numPr>
        <w:snapToGrid w:val="0"/>
        <w:spacing w:line="360" w:lineRule="auto"/>
        <w:ind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作业安全承诺书</w:t>
      </w:r>
    </w:p>
    <w:p>
      <w:pPr>
        <w:numPr>
          <w:ilvl w:val="0"/>
          <w:numId w:val="2"/>
        </w:numPr>
        <w:snapToGrid w:val="0"/>
        <w:spacing w:line="360" w:lineRule="auto"/>
        <w:ind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售后服务承诺书</w:t>
      </w:r>
    </w:p>
    <w:p>
      <w:pPr>
        <w:numPr>
          <w:ilvl w:val="0"/>
          <w:numId w:val="2"/>
        </w:numPr>
        <w:snapToGrid w:val="0"/>
        <w:spacing w:line="360" w:lineRule="auto"/>
        <w:ind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法人代表人授权书</w:t>
      </w:r>
    </w:p>
    <w:p>
      <w:pPr>
        <w:numPr>
          <w:ilvl w:val="0"/>
          <w:numId w:val="2"/>
        </w:numPr>
        <w:snapToGrid w:val="0"/>
        <w:spacing w:line="360" w:lineRule="auto"/>
        <w:ind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法人营业执照</w:t>
      </w:r>
    </w:p>
    <w:p>
      <w:pPr>
        <w:numPr>
          <w:ilvl w:val="0"/>
          <w:numId w:val="2"/>
        </w:numPr>
        <w:snapToGrid w:val="0"/>
        <w:spacing w:line="360" w:lineRule="auto"/>
        <w:ind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廉洁诚信承诺书</w:t>
      </w:r>
    </w:p>
    <w:p>
      <w:pPr>
        <w:snapToGrid w:val="0"/>
        <w:spacing w:line="360" w:lineRule="auto"/>
        <w:ind w:left="64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11、带“★”号条款逐条响应情况表</w:t>
      </w:r>
    </w:p>
    <w:p>
      <w:pPr>
        <w:snapToGrid w:val="0"/>
        <w:spacing w:line="360" w:lineRule="auto"/>
        <w:ind w:left="64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12、投标人提交的其他资料</w:t>
      </w:r>
    </w:p>
    <w:p>
      <w:pPr>
        <w:snapToGrid w:val="0"/>
        <w:spacing w:line="360" w:lineRule="auto"/>
        <w:ind w:left="64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13、秩序维护服务合同</w:t>
      </w:r>
    </w:p>
    <w:p>
      <w:pPr>
        <w:snapToGrid w:val="0"/>
        <w:spacing w:line="360" w:lineRule="auto"/>
        <w:ind w:left="64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14、投标人密封条</w:t>
      </w:r>
    </w:p>
    <w:p>
      <w:pPr>
        <w:snapToGrid w:val="0"/>
        <w:spacing w:line="360" w:lineRule="auto"/>
        <w:ind w:left="640"/>
        <w:jc w:val="left"/>
        <w:rPr>
          <w:rFonts w:hint="eastAsia" w:asciiTheme="majorEastAsia" w:hAnsiTheme="majorEastAsia" w:eastAsiaTheme="majorEastAsia" w:cstheme="majorEastAsia"/>
          <w:sz w:val="28"/>
          <w:szCs w:val="28"/>
          <w:highlight w:val="none"/>
        </w:rPr>
      </w:pPr>
    </w:p>
    <w:p>
      <w:pPr>
        <w:spacing w:line="360" w:lineRule="auto"/>
        <w:ind w:firstLine="314"/>
        <w:rPr>
          <w:rFonts w:hint="eastAsia" w:asciiTheme="majorEastAsia" w:hAnsiTheme="majorEastAsia" w:eastAsiaTheme="majorEastAsia" w:cstheme="majorEastAsia"/>
          <w:b/>
          <w:sz w:val="28"/>
          <w:szCs w:val="28"/>
          <w:highlight w:val="none"/>
        </w:rPr>
      </w:pPr>
    </w:p>
    <w:p>
      <w:pPr>
        <w:spacing w:line="360" w:lineRule="auto"/>
        <w:ind w:firstLine="314"/>
        <w:rPr>
          <w:rFonts w:hint="eastAsia" w:asciiTheme="majorEastAsia" w:hAnsiTheme="majorEastAsia" w:eastAsiaTheme="majorEastAsia" w:cstheme="majorEastAsia"/>
          <w:b/>
          <w:sz w:val="28"/>
          <w:szCs w:val="28"/>
          <w:highlight w:val="none"/>
        </w:rPr>
      </w:pPr>
    </w:p>
    <w:p>
      <w:pPr>
        <w:spacing w:line="360" w:lineRule="auto"/>
        <w:ind w:firstLine="562" w:firstLineChars="200"/>
        <w:jc w:val="left"/>
        <w:rPr>
          <w:rFonts w:hint="eastAsia" w:asciiTheme="majorEastAsia" w:hAnsiTheme="majorEastAsia" w:eastAsiaTheme="majorEastAsia" w:cstheme="majorEastAsia"/>
          <w:b/>
          <w:sz w:val="28"/>
          <w:szCs w:val="28"/>
          <w:highlight w:val="none"/>
        </w:rPr>
      </w:pPr>
      <w:r>
        <w:rPr>
          <w:rFonts w:hint="eastAsia" w:asciiTheme="majorEastAsia" w:hAnsiTheme="majorEastAsia" w:eastAsiaTheme="majorEastAsia" w:cstheme="majorEastAsia"/>
          <w:b/>
          <w:sz w:val="28"/>
          <w:szCs w:val="28"/>
          <w:highlight w:val="none"/>
        </w:rPr>
        <w:t>说明：投标人应按投标文件的实际情况编制目录</w:t>
      </w:r>
    </w:p>
    <w:p>
      <w:pPr>
        <w:spacing w:line="360" w:lineRule="auto"/>
        <w:ind w:firstLine="314"/>
        <w:rPr>
          <w:rFonts w:hint="eastAsia" w:asciiTheme="majorEastAsia" w:hAnsiTheme="majorEastAsia" w:eastAsiaTheme="majorEastAsia" w:cstheme="majorEastAsia"/>
          <w:b/>
          <w:sz w:val="32"/>
          <w:szCs w:val="32"/>
          <w:highlight w:val="none"/>
        </w:rPr>
      </w:pPr>
    </w:p>
    <w:p>
      <w:pPr>
        <w:spacing w:line="360" w:lineRule="auto"/>
        <w:ind w:firstLine="0"/>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sz w:val="32"/>
          <w:szCs w:val="32"/>
          <w:highlight w:val="none"/>
        </w:rPr>
        <w:br w:type="page"/>
      </w:r>
      <w:bookmarkStart w:id="436" w:name="_Toc186344305"/>
      <w:r>
        <w:rPr>
          <w:rFonts w:hint="eastAsia" w:asciiTheme="majorEastAsia" w:hAnsiTheme="majorEastAsia" w:eastAsiaTheme="majorEastAsia" w:cstheme="majorEastAsia"/>
          <w:b/>
          <w:bCs/>
          <w:sz w:val="32"/>
          <w:szCs w:val="32"/>
          <w:highlight w:val="none"/>
        </w:rPr>
        <w:t>格式1　　</w:t>
      </w:r>
    </w:p>
    <w:p>
      <w:pPr>
        <w:spacing w:line="360" w:lineRule="auto"/>
        <w:jc w:val="center"/>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bCs/>
          <w:sz w:val="32"/>
          <w:szCs w:val="32"/>
          <w:highlight w:val="none"/>
        </w:rPr>
        <w:t>投 标 书</w:t>
      </w:r>
      <w:bookmarkEnd w:id="436"/>
    </w:p>
    <w:p>
      <w:pPr>
        <w:spacing w:line="360" w:lineRule="auto"/>
        <w:rPr>
          <w:rFonts w:hint="eastAsia" w:asciiTheme="majorEastAsia" w:hAnsiTheme="majorEastAsia" w:eastAsiaTheme="majorEastAsia" w:cstheme="majorEastAsia"/>
          <w:sz w:val="32"/>
          <w:szCs w:val="32"/>
          <w:highlight w:val="none"/>
        </w:rPr>
      </w:pP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厦门国贸城市服务集团股份有限公司：</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根据贵方为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项目的投标要求（招标编号：</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，本签字代表</w:t>
      </w:r>
      <w:r>
        <w:rPr>
          <w:rFonts w:hint="eastAsia" w:ascii="宋体" w:hAnsi="宋体" w:eastAsia="宋体" w:cs="宋体"/>
          <w:sz w:val="28"/>
          <w:szCs w:val="28"/>
          <w:highlight w:val="none"/>
          <w:u w:val="single"/>
        </w:rPr>
        <w:t xml:space="preserve">   （全名、职务）   </w:t>
      </w:r>
      <w:r>
        <w:rPr>
          <w:rFonts w:hint="eastAsia" w:ascii="宋体" w:hAnsi="宋体" w:eastAsia="宋体" w:cs="宋体"/>
          <w:sz w:val="28"/>
          <w:szCs w:val="28"/>
          <w:highlight w:val="none"/>
        </w:rPr>
        <w:t>正式授权并代表投标人</w:t>
      </w:r>
      <w:r>
        <w:rPr>
          <w:rFonts w:hint="eastAsia" w:ascii="宋体" w:hAnsi="宋体" w:eastAsia="宋体" w:cs="宋体"/>
          <w:sz w:val="28"/>
          <w:szCs w:val="28"/>
          <w:highlight w:val="none"/>
          <w:u w:val="single"/>
        </w:rPr>
        <w:t xml:space="preserve">   （投标人名称、地址）   </w:t>
      </w:r>
      <w:r>
        <w:rPr>
          <w:rFonts w:hint="eastAsia" w:ascii="宋体" w:hAnsi="宋体" w:eastAsia="宋体" w:cs="宋体"/>
          <w:sz w:val="28"/>
          <w:szCs w:val="28"/>
          <w:highlight w:val="none"/>
        </w:rPr>
        <w:t>提交下述文件正本一份、副本一份、电子版一份(U盘介质）。</w:t>
      </w:r>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(1) 投标书</w:t>
            </w:r>
          </w:p>
        </w:tc>
        <w:tc>
          <w:tcPr>
            <w:tcW w:w="4463" w:type="dxa"/>
            <w:vAlign w:val="center"/>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(2) 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(3) 价格明细表</w:t>
            </w:r>
          </w:p>
        </w:tc>
        <w:tc>
          <w:tcPr>
            <w:tcW w:w="4463" w:type="dxa"/>
            <w:vAlign w:val="center"/>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(4) 安保服务方案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(5) 技术和商务偏离表</w:t>
            </w:r>
          </w:p>
        </w:tc>
        <w:tc>
          <w:tcPr>
            <w:tcW w:w="4463" w:type="dxa"/>
            <w:vAlign w:val="center"/>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(6) 法人代表授权书、法人营业执照、税务登记证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(7) 投标人</w:t>
            </w:r>
            <w:r>
              <w:rPr>
                <w:rFonts w:hint="eastAsia" w:ascii="宋体" w:hAnsi="宋体" w:eastAsia="宋体" w:cs="宋体"/>
                <w:bCs/>
                <w:sz w:val="28"/>
                <w:szCs w:val="28"/>
                <w:highlight w:val="none"/>
              </w:rPr>
              <w:t>提</w:t>
            </w:r>
            <w:r>
              <w:rPr>
                <w:rFonts w:hint="eastAsia" w:ascii="宋体" w:hAnsi="宋体" w:eastAsia="宋体" w:cs="宋体"/>
                <w:sz w:val="28"/>
                <w:szCs w:val="28"/>
                <w:highlight w:val="none"/>
              </w:rPr>
              <w:t>交的其它资料</w:t>
            </w:r>
          </w:p>
        </w:tc>
        <w:tc>
          <w:tcPr>
            <w:tcW w:w="4463" w:type="dxa"/>
            <w:vAlign w:val="center"/>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（8）以下方式提供的金额为人民币元的投标保证金。</w:t>
            </w:r>
          </w:p>
        </w:tc>
      </w:tr>
    </w:tbl>
    <w:p>
      <w:pPr>
        <w:spacing w:line="360" w:lineRule="auto"/>
        <w:rPr>
          <w:rFonts w:hint="eastAsia" w:ascii="宋体" w:hAnsi="宋体" w:eastAsia="宋体" w:cs="宋体"/>
          <w:sz w:val="28"/>
          <w:szCs w:val="28"/>
          <w:highlight w:val="none"/>
        </w:rPr>
      </w:pP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据此函，签字代表宣布同意如下：</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1.投标人已详细审查全部招标文件，包括修改文件（如有的话）和有关附件，将自行承担因对全部招标文件理解不正确或误解而产生的相应后果。</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2.投标人保证遵守招标文件的全部规定，投标人所提交的材料中所含的信息均为真实、准确、完整，且不具有任何误导性。</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3.投标人将按招标文件的规定履行合同责任和义务。</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4.本投标文件自开标日起投标有效期为：在招标文件投标人须知前附表第3项所规定的期限内保持有效。</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5.如果发生招标文件第二章投标人须知第12条所述情况，则同意招标人不予退还投标保证金。</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6.投标人同意提供按照招标人可能要求的与其投标有关的一切数据或资料，完全理解贵方不一定要接受最低的报价或收到的任何投标。</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7. 与本投标有关的一切正式往来通讯请寄：</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地址：</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邮编：</w:t>
      </w:r>
      <w:r>
        <w:rPr>
          <w:rFonts w:hint="eastAsia" w:ascii="宋体" w:hAnsi="宋体" w:eastAsia="宋体" w:cs="宋体"/>
          <w:sz w:val="28"/>
          <w:szCs w:val="28"/>
          <w:highlight w:val="none"/>
          <w:u w:val="single"/>
        </w:rPr>
        <w:t xml:space="preserve">        </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传真：</w:t>
      </w:r>
      <w:r>
        <w:rPr>
          <w:rFonts w:hint="eastAsia" w:ascii="宋体" w:hAnsi="宋体" w:eastAsia="宋体" w:cs="宋体"/>
          <w:sz w:val="28"/>
          <w:szCs w:val="28"/>
          <w:highlight w:val="none"/>
          <w:u w:val="single"/>
        </w:rPr>
        <w:t xml:space="preserve">              </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投标人代表签字：</w:t>
      </w:r>
      <w:r>
        <w:rPr>
          <w:rFonts w:hint="eastAsia" w:ascii="宋体" w:hAnsi="宋体" w:eastAsia="宋体" w:cs="宋体"/>
          <w:sz w:val="28"/>
          <w:szCs w:val="28"/>
          <w:highlight w:val="none"/>
          <w:u w:val="single"/>
        </w:rPr>
        <w:t xml:space="preserve">                 </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投标人（全称并加盖公章）：</w:t>
      </w:r>
      <w:r>
        <w:rPr>
          <w:rFonts w:hint="eastAsia" w:ascii="宋体" w:hAnsi="宋体" w:eastAsia="宋体" w:cs="宋体"/>
          <w:sz w:val="28"/>
          <w:szCs w:val="28"/>
          <w:highlight w:val="none"/>
          <w:u w:val="single"/>
        </w:rPr>
        <w:t xml:space="preserve">              </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日  期：2024年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360" w:lineRule="auto"/>
        <w:ind w:firstLine="0"/>
        <w:rPr>
          <w:rFonts w:hint="eastAsia" w:ascii="宋体" w:hAnsi="宋体" w:eastAsia="宋体" w:cs="宋体"/>
          <w:b/>
          <w:bCs/>
          <w:sz w:val="32"/>
          <w:szCs w:val="32"/>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32"/>
          <w:szCs w:val="32"/>
          <w:highlight w:val="none"/>
        </w:rPr>
        <w:t>格式2　</w:t>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开标一览表</w:t>
      </w:r>
    </w:p>
    <w:p>
      <w:pPr>
        <w:pStyle w:val="8"/>
        <w:tabs>
          <w:tab w:val="left" w:pos="3996"/>
          <w:tab w:val="left" w:pos="8437"/>
        </w:tabs>
        <w:spacing w:line="360" w:lineRule="auto"/>
        <w:ind w:left="36"/>
        <w:rPr>
          <w:rFonts w:hint="eastAsia" w:ascii="宋体" w:hAnsi="宋体" w:eastAsia="宋体" w:cs="宋体"/>
          <w:sz w:val="28"/>
          <w:szCs w:val="28"/>
          <w:highlight w:val="none"/>
        </w:rPr>
      </w:pPr>
    </w:p>
    <w:p>
      <w:pPr>
        <w:spacing w:line="36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投标人全称（加盖公章）：</w:t>
      </w:r>
      <w:r>
        <w:rPr>
          <w:rFonts w:hint="eastAsia" w:ascii="宋体" w:hAnsi="宋体" w:eastAsia="宋体" w:cs="宋体"/>
          <w:sz w:val="28"/>
          <w:szCs w:val="28"/>
          <w:highlight w:val="none"/>
          <w:u w:val="single"/>
        </w:rPr>
        <w:t xml:space="preserve">                 </w:t>
      </w:r>
    </w:p>
    <w:p>
      <w:pPr>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招标项目：</w:t>
      </w:r>
      <w:r>
        <w:rPr>
          <w:rFonts w:hint="eastAsia" w:ascii="宋体" w:hAnsi="宋体" w:eastAsia="宋体" w:cs="宋体"/>
          <w:sz w:val="28"/>
          <w:szCs w:val="28"/>
          <w:highlight w:val="none"/>
          <w:u w:val="single"/>
        </w:rPr>
        <w:t>　　　　　  　　     　　　　　</w:t>
      </w:r>
      <w:r>
        <w:rPr>
          <w:rFonts w:hint="eastAsia" w:ascii="宋体" w:hAnsi="宋体" w:eastAsia="宋体" w:cs="宋体"/>
          <w:sz w:val="28"/>
          <w:szCs w:val="28"/>
          <w:highlight w:val="none"/>
        </w:rPr>
        <w:t>　　　</w:t>
      </w:r>
    </w:p>
    <w:p>
      <w:pPr>
        <w:spacing w:line="36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招标编号：</w:t>
      </w:r>
      <w:r>
        <w:rPr>
          <w:rFonts w:hint="eastAsia" w:ascii="宋体" w:hAnsi="宋体" w:eastAsia="宋体" w:cs="宋体"/>
          <w:sz w:val="28"/>
          <w:szCs w:val="28"/>
          <w:highlight w:val="none"/>
          <w:u w:val="single"/>
        </w:rPr>
        <w:t xml:space="preserve">                               </w:t>
      </w:r>
    </w:p>
    <w:p>
      <w:pPr>
        <w:pStyle w:val="8"/>
        <w:tabs>
          <w:tab w:val="left" w:pos="3996"/>
          <w:tab w:val="left" w:pos="8437"/>
        </w:tabs>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货币单位：</w:t>
      </w:r>
      <w:r>
        <w:rPr>
          <w:rFonts w:hint="eastAsia" w:ascii="宋体" w:hAnsi="宋体" w:eastAsia="宋体" w:cs="宋体"/>
          <w:color w:val="auto"/>
          <w:sz w:val="28"/>
          <w:szCs w:val="28"/>
          <w:highlight w:val="none"/>
          <w:u w:val="single"/>
        </w:rPr>
        <w:t xml:space="preserve">                               </w:t>
      </w:r>
    </w:p>
    <w:p>
      <w:pPr>
        <w:pStyle w:val="8"/>
        <w:tabs>
          <w:tab w:val="left" w:pos="3996"/>
          <w:tab w:val="left" w:pos="8437"/>
        </w:tabs>
        <w:spacing w:line="360" w:lineRule="auto"/>
        <w:jc w:val="left"/>
        <w:rPr>
          <w:rFonts w:hint="eastAsia" w:ascii="宋体" w:hAnsi="宋体" w:eastAsia="宋体" w:cs="宋体"/>
          <w:color w:val="auto"/>
          <w:sz w:val="28"/>
          <w:szCs w:val="28"/>
          <w:highlight w:val="none"/>
          <w:u w:val="single"/>
        </w:rPr>
      </w:pPr>
    </w:p>
    <w:tbl>
      <w:tblPr>
        <w:tblStyle w:val="19"/>
        <w:tblW w:w="8967" w:type="dxa"/>
        <w:tblInd w:w="119"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692" w:hRule="exact"/>
        </w:trPr>
        <w:tc>
          <w:tcPr>
            <w:tcW w:w="1294"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项目名称</w:t>
            </w:r>
          </w:p>
        </w:tc>
        <w:tc>
          <w:tcPr>
            <w:tcW w:w="893"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数量</w:t>
            </w:r>
          </w:p>
        </w:tc>
        <w:tc>
          <w:tcPr>
            <w:tcW w:w="1981"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right="102" w:firstLine="0"/>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报价</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服务</w:t>
            </w:r>
            <w:r>
              <w:rPr>
                <w:rFonts w:hint="eastAsia" w:ascii="宋体" w:hAnsi="宋体" w:eastAsia="宋体" w:cs="宋体"/>
                <w:b/>
                <w:bCs/>
                <w:sz w:val="28"/>
                <w:szCs w:val="28"/>
                <w:highlight w:val="none"/>
              </w:rPr>
              <w:t>期</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right="107" w:firstLine="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投标保证金</w:t>
            </w:r>
          </w:p>
        </w:tc>
        <w:tc>
          <w:tcPr>
            <w:tcW w:w="1540"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75"/>
              <w:jc w:val="center"/>
              <w:rPr>
                <w:rFonts w:hint="eastAsia" w:ascii="宋体" w:hAnsi="宋体" w:eastAsia="宋体" w:cs="宋体"/>
                <w:sz w:val="28"/>
                <w:szCs w:val="28"/>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75"/>
              <w:jc w:val="center"/>
              <w:rPr>
                <w:rFonts w:hint="eastAsia" w:ascii="宋体" w:hAnsi="宋体" w:eastAsia="宋体" w:cs="宋体"/>
                <w:sz w:val="28"/>
                <w:szCs w:val="28"/>
                <w:highlight w:val="none"/>
              </w:rPr>
            </w:pPr>
          </w:p>
        </w:tc>
        <w:tc>
          <w:tcPr>
            <w:tcW w:w="198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75"/>
              <w:jc w:val="center"/>
              <w:rPr>
                <w:rFonts w:hint="eastAsia" w:ascii="宋体" w:hAnsi="宋体" w:eastAsia="宋体" w:cs="宋体"/>
                <w:sz w:val="28"/>
                <w:szCs w:val="28"/>
                <w:highlight w:val="none"/>
              </w:rPr>
            </w:pPr>
          </w:p>
        </w:tc>
        <w:tc>
          <w:tcPr>
            <w:tcW w:w="14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75"/>
              <w:jc w:val="center"/>
              <w:rPr>
                <w:rFonts w:hint="eastAsia" w:ascii="宋体" w:hAnsi="宋体" w:eastAsia="宋体" w:cs="宋体"/>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75"/>
              <w:jc w:val="center"/>
              <w:rPr>
                <w:rFonts w:hint="eastAsia" w:ascii="宋体" w:hAnsi="宋体" w:eastAsia="宋体" w:cs="宋体"/>
                <w:sz w:val="28"/>
                <w:szCs w:val="28"/>
                <w:highlight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75"/>
              <w:jc w:val="center"/>
              <w:rPr>
                <w:rFonts w:hint="eastAsia" w:ascii="宋体" w:hAnsi="宋体" w:eastAsia="宋体" w:cs="宋体"/>
                <w:sz w:val="28"/>
                <w:szCs w:val="28"/>
                <w:highlight w:val="none"/>
              </w:rPr>
            </w:pPr>
          </w:p>
        </w:tc>
      </w:tr>
    </w:tbl>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注：详细报价清单应另纸详列。</w:t>
      </w:r>
    </w:p>
    <w:p>
      <w:pPr>
        <w:pStyle w:val="8"/>
        <w:tabs>
          <w:tab w:val="left" w:pos="4340"/>
        </w:tabs>
        <w:spacing w:before="25" w:line="360" w:lineRule="auto"/>
        <w:ind w:right="946"/>
        <w:rPr>
          <w:rFonts w:hint="eastAsia" w:ascii="宋体" w:hAnsi="宋体" w:eastAsia="宋体" w:cs="宋体"/>
          <w:color w:val="auto"/>
          <w:sz w:val="28"/>
          <w:szCs w:val="28"/>
          <w:highlight w:val="none"/>
        </w:rPr>
      </w:pPr>
    </w:p>
    <w:p>
      <w:pPr>
        <w:spacing w:line="360" w:lineRule="auto"/>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rPr>
        <w:t>投标人（全称并加盖公章）：</w:t>
      </w:r>
    </w:p>
    <w:p>
      <w:pPr>
        <w:spacing w:line="360" w:lineRule="auto"/>
        <w:ind w:firstLine="280" w:firstLineChars="1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投标人代表签字： </w:t>
      </w:r>
    </w:p>
    <w:p>
      <w:pPr>
        <w:spacing w:line="360" w:lineRule="auto"/>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rPr>
        <w:t>日      期：</w:t>
      </w:r>
    </w:p>
    <w:p>
      <w:pPr>
        <w:spacing w:line="360" w:lineRule="auto"/>
        <w:rPr>
          <w:rFonts w:hint="eastAsia" w:ascii="宋体" w:hAnsi="宋体" w:eastAsia="宋体" w:cs="宋体"/>
          <w:sz w:val="28"/>
          <w:szCs w:val="28"/>
          <w:highlight w:val="none"/>
        </w:rPr>
      </w:pPr>
    </w:p>
    <w:p>
      <w:pPr>
        <w:pStyle w:val="8"/>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spacing w:line="360" w:lineRule="auto"/>
        <w:rPr>
          <w:rFonts w:hint="eastAsia" w:ascii="宋体" w:hAnsi="宋体" w:eastAsia="宋体" w:cs="宋体"/>
          <w:sz w:val="32"/>
          <w:szCs w:val="32"/>
          <w:highlight w:val="none"/>
        </w:rPr>
      </w:pPr>
      <w:r>
        <w:rPr>
          <w:rFonts w:hint="eastAsia" w:ascii="宋体" w:hAnsi="宋体" w:eastAsia="宋体" w:cs="宋体"/>
          <w:b/>
          <w:bCs/>
          <w:sz w:val="32"/>
          <w:szCs w:val="32"/>
          <w:highlight w:val="none"/>
        </w:rPr>
        <w:t>格式3</w:t>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价格明细表</w:t>
      </w:r>
    </w:p>
    <w:p>
      <w:pPr>
        <w:pStyle w:val="8"/>
        <w:spacing w:line="360" w:lineRule="auto"/>
        <w:rPr>
          <w:rFonts w:hint="eastAsia" w:ascii="宋体" w:hAnsi="宋体" w:eastAsia="宋体" w:cs="宋体"/>
          <w:sz w:val="28"/>
          <w:szCs w:val="28"/>
          <w:highlight w:val="none"/>
        </w:rPr>
      </w:pPr>
    </w:p>
    <w:p>
      <w:pPr>
        <w:spacing w:line="360" w:lineRule="auto"/>
        <w:jc w:val="center"/>
        <w:rPr>
          <w:rFonts w:hint="eastAsia" w:ascii="宋体" w:hAnsi="宋体" w:eastAsia="宋体" w:cs="宋体"/>
          <w:b/>
          <w:bCs/>
          <w:sz w:val="28"/>
          <w:szCs w:val="28"/>
          <w:highlight w:val="none"/>
        </w:rPr>
        <w:sectPr>
          <w:pgSz w:w="11907" w:h="16840"/>
          <w:pgMar w:top="1418" w:right="1418" w:bottom="1418" w:left="1418" w:header="857" w:footer="999" w:gutter="0"/>
          <w:pgNumType w:fmt="numberInDash"/>
          <w:cols w:space="720" w:num="1"/>
          <w:docGrid w:linePitch="286" w:charSpace="0"/>
        </w:sectPr>
      </w:pPr>
      <w:r>
        <w:rPr>
          <w:rFonts w:hint="eastAsia" w:ascii="宋体" w:hAnsi="宋体" w:eastAsia="宋体" w:cs="宋体"/>
          <w:b/>
          <w:bCs/>
          <w:sz w:val="28"/>
          <w:szCs w:val="28"/>
          <w:highlight w:val="none"/>
        </w:rPr>
        <w:t>（需投标人现场踏勘完毕结合现场提供服务价格明细）</w:t>
      </w:r>
    </w:p>
    <w:p>
      <w:pPr>
        <w:spacing w:line="360" w:lineRule="auto"/>
        <w:rPr>
          <w:rFonts w:hint="eastAsia" w:ascii="宋体" w:hAnsi="宋体" w:eastAsia="宋体" w:cs="宋体"/>
          <w:sz w:val="32"/>
          <w:szCs w:val="32"/>
          <w:highlight w:val="none"/>
        </w:rPr>
      </w:pPr>
      <w:bookmarkStart w:id="437" w:name="_bookmark30"/>
      <w:bookmarkEnd w:id="437"/>
      <w:r>
        <w:rPr>
          <w:rFonts w:hint="eastAsia" w:ascii="宋体" w:hAnsi="宋体" w:eastAsia="宋体" w:cs="宋体"/>
          <w:b/>
          <w:bCs/>
          <w:sz w:val="32"/>
          <w:szCs w:val="32"/>
          <w:highlight w:val="none"/>
        </w:rPr>
        <w:t>格式4</w:t>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sz w:val="32"/>
          <w:szCs w:val="32"/>
          <w:highlight w:val="none"/>
        </w:rPr>
        <w:t xml:space="preserve">     </w:t>
      </w:r>
      <w:r>
        <w:rPr>
          <w:rFonts w:hint="eastAsia" w:ascii="宋体" w:hAnsi="宋体" w:eastAsia="宋体" w:cs="宋体"/>
          <w:b/>
          <w:bCs/>
          <w:sz w:val="32"/>
          <w:szCs w:val="32"/>
          <w:highlight w:val="none"/>
        </w:rPr>
        <w:t>保安服务方案</w:t>
      </w:r>
    </w:p>
    <w:p>
      <w:pPr>
        <w:pStyle w:val="8"/>
        <w:spacing w:line="360" w:lineRule="auto"/>
        <w:rPr>
          <w:rFonts w:hint="eastAsia" w:ascii="宋体" w:hAnsi="宋体" w:eastAsia="宋体" w:cs="宋体"/>
          <w:sz w:val="28"/>
          <w:szCs w:val="28"/>
          <w:highlight w:val="none"/>
        </w:rPr>
      </w:pPr>
    </w:p>
    <w:p>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（需投标人现场踏勘完毕结合现场提供整套服务方案）</w:t>
      </w:r>
    </w:p>
    <w:p>
      <w:pPr>
        <w:pStyle w:val="8"/>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spacing w:line="360" w:lineRule="auto"/>
        <w:rPr>
          <w:rFonts w:hint="eastAsia" w:ascii="宋体" w:hAnsi="宋体" w:eastAsia="宋体" w:cs="宋体"/>
          <w:sz w:val="32"/>
          <w:szCs w:val="32"/>
          <w:highlight w:val="none"/>
        </w:rPr>
      </w:pPr>
      <w:r>
        <w:rPr>
          <w:rFonts w:hint="eastAsia" w:ascii="宋体" w:hAnsi="宋体" w:eastAsia="宋体" w:cs="宋体"/>
          <w:b/>
          <w:bCs/>
          <w:sz w:val="32"/>
          <w:szCs w:val="32"/>
          <w:highlight w:val="none"/>
        </w:rPr>
        <w:t>格式5</w:t>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投标人业绩证明</w:t>
      </w:r>
    </w:p>
    <w:p>
      <w:pPr>
        <w:pStyle w:val="10"/>
        <w:spacing w:before="156" w:beforeLines="50" w:line="360" w:lineRule="auto"/>
        <w:ind w:firstLine="560" w:firstLineChars="200"/>
        <w:jc w:val="left"/>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投标人承诺以上项目为投标人实际服务的工程项目。如投标人成为本次项目的中标人，接受招标人对上述项目的现场核实。</w:t>
      </w:r>
    </w:p>
    <w:tbl>
      <w:tblPr>
        <w:tblStyle w:val="20"/>
        <w:tblW w:w="851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245"/>
        <w:gridCol w:w="1955"/>
        <w:gridCol w:w="2022"/>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44" w:type="dxa"/>
          </w:tcPr>
          <w:p>
            <w:pPr>
              <w:pStyle w:val="10"/>
              <w:spacing w:line="360" w:lineRule="auto"/>
              <w:ind w:firstLine="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序号</w:t>
            </w:r>
          </w:p>
        </w:tc>
        <w:tc>
          <w:tcPr>
            <w:tcW w:w="2245" w:type="dxa"/>
          </w:tcPr>
          <w:p>
            <w:pPr>
              <w:pStyle w:val="10"/>
              <w:spacing w:line="360" w:lineRule="auto"/>
              <w:ind w:firstLine="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项目名称</w:t>
            </w:r>
          </w:p>
        </w:tc>
        <w:tc>
          <w:tcPr>
            <w:tcW w:w="1955" w:type="dxa"/>
          </w:tcPr>
          <w:p>
            <w:pPr>
              <w:pStyle w:val="10"/>
              <w:spacing w:line="360" w:lineRule="auto"/>
              <w:ind w:firstLine="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项目地址</w:t>
            </w:r>
          </w:p>
        </w:tc>
        <w:tc>
          <w:tcPr>
            <w:tcW w:w="2022" w:type="dxa"/>
          </w:tcPr>
          <w:p>
            <w:pPr>
              <w:pStyle w:val="10"/>
              <w:spacing w:line="360" w:lineRule="auto"/>
              <w:ind w:firstLine="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服务日期</w:t>
            </w:r>
          </w:p>
        </w:tc>
        <w:tc>
          <w:tcPr>
            <w:tcW w:w="1445" w:type="dxa"/>
          </w:tcPr>
          <w:p>
            <w:pPr>
              <w:pStyle w:val="10"/>
              <w:spacing w:line="360" w:lineRule="auto"/>
              <w:ind w:firstLine="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44" w:type="dxa"/>
          </w:tcPr>
          <w:p>
            <w:pPr>
              <w:pStyle w:val="10"/>
              <w:spacing w:line="360" w:lineRule="auto"/>
              <w:ind w:firstLine="275"/>
              <w:rPr>
                <w:rFonts w:hint="eastAsia" w:ascii="宋体" w:hAnsi="宋体" w:eastAsia="宋体" w:cs="宋体"/>
                <w:bCs/>
                <w:color w:val="000000"/>
                <w:sz w:val="28"/>
                <w:szCs w:val="28"/>
                <w:highlight w:val="none"/>
              </w:rPr>
            </w:pPr>
          </w:p>
        </w:tc>
        <w:tc>
          <w:tcPr>
            <w:tcW w:w="2245" w:type="dxa"/>
          </w:tcPr>
          <w:p>
            <w:pPr>
              <w:pStyle w:val="10"/>
              <w:spacing w:line="360" w:lineRule="auto"/>
              <w:ind w:firstLine="275"/>
              <w:rPr>
                <w:rFonts w:hint="eastAsia" w:ascii="宋体" w:hAnsi="宋体" w:eastAsia="宋体" w:cs="宋体"/>
                <w:bCs/>
                <w:color w:val="000000"/>
                <w:sz w:val="28"/>
                <w:szCs w:val="28"/>
                <w:highlight w:val="none"/>
              </w:rPr>
            </w:pPr>
          </w:p>
        </w:tc>
        <w:tc>
          <w:tcPr>
            <w:tcW w:w="1955" w:type="dxa"/>
          </w:tcPr>
          <w:p>
            <w:pPr>
              <w:pStyle w:val="10"/>
              <w:spacing w:line="360" w:lineRule="auto"/>
              <w:ind w:firstLine="275"/>
              <w:rPr>
                <w:rFonts w:hint="eastAsia" w:ascii="宋体" w:hAnsi="宋体" w:eastAsia="宋体" w:cs="宋体"/>
                <w:bCs/>
                <w:color w:val="000000"/>
                <w:sz w:val="28"/>
                <w:szCs w:val="28"/>
                <w:highlight w:val="none"/>
              </w:rPr>
            </w:pPr>
          </w:p>
        </w:tc>
        <w:tc>
          <w:tcPr>
            <w:tcW w:w="2022" w:type="dxa"/>
          </w:tcPr>
          <w:p>
            <w:pPr>
              <w:pStyle w:val="10"/>
              <w:spacing w:line="360" w:lineRule="auto"/>
              <w:ind w:firstLine="275"/>
              <w:rPr>
                <w:rFonts w:hint="eastAsia" w:ascii="宋体" w:hAnsi="宋体" w:eastAsia="宋体" w:cs="宋体"/>
                <w:bCs/>
                <w:color w:val="000000"/>
                <w:sz w:val="28"/>
                <w:szCs w:val="28"/>
                <w:highlight w:val="none"/>
              </w:rPr>
            </w:pPr>
          </w:p>
        </w:tc>
        <w:tc>
          <w:tcPr>
            <w:tcW w:w="1445" w:type="dxa"/>
          </w:tcPr>
          <w:p>
            <w:pPr>
              <w:pStyle w:val="10"/>
              <w:spacing w:line="360" w:lineRule="auto"/>
              <w:ind w:firstLine="275"/>
              <w:rPr>
                <w:rFonts w:hint="eastAsia" w:ascii="宋体" w:hAnsi="宋体" w:eastAsia="宋体" w:cs="宋体"/>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44" w:type="dxa"/>
          </w:tcPr>
          <w:p>
            <w:pPr>
              <w:pStyle w:val="10"/>
              <w:spacing w:line="360" w:lineRule="auto"/>
              <w:ind w:firstLine="275"/>
              <w:rPr>
                <w:rFonts w:hint="eastAsia" w:ascii="宋体" w:hAnsi="宋体" w:eastAsia="宋体" w:cs="宋体"/>
                <w:bCs/>
                <w:color w:val="000000"/>
                <w:sz w:val="28"/>
                <w:szCs w:val="28"/>
                <w:highlight w:val="none"/>
              </w:rPr>
            </w:pPr>
          </w:p>
        </w:tc>
        <w:tc>
          <w:tcPr>
            <w:tcW w:w="2245" w:type="dxa"/>
          </w:tcPr>
          <w:p>
            <w:pPr>
              <w:pStyle w:val="10"/>
              <w:spacing w:line="360" w:lineRule="auto"/>
              <w:ind w:firstLine="275"/>
              <w:rPr>
                <w:rFonts w:hint="eastAsia" w:ascii="宋体" w:hAnsi="宋体" w:eastAsia="宋体" w:cs="宋体"/>
                <w:bCs/>
                <w:color w:val="000000"/>
                <w:sz w:val="28"/>
                <w:szCs w:val="28"/>
                <w:highlight w:val="none"/>
              </w:rPr>
            </w:pPr>
          </w:p>
        </w:tc>
        <w:tc>
          <w:tcPr>
            <w:tcW w:w="1955" w:type="dxa"/>
          </w:tcPr>
          <w:p>
            <w:pPr>
              <w:pStyle w:val="10"/>
              <w:spacing w:line="360" w:lineRule="auto"/>
              <w:ind w:firstLine="275"/>
              <w:rPr>
                <w:rFonts w:hint="eastAsia" w:ascii="宋体" w:hAnsi="宋体" w:eastAsia="宋体" w:cs="宋体"/>
                <w:bCs/>
                <w:color w:val="000000"/>
                <w:sz w:val="28"/>
                <w:szCs w:val="28"/>
                <w:highlight w:val="none"/>
              </w:rPr>
            </w:pPr>
          </w:p>
        </w:tc>
        <w:tc>
          <w:tcPr>
            <w:tcW w:w="2022" w:type="dxa"/>
          </w:tcPr>
          <w:p>
            <w:pPr>
              <w:pStyle w:val="10"/>
              <w:spacing w:line="360" w:lineRule="auto"/>
              <w:ind w:firstLine="275"/>
              <w:rPr>
                <w:rFonts w:hint="eastAsia" w:ascii="宋体" w:hAnsi="宋体" w:eastAsia="宋体" w:cs="宋体"/>
                <w:bCs/>
                <w:color w:val="000000"/>
                <w:sz w:val="28"/>
                <w:szCs w:val="28"/>
                <w:highlight w:val="none"/>
              </w:rPr>
            </w:pPr>
          </w:p>
        </w:tc>
        <w:tc>
          <w:tcPr>
            <w:tcW w:w="1445" w:type="dxa"/>
          </w:tcPr>
          <w:p>
            <w:pPr>
              <w:pStyle w:val="10"/>
              <w:spacing w:line="360" w:lineRule="auto"/>
              <w:ind w:firstLine="275"/>
              <w:rPr>
                <w:rFonts w:hint="eastAsia" w:ascii="宋体" w:hAnsi="宋体" w:eastAsia="宋体" w:cs="宋体"/>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44" w:type="dxa"/>
          </w:tcPr>
          <w:p>
            <w:pPr>
              <w:pStyle w:val="10"/>
              <w:spacing w:line="360" w:lineRule="auto"/>
              <w:ind w:firstLine="275"/>
              <w:rPr>
                <w:rFonts w:hint="eastAsia" w:ascii="宋体" w:hAnsi="宋体" w:eastAsia="宋体" w:cs="宋体"/>
                <w:bCs/>
                <w:color w:val="000000"/>
                <w:sz w:val="28"/>
                <w:szCs w:val="28"/>
                <w:highlight w:val="none"/>
              </w:rPr>
            </w:pPr>
          </w:p>
        </w:tc>
        <w:tc>
          <w:tcPr>
            <w:tcW w:w="2245" w:type="dxa"/>
          </w:tcPr>
          <w:p>
            <w:pPr>
              <w:pStyle w:val="10"/>
              <w:spacing w:line="360" w:lineRule="auto"/>
              <w:ind w:firstLine="275"/>
              <w:rPr>
                <w:rFonts w:hint="eastAsia" w:ascii="宋体" w:hAnsi="宋体" w:eastAsia="宋体" w:cs="宋体"/>
                <w:bCs/>
                <w:color w:val="000000"/>
                <w:sz w:val="28"/>
                <w:szCs w:val="28"/>
                <w:highlight w:val="none"/>
              </w:rPr>
            </w:pPr>
          </w:p>
        </w:tc>
        <w:tc>
          <w:tcPr>
            <w:tcW w:w="1955" w:type="dxa"/>
          </w:tcPr>
          <w:p>
            <w:pPr>
              <w:pStyle w:val="10"/>
              <w:spacing w:line="360" w:lineRule="auto"/>
              <w:ind w:firstLine="275"/>
              <w:rPr>
                <w:rFonts w:hint="eastAsia" w:ascii="宋体" w:hAnsi="宋体" w:eastAsia="宋体" w:cs="宋体"/>
                <w:bCs/>
                <w:color w:val="000000"/>
                <w:sz w:val="28"/>
                <w:szCs w:val="28"/>
                <w:highlight w:val="none"/>
              </w:rPr>
            </w:pPr>
          </w:p>
        </w:tc>
        <w:tc>
          <w:tcPr>
            <w:tcW w:w="2022" w:type="dxa"/>
          </w:tcPr>
          <w:p>
            <w:pPr>
              <w:pStyle w:val="10"/>
              <w:spacing w:line="360" w:lineRule="auto"/>
              <w:ind w:firstLine="275"/>
              <w:rPr>
                <w:rFonts w:hint="eastAsia" w:ascii="宋体" w:hAnsi="宋体" w:eastAsia="宋体" w:cs="宋体"/>
                <w:bCs/>
                <w:color w:val="000000"/>
                <w:sz w:val="28"/>
                <w:szCs w:val="28"/>
                <w:highlight w:val="none"/>
              </w:rPr>
            </w:pPr>
          </w:p>
        </w:tc>
        <w:tc>
          <w:tcPr>
            <w:tcW w:w="1445" w:type="dxa"/>
          </w:tcPr>
          <w:p>
            <w:pPr>
              <w:pStyle w:val="10"/>
              <w:spacing w:line="360" w:lineRule="auto"/>
              <w:ind w:firstLine="275"/>
              <w:rPr>
                <w:rFonts w:hint="eastAsia" w:ascii="宋体" w:hAnsi="宋体" w:eastAsia="宋体" w:cs="宋体"/>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44" w:type="dxa"/>
          </w:tcPr>
          <w:p>
            <w:pPr>
              <w:pStyle w:val="10"/>
              <w:spacing w:line="360" w:lineRule="auto"/>
              <w:ind w:firstLine="275"/>
              <w:rPr>
                <w:rFonts w:hint="eastAsia" w:ascii="宋体" w:hAnsi="宋体" w:eastAsia="宋体" w:cs="宋体"/>
                <w:bCs/>
                <w:color w:val="000000"/>
                <w:sz w:val="28"/>
                <w:szCs w:val="28"/>
                <w:highlight w:val="none"/>
              </w:rPr>
            </w:pPr>
          </w:p>
        </w:tc>
        <w:tc>
          <w:tcPr>
            <w:tcW w:w="2245" w:type="dxa"/>
          </w:tcPr>
          <w:p>
            <w:pPr>
              <w:pStyle w:val="10"/>
              <w:spacing w:line="360" w:lineRule="auto"/>
              <w:ind w:firstLine="275"/>
              <w:rPr>
                <w:rFonts w:hint="eastAsia" w:ascii="宋体" w:hAnsi="宋体" w:eastAsia="宋体" w:cs="宋体"/>
                <w:bCs/>
                <w:color w:val="000000"/>
                <w:sz w:val="28"/>
                <w:szCs w:val="28"/>
                <w:highlight w:val="none"/>
              </w:rPr>
            </w:pPr>
          </w:p>
        </w:tc>
        <w:tc>
          <w:tcPr>
            <w:tcW w:w="1955" w:type="dxa"/>
          </w:tcPr>
          <w:p>
            <w:pPr>
              <w:pStyle w:val="10"/>
              <w:spacing w:line="360" w:lineRule="auto"/>
              <w:ind w:firstLine="275"/>
              <w:rPr>
                <w:rFonts w:hint="eastAsia" w:ascii="宋体" w:hAnsi="宋体" w:eastAsia="宋体" w:cs="宋体"/>
                <w:bCs/>
                <w:color w:val="000000"/>
                <w:sz w:val="28"/>
                <w:szCs w:val="28"/>
                <w:highlight w:val="none"/>
              </w:rPr>
            </w:pPr>
          </w:p>
        </w:tc>
        <w:tc>
          <w:tcPr>
            <w:tcW w:w="2022" w:type="dxa"/>
          </w:tcPr>
          <w:p>
            <w:pPr>
              <w:pStyle w:val="10"/>
              <w:spacing w:line="360" w:lineRule="auto"/>
              <w:ind w:firstLine="275"/>
              <w:rPr>
                <w:rFonts w:hint="eastAsia" w:ascii="宋体" w:hAnsi="宋体" w:eastAsia="宋体" w:cs="宋体"/>
                <w:bCs/>
                <w:color w:val="000000"/>
                <w:sz w:val="28"/>
                <w:szCs w:val="28"/>
                <w:highlight w:val="none"/>
              </w:rPr>
            </w:pPr>
          </w:p>
        </w:tc>
        <w:tc>
          <w:tcPr>
            <w:tcW w:w="1445" w:type="dxa"/>
          </w:tcPr>
          <w:p>
            <w:pPr>
              <w:pStyle w:val="10"/>
              <w:spacing w:line="360" w:lineRule="auto"/>
              <w:ind w:firstLine="275"/>
              <w:rPr>
                <w:rFonts w:hint="eastAsia" w:ascii="宋体" w:hAnsi="宋体" w:eastAsia="宋体" w:cs="宋体"/>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44" w:type="dxa"/>
          </w:tcPr>
          <w:p>
            <w:pPr>
              <w:pStyle w:val="10"/>
              <w:spacing w:line="360" w:lineRule="auto"/>
              <w:ind w:firstLine="275"/>
              <w:rPr>
                <w:rFonts w:hint="eastAsia" w:ascii="宋体" w:hAnsi="宋体" w:eastAsia="宋体" w:cs="宋体"/>
                <w:bCs/>
                <w:color w:val="000000"/>
                <w:sz w:val="28"/>
                <w:szCs w:val="28"/>
                <w:highlight w:val="none"/>
              </w:rPr>
            </w:pPr>
          </w:p>
        </w:tc>
        <w:tc>
          <w:tcPr>
            <w:tcW w:w="2245" w:type="dxa"/>
          </w:tcPr>
          <w:p>
            <w:pPr>
              <w:pStyle w:val="10"/>
              <w:spacing w:line="360" w:lineRule="auto"/>
              <w:ind w:firstLine="275"/>
              <w:rPr>
                <w:rFonts w:hint="eastAsia" w:ascii="宋体" w:hAnsi="宋体" w:eastAsia="宋体" w:cs="宋体"/>
                <w:bCs/>
                <w:color w:val="000000"/>
                <w:sz w:val="28"/>
                <w:szCs w:val="28"/>
                <w:highlight w:val="none"/>
              </w:rPr>
            </w:pPr>
          </w:p>
        </w:tc>
        <w:tc>
          <w:tcPr>
            <w:tcW w:w="1955" w:type="dxa"/>
          </w:tcPr>
          <w:p>
            <w:pPr>
              <w:pStyle w:val="10"/>
              <w:spacing w:line="360" w:lineRule="auto"/>
              <w:ind w:firstLine="275"/>
              <w:rPr>
                <w:rFonts w:hint="eastAsia" w:ascii="宋体" w:hAnsi="宋体" w:eastAsia="宋体" w:cs="宋体"/>
                <w:bCs/>
                <w:color w:val="000000"/>
                <w:sz w:val="28"/>
                <w:szCs w:val="28"/>
                <w:highlight w:val="none"/>
              </w:rPr>
            </w:pPr>
          </w:p>
        </w:tc>
        <w:tc>
          <w:tcPr>
            <w:tcW w:w="2022" w:type="dxa"/>
          </w:tcPr>
          <w:p>
            <w:pPr>
              <w:pStyle w:val="10"/>
              <w:spacing w:line="360" w:lineRule="auto"/>
              <w:ind w:firstLine="275"/>
              <w:rPr>
                <w:rFonts w:hint="eastAsia" w:ascii="宋体" w:hAnsi="宋体" w:eastAsia="宋体" w:cs="宋体"/>
                <w:bCs/>
                <w:color w:val="000000"/>
                <w:sz w:val="28"/>
                <w:szCs w:val="28"/>
                <w:highlight w:val="none"/>
              </w:rPr>
            </w:pPr>
          </w:p>
        </w:tc>
        <w:tc>
          <w:tcPr>
            <w:tcW w:w="1445" w:type="dxa"/>
          </w:tcPr>
          <w:p>
            <w:pPr>
              <w:pStyle w:val="10"/>
              <w:spacing w:line="360" w:lineRule="auto"/>
              <w:ind w:firstLine="275"/>
              <w:rPr>
                <w:rFonts w:hint="eastAsia" w:ascii="宋体" w:hAnsi="宋体" w:eastAsia="宋体" w:cs="宋体"/>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44" w:type="dxa"/>
          </w:tcPr>
          <w:p>
            <w:pPr>
              <w:pStyle w:val="10"/>
              <w:spacing w:line="360" w:lineRule="auto"/>
              <w:ind w:firstLine="275"/>
              <w:rPr>
                <w:rFonts w:hint="eastAsia" w:ascii="宋体" w:hAnsi="宋体" w:eastAsia="宋体" w:cs="宋体"/>
                <w:bCs/>
                <w:color w:val="000000"/>
                <w:sz w:val="28"/>
                <w:szCs w:val="28"/>
                <w:highlight w:val="none"/>
              </w:rPr>
            </w:pPr>
          </w:p>
        </w:tc>
        <w:tc>
          <w:tcPr>
            <w:tcW w:w="2245" w:type="dxa"/>
          </w:tcPr>
          <w:p>
            <w:pPr>
              <w:pStyle w:val="10"/>
              <w:spacing w:line="360" w:lineRule="auto"/>
              <w:ind w:firstLine="275"/>
              <w:rPr>
                <w:rFonts w:hint="eastAsia" w:ascii="宋体" w:hAnsi="宋体" w:eastAsia="宋体" w:cs="宋体"/>
                <w:bCs/>
                <w:color w:val="000000"/>
                <w:sz w:val="28"/>
                <w:szCs w:val="28"/>
                <w:highlight w:val="none"/>
              </w:rPr>
            </w:pPr>
          </w:p>
        </w:tc>
        <w:tc>
          <w:tcPr>
            <w:tcW w:w="1955" w:type="dxa"/>
          </w:tcPr>
          <w:p>
            <w:pPr>
              <w:pStyle w:val="10"/>
              <w:spacing w:line="360" w:lineRule="auto"/>
              <w:ind w:firstLine="275"/>
              <w:rPr>
                <w:rFonts w:hint="eastAsia" w:ascii="宋体" w:hAnsi="宋体" w:eastAsia="宋体" w:cs="宋体"/>
                <w:bCs/>
                <w:color w:val="000000"/>
                <w:sz w:val="28"/>
                <w:szCs w:val="28"/>
                <w:highlight w:val="none"/>
              </w:rPr>
            </w:pPr>
          </w:p>
        </w:tc>
        <w:tc>
          <w:tcPr>
            <w:tcW w:w="2022" w:type="dxa"/>
          </w:tcPr>
          <w:p>
            <w:pPr>
              <w:pStyle w:val="10"/>
              <w:spacing w:line="360" w:lineRule="auto"/>
              <w:ind w:firstLine="275"/>
              <w:rPr>
                <w:rFonts w:hint="eastAsia" w:ascii="宋体" w:hAnsi="宋体" w:eastAsia="宋体" w:cs="宋体"/>
                <w:bCs/>
                <w:color w:val="000000"/>
                <w:sz w:val="28"/>
                <w:szCs w:val="28"/>
                <w:highlight w:val="none"/>
              </w:rPr>
            </w:pPr>
          </w:p>
        </w:tc>
        <w:tc>
          <w:tcPr>
            <w:tcW w:w="1445" w:type="dxa"/>
          </w:tcPr>
          <w:p>
            <w:pPr>
              <w:pStyle w:val="10"/>
              <w:spacing w:line="360" w:lineRule="auto"/>
              <w:ind w:firstLine="275"/>
              <w:rPr>
                <w:rFonts w:hint="eastAsia" w:ascii="宋体" w:hAnsi="宋体" w:eastAsia="宋体" w:cs="宋体"/>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44" w:type="dxa"/>
          </w:tcPr>
          <w:p>
            <w:pPr>
              <w:pStyle w:val="10"/>
              <w:spacing w:line="360" w:lineRule="auto"/>
              <w:ind w:firstLine="275"/>
              <w:rPr>
                <w:rFonts w:hint="eastAsia" w:ascii="宋体" w:hAnsi="宋体" w:eastAsia="宋体" w:cs="宋体"/>
                <w:bCs/>
                <w:color w:val="000000"/>
                <w:sz w:val="28"/>
                <w:szCs w:val="28"/>
                <w:highlight w:val="none"/>
              </w:rPr>
            </w:pPr>
          </w:p>
        </w:tc>
        <w:tc>
          <w:tcPr>
            <w:tcW w:w="2245" w:type="dxa"/>
          </w:tcPr>
          <w:p>
            <w:pPr>
              <w:pStyle w:val="10"/>
              <w:spacing w:line="360" w:lineRule="auto"/>
              <w:ind w:firstLine="275"/>
              <w:rPr>
                <w:rFonts w:hint="eastAsia" w:ascii="宋体" w:hAnsi="宋体" w:eastAsia="宋体" w:cs="宋体"/>
                <w:bCs/>
                <w:color w:val="000000"/>
                <w:sz w:val="28"/>
                <w:szCs w:val="28"/>
                <w:highlight w:val="none"/>
              </w:rPr>
            </w:pPr>
          </w:p>
        </w:tc>
        <w:tc>
          <w:tcPr>
            <w:tcW w:w="1955" w:type="dxa"/>
          </w:tcPr>
          <w:p>
            <w:pPr>
              <w:pStyle w:val="10"/>
              <w:spacing w:line="360" w:lineRule="auto"/>
              <w:ind w:firstLine="275"/>
              <w:rPr>
                <w:rFonts w:hint="eastAsia" w:ascii="宋体" w:hAnsi="宋体" w:eastAsia="宋体" w:cs="宋体"/>
                <w:bCs/>
                <w:color w:val="000000"/>
                <w:sz w:val="28"/>
                <w:szCs w:val="28"/>
                <w:highlight w:val="none"/>
              </w:rPr>
            </w:pPr>
          </w:p>
        </w:tc>
        <w:tc>
          <w:tcPr>
            <w:tcW w:w="2022" w:type="dxa"/>
          </w:tcPr>
          <w:p>
            <w:pPr>
              <w:pStyle w:val="10"/>
              <w:spacing w:line="360" w:lineRule="auto"/>
              <w:ind w:firstLine="275"/>
              <w:rPr>
                <w:rFonts w:hint="eastAsia" w:ascii="宋体" w:hAnsi="宋体" w:eastAsia="宋体" w:cs="宋体"/>
                <w:bCs/>
                <w:color w:val="000000"/>
                <w:sz w:val="28"/>
                <w:szCs w:val="28"/>
                <w:highlight w:val="none"/>
              </w:rPr>
            </w:pPr>
          </w:p>
        </w:tc>
        <w:tc>
          <w:tcPr>
            <w:tcW w:w="1445" w:type="dxa"/>
          </w:tcPr>
          <w:p>
            <w:pPr>
              <w:pStyle w:val="10"/>
              <w:spacing w:line="360" w:lineRule="auto"/>
              <w:ind w:firstLine="275"/>
              <w:rPr>
                <w:rFonts w:hint="eastAsia" w:ascii="宋体" w:hAnsi="宋体" w:eastAsia="宋体" w:cs="宋体"/>
                <w:bCs/>
                <w:color w:val="000000"/>
                <w:sz w:val="28"/>
                <w:szCs w:val="28"/>
                <w:highlight w:val="none"/>
              </w:rPr>
            </w:pPr>
          </w:p>
        </w:tc>
      </w:tr>
    </w:tbl>
    <w:p>
      <w:pPr>
        <w:pStyle w:val="10"/>
        <w:spacing w:line="360" w:lineRule="auto"/>
        <w:ind w:firstLine="275"/>
        <w:rPr>
          <w:rFonts w:hint="eastAsia" w:ascii="宋体" w:hAnsi="宋体" w:eastAsia="宋体" w:cs="宋体"/>
          <w:bCs/>
          <w:color w:val="000000"/>
          <w:sz w:val="28"/>
          <w:szCs w:val="28"/>
          <w:highlight w:val="none"/>
        </w:rPr>
      </w:pPr>
    </w:p>
    <w:p>
      <w:pPr>
        <w:spacing w:line="360" w:lineRule="auto"/>
        <w:ind w:firstLine="280" w:firstLine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投标人（全称并加盖公章）：</w:t>
      </w:r>
    </w:p>
    <w:p>
      <w:pPr>
        <w:spacing w:line="360" w:lineRule="auto"/>
        <w:ind w:firstLine="280" w:firstLineChars="1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投标人代表签字： </w:t>
      </w:r>
    </w:p>
    <w:p>
      <w:pPr>
        <w:spacing w:line="360" w:lineRule="auto"/>
        <w:ind w:firstLine="280" w:firstLine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日      期：</w:t>
      </w:r>
    </w:p>
    <w:p>
      <w:pPr>
        <w:spacing w:line="360" w:lineRule="auto"/>
        <w:ind w:firstLine="275"/>
        <w:jc w:val="left"/>
        <w:rPr>
          <w:rFonts w:hint="eastAsia" w:ascii="宋体" w:hAnsi="宋体" w:eastAsia="宋体" w:cs="宋体"/>
          <w:b/>
          <w:bCs/>
          <w:sz w:val="32"/>
          <w:szCs w:val="32"/>
          <w:highlight w:val="none"/>
        </w:rPr>
      </w:pPr>
      <w:r>
        <w:rPr>
          <w:rFonts w:hint="eastAsia" w:ascii="宋体" w:hAnsi="宋体" w:eastAsia="宋体" w:cs="宋体"/>
          <w:bCs/>
          <w:color w:val="000000"/>
          <w:sz w:val="28"/>
          <w:szCs w:val="28"/>
          <w:highlight w:val="none"/>
        </w:rPr>
        <w:br w:type="page"/>
      </w:r>
      <w:r>
        <w:rPr>
          <w:rFonts w:hint="eastAsia" w:ascii="宋体" w:hAnsi="宋体" w:eastAsia="宋体" w:cs="宋体"/>
          <w:b/>
          <w:bCs/>
          <w:sz w:val="32"/>
          <w:szCs w:val="32"/>
          <w:highlight w:val="none"/>
        </w:rPr>
        <w:t>格式6</w:t>
      </w: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作业安全承诺书</w:t>
      </w:r>
    </w:p>
    <w:p>
      <w:pPr>
        <w:spacing w:line="360" w:lineRule="auto"/>
        <w:ind w:firstLine="275"/>
        <w:jc w:val="center"/>
        <w:rPr>
          <w:rFonts w:hint="eastAsia" w:ascii="宋体" w:hAnsi="宋体" w:eastAsia="宋体" w:cs="宋体"/>
          <w:sz w:val="28"/>
          <w:szCs w:val="28"/>
          <w:highlight w:val="none"/>
        </w:rPr>
      </w:pPr>
    </w:p>
    <w:p>
      <w:pPr>
        <w:spacing w:line="360" w:lineRule="auto"/>
        <w:ind w:firstLine="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致：厦门国贸城市服务集团股份有限公司</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秩序维护服务□其他____________），我司承诺如下：</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一、加强对现场工作人员的安全教育，增强现场工作人员的安全意识和安全技术水平。</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二、作业携带的设备及用具，符合国家和企业安全规程要求，特种作业人员须持有效证件操作。</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五、我司对作业人员投保相关的安全责任险。</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七、在高温、大风等不良气候条件下作业时，我司自备防高温、防风、防雨、防雷击等安全措施，确保安全作业。</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十、作业材料堆放整齐，垃圾及时处理，不影响贵司正常秩序及通信畅通。</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十一、贵司有权对我司作业现场安全进行指导及监督，对作业现场检查时提出的违章现象和安全隐患，我司立即整改。如出现危及人身和设备安全的紧急情况，贵司有权对我司进行处罚或责令我司停止作业。</w:t>
      </w:r>
    </w:p>
    <w:p>
      <w:pPr>
        <w:spacing w:line="360" w:lineRule="auto"/>
        <w:ind w:firstLine="560" w:firstLineChars="200"/>
        <w:jc w:val="left"/>
        <w:rPr>
          <w:rFonts w:hint="eastAsia" w:ascii="宋体" w:hAnsi="宋体" w:eastAsia="宋体" w:cs="宋体"/>
          <w:sz w:val="28"/>
          <w:szCs w:val="28"/>
          <w:highlight w:val="none"/>
        </w:rPr>
      </w:pPr>
    </w:p>
    <w:p>
      <w:pPr>
        <w:spacing w:line="360" w:lineRule="auto"/>
        <w:ind w:firstLine="275"/>
        <w:jc w:val="left"/>
        <w:rPr>
          <w:rFonts w:hint="eastAsia" w:ascii="宋体" w:hAnsi="宋体" w:eastAsia="宋体" w:cs="宋体"/>
          <w:sz w:val="28"/>
          <w:szCs w:val="28"/>
          <w:highlight w:val="none"/>
        </w:rPr>
      </w:pPr>
    </w:p>
    <w:p>
      <w:pPr>
        <w:pStyle w:val="10"/>
        <w:spacing w:line="360" w:lineRule="auto"/>
        <w:ind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投标人（全称并加盖公章）：</w:t>
      </w:r>
    </w:p>
    <w:p>
      <w:pPr>
        <w:spacing w:line="360" w:lineRule="auto"/>
        <w:ind w:firstLine="0" w:firstLineChars="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投标人代表签字： </w:t>
      </w:r>
    </w:p>
    <w:p>
      <w:pPr>
        <w:spacing w:line="360" w:lineRule="auto"/>
        <w:ind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日      期：</w:t>
      </w: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格式7 </w:t>
      </w:r>
    </w:p>
    <w:p>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32"/>
          <w:szCs w:val="32"/>
          <w:highlight w:val="none"/>
        </w:rPr>
        <w:t>售后服务承诺函</w:t>
      </w:r>
      <w:r>
        <w:rPr>
          <w:rFonts w:hint="eastAsia" w:ascii="宋体" w:hAnsi="宋体" w:eastAsia="宋体" w:cs="宋体"/>
          <w:b/>
          <w:bCs/>
          <w:sz w:val="28"/>
          <w:szCs w:val="28"/>
          <w:highlight w:val="none"/>
        </w:rPr>
        <w:cr/>
      </w:r>
    </w:p>
    <w:p>
      <w:pPr>
        <w:pStyle w:val="8"/>
        <w:tabs>
          <w:tab w:val="left" w:pos="4580"/>
        </w:tabs>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根据贵方为</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招标项目的投标要求，我公司对该项目做出如下售后服务方案：</w:t>
      </w: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pStyle w:val="8"/>
        <w:spacing w:line="360" w:lineRule="auto"/>
        <w:ind w:left="3042" w:right="1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（内容根据招标文件要求自拟）</w:t>
      </w:r>
    </w:p>
    <w:p>
      <w:pPr>
        <w:spacing w:line="360" w:lineRule="auto"/>
        <w:ind w:firstLine="560" w:firstLineChars="200"/>
        <w:rPr>
          <w:rFonts w:hint="eastAsia" w:ascii="宋体" w:hAnsi="宋体" w:eastAsia="宋体" w:cs="宋体"/>
          <w:sz w:val="28"/>
          <w:szCs w:val="28"/>
          <w:highlight w:val="none"/>
        </w:rPr>
      </w:pPr>
    </w:p>
    <w:p>
      <w:pPr>
        <w:tabs>
          <w:tab w:val="left" w:pos="681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ab/>
      </w:r>
    </w:p>
    <w:p>
      <w:pPr>
        <w:spacing w:line="360" w:lineRule="auto"/>
        <w:rPr>
          <w:rFonts w:hint="eastAsia" w:ascii="宋体" w:hAnsi="宋体" w:eastAsia="宋体" w:cs="宋体"/>
          <w:sz w:val="28"/>
          <w:szCs w:val="28"/>
          <w:highlight w:val="none"/>
        </w:rPr>
      </w:pPr>
    </w:p>
    <w:p>
      <w:pPr>
        <w:spacing w:line="360" w:lineRule="auto"/>
        <w:ind w:firstLine="4900" w:firstLineChars="1750"/>
        <w:rPr>
          <w:rFonts w:hint="eastAsia" w:ascii="宋体" w:hAnsi="宋体" w:eastAsia="宋体" w:cs="宋体"/>
          <w:sz w:val="28"/>
          <w:szCs w:val="28"/>
          <w:highlight w:val="none"/>
        </w:rPr>
      </w:pPr>
      <w:r>
        <w:rPr>
          <w:rFonts w:hint="eastAsia" w:ascii="宋体" w:hAnsi="宋体" w:eastAsia="宋体" w:cs="宋体"/>
          <w:sz w:val="28"/>
          <w:szCs w:val="28"/>
          <w:highlight w:val="none"/>
        </w:rPr>
        <w:t>投标人全称（加盖公章）：</w:t>
      </w:r>
    </w:p>
    <w:p>
      <w:pPr>
        <w:spacing w:line="360" w:lineRule="auto"/>
        <w:ind w:firstLine="4900" w:firstLineChars="175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投标人代表签字：</w:t>
      </w:r>
    </w:p>
    <w:p>
      <w:pPr>
        <w:spacing w:line="360" w:lineRule="auto"/>
        <w:ind w:firstLine="4900" w:firstLineChars="175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日          期：</w:t>
      </w:r>
    </w:p>
    <w:p>
      <w:pPr>
        <w:spacing w:line="360" w:lineRule="auto"/>
        <w:rPr>
          <w:rFonts w:hint="eastAsia" w:ascii="宋体" w:hAnsi="宋体" w:eastAsia="宋体" w:cs="宋体"/>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格式8   </w:t>
      </w:r>
    </w:p>
    <w:p>
      <w:pPr>
        <w:spacing w:line="360" w:lineRule="auto"/>
        <w:ind w:firstLine="354"/>
        <w:jc w:val="center"/>
        <w:rPr>
          <w:rFonts w:hint="eastAsia" w:ascii="宋体" w:hAnsi="宋体" w:eastAsia="宋体" w:cs="宋体"/>
          <w:b/>
          <w:bCs/>
          <w:sz w:val="28"/>
          <w:szCs w:val="28"/>
          <w:highlight w:val="none"/>
        </w:rPr>
      </w:pPr>
      <w:r>
        <w:rPr>
          <w:rFonts w:hint="eastAsia" w:ascii="宋体" w:hAnsi="宋体" w:eastAsia="宋体" w:cs="宋体"/>
          <w:b/>
          <w:bCs/>
          <w:sz w:val="32"/>
          <w:szCs w:val="32"/>
          <w:highlight w:val="none"/>
        </w:rPr>
        <w:t>法定代表人授权书</w:t>
      </w:r>
      <w:r>
        <w:rPr>
          <w:rFonts w:hint="eastAsia" w:ascii="宋体" w:hAnsi="宋体" w:eastAsia="宋体" w:cs="宋体"/>
          <w:b/>
          <w:bCs/>
          <w:sz w:val="28"/>
          <w:szCs w:val="28"/>
          <w:highlight w:val="none"/>
        </w:rPr>
        <w:cr/>
      </w:r>
    </w:p>
    <w:p>
      <w:pPr>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厦门国贸服务城市集团股份有限公司</w:t>
      </w:r>
      <w:r>
        <w:rPr>
          <w:rFonts w:hint="eastAsia" w:ascii="宋体" w:hAnsi="宋体" w:eastAsia="宋体" w:cs="宋体"/>
          <w:sz w:val="28"/>
          <w:szCs w:val="28"/>
          <w:highlight w:val="none"/>
        </w:rPr>
        <w:t>：</w:t>
      </w:r>
    </w:p>
    <w:p>
      <w:pPr>
        <w:pStyle w:val="10"/>
        <w:snapToGrid w:val="0"/>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（投标人全称）</w:t>
      </w: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（法人姓名）  </w:t>
      </w:r>
      <w:r>
        <w:rPr>
          <w:rFonts w:hint="eastAsia" w:ascii="宋体" w:hAnsi="宋体" w:eastAsia="宋体" w:cs="宋体"/>
          <w:sz w:val="28"/>
          <w:szCs w:val="28"/>
          <w:highlight w:val="none"/>
        </w:rPr>
        <w:t>授权</w:t>
      </w:r>
      <w:r>
        <w:rPr>
          <w:rFonts w:hint="eastAsia" w:ascii="宋体" w:hAnsi="宋体" w:eastAsia="宋体" w:cs="宋体"/>
          <w:sz w:val="28"/>
          <w:szCs w:val="28"/>
          <w:highlight w:val="none"/>
          <w:u w:val="single"/>
        </w:rPr>
        <w:t xml:space="preserve">  （投标人代表姓名） </w:t>
      </w:r>
      <w:r>
        <w:rPr>
          <w:rFonts w:hint="eastAsia" w:ascii="宋体" w:hAnsi="宋体" w:eastAsia="宋体" w:cs="宋体"/>
          <w:sz w:val="28"/>
          <w:szCs w:val="28"/>
          <w:highlight w:val="none"/>
        </w:rPr>
        <w:t>为投标人代表，代表本公司参加贵公司组织的项目（</w:t>
      </w:r>
      <w:r>
        <w:rPr>
          <w:rFonts w:hint="eastAsia" w:ascii="宋体" w:hAnsi="宋体" w:eastAsia="宋体" w:cs="宋体"/>
          <w:sz w:val="28"/>
          <w:szCs w:val="28"/>
          <w:highlight w:val="none"/>
          <w:u w:val="single"/>
        </w:rPr>
        <w:t xml:space="preserve">招标编号：       </w:t>
      </w:r>
      <w:r>
        <w:rPr>
          <w:rFonts w:hint="eastAsia" w:ascii="宋体" w:hAnsi="宋体" w:eastAsia="宋体" w:cs="宋体"/>
          <w:sz w:val="28"/>
          <w:szCs w:val="28"/>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本授权书自出具之日起生效。</w:t>
      </w:r>
    </w:p>
    <w:p>
      <w:pPr>
        <w:spacing w:line="36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投标人代表：</w:t>
      </w:r>
      <w:r>
        <w:rPr>
          <w:rFonts w:hint="eastAsia" w:ascii="宋体" w:hAnsi="宋体" w:eastAsia="宋体" w:cs="宋体"/>
          <w:sz w:val="28"/>
          <w:szCs w:val="28"/>
          <w:highlight w:val="none"/>
          <w:u w:val="single"/>
        </w:rPr>
        <w:t xml:space="preserve">                         </w:t>
      </w:r>
    </w:p>
    <w:p>
      <w:pPr>
        <w:spacing w:line="36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性别：</w:t>
      </w:r>
      <w:r>
        <w:rPr>
          <w:rFonts w:hint="eastAsia" w:ascii="宋体" w:hAnsi="宋体" w:eastAsia="宋体" w:cs="宋体"/>
          <w:sz w:val="28"/>
          <w:szCs w:val="28"/>
          <w:highlight w:val="none"/>
          <w:u w:val="single"/>
        </w:rPr>
        <w:t xml:space="preserve">                               </w:t>
      </w:r>
    </w:p>
    <w:p>
      <w:pPr>
        <w:spacing w:line="36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身份证号：</w:t>
      </w:r>
      <w:r>
        <w:rPr>
          <w:rFonts w:hint="eastAsia" w:ascii="宋体" w:hAnsi="宋体" w:eastAsia="宋体" w:cs="宋体"/>
          <w:sz w:val="28"/>
          <w:szCs w:val="28"/>
          <w:highlight w:val="none"/>
          <w:u w:val="single"/>
        </w:rPr>
        <w:t xml:space="preserve">                           </w:t>
      </w:r>
    </w:p>
    <w:p>
      <w:pPr>
        <w:spacing w:line="36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单位：</w:t>
      </w:r>
      <w:r>
        <w:rPr>
          <w:rFonts w:hint="eastAsia" w:ascii="宋体" w:hAnsi="宋体" w:eastAsia="宋体" w:cs="宋体"/>
          <w:sz w:val="28"/>
          <w:szCs w:val="28"/>
          <w:highlight w:val="none"/>
          <w:u w:val="single"/>
        </w:rPr>
        <w:t xml:space="preserve">                               </w:t>
      </w:r>
    </w:p>
    <w:p>
      <w:pPr>
        <w:spacing w:line="36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部门：</w:t>
      </w:r>
      <w:r>
        <w:rPr>
          <w:rFonts w:hint="eastAsia" w:ascii="宋体" w:hAnsi="宋体" w:eastAsia="宋体" w:cs="宋体"/>
          <w:sz w:val="28"/>
          <w:szCs w:val="28"/>
          <w:highlight w:val="none"/>
          <w:u w:val="single"/>
        </w:rPr>
        <w:t xml:space="preserve">                               </w:t>
      </w:r>
    </w:p>
    <w:p>
      <w:pPr>
        <w:spacing w:line="36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职务：</w:t>
      </w:r>
      <w:r>
        <w:rPr>
          <w:rFonts w:hint="eastAsia" w:ascii="宋体" w:hAnsi="宋体" w:eastAsia="宋体" w:cs="宋体"/>
          <w:sz w:val="28"/>
          <w:szCs w:val="28"/>
          <w:highlight w:val="none"/>
          <w:u w:val="single"/>
        </w:rPr>
        <w:t xml:space="preserve">                               </w:t>
      </w:r>
    </w:p>
    <w:p>
      <w:pPr>
        <w:spacing w:line="36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详细通讯地址：</w:t>
      </w:r>
      <w:r>
        <w:rPr>
          <w:rFonts w:hint="eastAsia" w:ascii="宋体" w:hAnsi="宋体" w:eastAsia="宋体" w:cs="宋体"/>
          <w:sz w:val="28"/>
          <w:szCs w:val="28"/>
          <w:highlight w:val="none"/>
          <w:u w:val="single"/>
        </w:rPr>
        <w:t xml:space="preserve">                       </w:t>
      </w:r>
    </w:p>
    <w:p>
      <w:pPr>
        <w:spacing w:line="36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邮政编码：</w:t>
      </w:r>
      <w:r>
        <w:rPr>
          <w:rFonts w:hint="eastAsia" w:ascii="宋体" w:hAnsi="宋体" w:eastAsia="宋体" w:cs="宋体"/>
          <w:sz w:val="28"/>
          <w:szCs w:val="28"/>
          <w:highlight w:val="none"/>
          <w:u w:val="single"/>
        </w:rPr>
        <w:t xml:space="preserve">                           </w:t>
      </w:r>
    </w:p>
    <w:p>
      <w:pPr>
        <w:spacing w:line="36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u w:val="single"/>
        </w:rPr>
        <w:t xml:space="preserve">                               </w:t>
      </w:r>
    </w:p>
    <w:p>
      <w:pPr>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附：被授权人身份证件</w:t>
      </w:r>
    </w:p>
    <w:p>
      <w:pPr>
        <w:spacing w:line="360" w:lineRule="auto"/>
        <w:jc w:val="left"/>
        <w:rPr>
          <w:rFonts w:hint="eastAsia" w:ascii="宋体" w:hAnsi="宋体" w:eastAsia="宋体" w:cs="宋体"/>
          <w:sz w:val="28"/>
          <w:szCs w:val="28"/>
          <w:highlight w:val="none"/>
        </w:rPr>
      </w:pPr>
    </w:p>
    <w:p>
      <w:pPr>
        <w:spacing w:line="360" w:lineRule="auto"/>
        <w:jc w:val="left"/>
        <w:rPr>
          <w:rFonts w:hint="eastAsia" w:ascii="宋体" w:hAnsi="宋体" w:eastAsia="宋体" w:cs="宋体"/>
          <w:sz w:val="28"/>
          <w:szCs w:val="28"/>
          <w:highlight w:val="none"/>
        </w:rPr>
      </w:pPr>
    </w:p>
    <w:p>
      <w:pPr>
        <w:spacing w:line="360" w:lineRule="auto"/>
        <w:jc w:val="left"/>
        <w:rPr>
          <w:rFonts w:hint="eastAsia" w:ascii="宋体" w:hAnsi="宋体" w:eastAsia="宋体" w:cs="宋体"/>
          <w:sz w:val="28"/>
          <w:szCs w:val="28"/>
          <w:highlight w:val="none"/>
        </w:rPr>
      </w:pPr>
    </w:p>
    <w:p>
      <w:pPr>
        <w:spacing w:line="360" w:lineRule="auto"/>
        <w:ind w:firstLine="4480" w:firstLineChars="16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授权方</w:t>
      </w:r>
    </w:p>
    <w:p>
      <w:pPr>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投标人：</w:t>
      </w:r>
      <w:r>
        <w:rPr>
          <w:rFonts w:hint="eastAsia" w:ascii="宋体" w:hAnsi="宋体" w:eastAsia="宋体" w:cs="宋体"/>
          <w:sz w:val="28"/>
          <w:szCs w:val="28"/>
          <w:highlight w:val="none"/>
          <w:u w:val="single"/>
        </w:rPr>
        <w:t>（全称并加盖公章）</w:t>
      </w:r>
      <w:r>
        <w:rPr>
          <w:rFonts w:hint="eastAsia" w:ascii="宋体" w:hAnsi="宋体" w:eastAsia="宋体" w:cs="宋体"/>
          <w:sz w:val="28"/>
          <w:szCs w:val="28"/>
          <w:highlight w:val="none"/>
        </w:rPr>
        <w:t>：</w:t>
      </w:r>
    </w:p>
    <w:p>
      <w:pPr>
        <w:spacing w:line="360" w:lineRule="auto"/>
        <w:ind w:firstLine="4480" w:firstLineChars="16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w:t>
      </w:r>
    </w:p>
    <w:p>
      <w:pPr>
        <w:spacing w:line="360" w:lineRule="auto"/>
        <w:ind w:firstLine="4480" w:firstLineChars="16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日     期：</w:t>
      </w:r>
    </w:p>
    <w:p>
      <w:pPr>
        <w:spacing w:line="360" w:lineRule="auto"/>
        <w:ind w:firstLine="4480" w:firstLineChars="16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接受授权方</w:t>
      </w:r>
    </w:p>
    <w:p>
      <w:pPr>
        <w:spacing w:line="360" w:lineRule="auto"/>
        <w:ind w:firstLine="4480" w:firstLineChars="16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投标人代表签字：</w:t>
      </w:r>
    </w:p>
    <w:p>
      <w:pPr>
        <w:spacing w:line="360" w:lineRule="auto"/>
        <w:ind w:firstLine="4480" w:firstLineChars="16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日     期：</w:t>
      </w:r>
    </w:p>
    <w:p>
      <w:pPr>
        <w:spacing w:line="360" w:lineRule="auto"/>
        <w:rPr>
          <w:rFonts w:hint="eastAsia" w:ascii="宋体" w:hAnsi="宋体" w:eastAsia="宋体" w:cs="宋体"/>
          <w:b/>
          <w:bCs/>
          <w:sz w:val="28"/>
          <w:szCs w:val="28"/>
          <w:highlight w:val="none"/>
        </w:rPr>
        <w:sectPr>
          <w:pgSz w:w="11906" w:h="16838"/>
          <w:pgMar w:top="1701" w:right="1701" w:bottom="1701" w:left="1701" w:header="851" w:footer="992" w:gutter="0"/>
          <w:cols w:space="425" w:num="1"/>
          <w:docGrid w:type="lines" w:linePitch="312" w:charSpace="0"/>
        </w:sectPr>
      </w:pPr>
    </w:p>
    <w:p>
      <w:pPr>
        <w:spacing w:line="360" w:lineRule="auto"/>
        <w:ind w:firstLine="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格式9  </w:t>
      </w:r>
    </w:p>
    <w:p>
      <w:pPr>
        <w:spacing w:line="360" w:lineRule="auto"/>
        <w:ind w:firstLine="354"/>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法人营业执照</w:t>
      </w: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厦门国贸服务城市集团股份有限公司</w:t>
      </w:r>
      <w:r>
        <w:rPr>
          <w:rFonts w:hint="eastAsia" w:ascii="宋体" w:hAnsi="宋体" w:eastAsia="宋体" w:cs="宋体"/>
          <w:sz w:val="28"/>
          <w:szCs w:val="28"/>
          <w:highlight w:val="none"/>
        </w:rPr>
        <w:t>：</w:t>
      </w:r>
    </w:p>
    <w:p>
      <w:pPr>
        <w:spacing w:line="360" w:lineRule="auto"/>
        <w:rPr>
          <w:rFonts w:hint="eastAsia" w:ascii="宋体" w:hAnsi="宋体" w:eastAsia="宋体" w:cs="宋体"/>
          <w:sz w:val="28"/>
          <w:szCs w:val="28"/>
          <w:highlight w:val="none"/>
        </w:rPr>
      </w:pP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现附上由（签发机关名称）签发的我方法人营业执照副本复印件，该执照真实有效。</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（注：法人营业执照提供复印件，由企业加盖公章并注明复印件与原件一致。）</w:t>
      </w: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spacing w:line="360" w:lineRule="auto"/>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 标 人（全称并加盖公章）：</w:t>
      </w:r>
    </w:p>
    <w:p>
      <w:pPr>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投标人代表签字：</w:t>
      </w:r>
    </w:p>
    <w:p>
      <w:pPr>
        <w:spacing w:line="360" w:lineRule="auto"/>
        <w:ind w:firstLine="0" w:firstLineChars="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日      期：</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spacing w:line="360" w:lineRule="auto"/>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格式10</w:t>
      </w: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廉洁诚信承诺书</w:t>
      </w:r>
    </w:p>
    <w:p>
      <w:pPr>
        <w:spacing w:line="360" w:lineRule="auto"/>
        <w:ind w:firstLine="0"/>
        <w:jc w:val="both"/>
        <w:rPr>
          <w:rFonts w:hint="eastAsia" w:ascii="宋体" w:hAnsi="宋体" w:eastAsia="宋体" w:cs="宋体"/>
          <w:b/>
          <w:sz w:val="28"/>
          <w:szCs w:val="28"/>
          <w:highlight w:val="none"/>
        </w:rPr>
      </w:pPr>
    </w:p>
    <w:p>
      <w:pPr>
        <w:spacing w:line="360" w:lineRule="auto"/>
        <w:ind w:left="-401" w:leftChars="-191"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厦门国贸城市服务集团股份有限公司</w:t>
      </w:r>
      <w:r>
        <w:rPr>
          <w:rFonts w:hint="eastAsia" w:ascii="宋体" w:hAnsi="宋体" w:eastAsia="宋体" w:cs="宋体"/>
          <w:sz w:val="28"/>
          <w:szCs w:val="28"/>
          <w:highlight w:val="none"/>
        </w:rPr>
        <w:t>：</w:t>
      </w:r>
    </w:p>
    <w:p>
      <w:pPr>
        <w:spacing w:line="360" w:lineRule="auto"/>
        <w:ind w:left="-405" w:leftChars="-193"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承诺方系</w:t>
      </w:r>
      <w:r>
        <w:rPr>
          <w:rFonts w:hint="eastAsia" w:ascii="宋体" w:hAnsi="宋体" w:eastAsia="宋体" w:cs="宋体"/>
          <w:sz w:val="28"/>
          <w:szCs w:val="28"/>
          <w:highlight w:val="none"/>
          <w:u w:val="single"/>
        </w:rPr>
        <w:t>厦门国贸城市服务集团股份有限公司</w:t>
      </w:r>
      <w:r>
        <w:rPr>
          <w:rFonts w:hint="eastAsia" w:ascii="宋体" w:hAnsi="宋体" w:eastAsia="宋体" w:cs="宋体"/>
          <w:sz w:val="28"/>
          <w:szCs w:val="28"/>
          <w:highlight w:val="none"/>
        </w:rPr>
        <w:t>（以下简称“</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）的供应商、服务商或合作商，在相关业务活动（包括但不限于交易洽谈、供货、服务、承揽、技术合作交流、付款）中接触</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相关人员和资讯，在廉洁义务和操守方面做出如下承诺：</w:t>
      </w:r>
    </w:p>
    <w:p>
      <w:pPr>
        <w:spacing w:line="360" w:lineRule="auto"/>
        <w:ind w:left="-405" w:leftChars="-193"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60" w:lineRule="auto"/>
        <w:ind w:left="-405" w:leftChars="-193"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二、不向</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的工作人员及其亲属馈赠礼金、礼品（含有价证券）；不向</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的工作人员提供任何应由其个人支付报酬的劳务和其他服务；不为</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的工作人员安排可能影响公正执行公务的任何活动；不为</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的工作人员支付应由其个人支付的任何赞助费、宣传费、咨询费、劳务费等；不为</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工作人员报销任何名义的个人消费凭证。一经发现有上述行为，招标人有权取消中标资格。</w:t>
      </w:r>
    </w:p>
    <w:p>
      <w:pPr>
        <w:spacing w:line="360" w:lineRule="auto"/>
        <w:ind w:left="-405" w:leftChars="-193"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三、不与其他经营者串通报价和投标，不排挤其他经营者的公平竞争，损害其他经营者的合法权益；不在工程建设的预决算编制工作中弄虚作假、高估冒算。</w:t>
      </w:r>
    </w:p>
    <w:p>
      <w:pPr>
        <w:spacing w:line="360" w:lineRule="auto"/>
        <w:ind w:left="-405" w:leftChars="-193"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四、承诺方在与</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达成和交易履行过程中，提供的资质证明、证照、企业及个人资料、住所、产品名称、规格、品质、服务标准、票据、权证、权利限制均为真实，不存在虚假、欺瞒、伪造、变造行为，如上述情况发生变更，承诺方需在5个工作日内通知</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备案存档。</w:t>
      </w:r>
    </w:p>
    <w:p>
      <w:pPr>
        <w:spacing w:line="360" w:lineRule="auto"/>
        <w:ind w:left="-405" w:leftChars="-193"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五、承诺方禁止提供仿冒品（包括但不限于如贴牌、掺杂掺假，以次充好，以旧冒新、以不合格冒充合格）或不符合</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所需规格之商品提供</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使用。</w:t>
      </w:r>
    </w:p>
    <w:p>
      <w:pPr>
        <w:spacing w:line="360" w:lineRule="auto"/>
        <w:ind w:left="-405" w:leftChars="-193"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六、承诺方同意</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依其保密制度所划列的机密资料可包括一切关于</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，无论是否有价值，被公开或正在采取保密措施的书面、口头或以其他形式呈现、保存之资讯、承诺方与接受机密资料五年内均有保密义务，未经</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同意不得利用或向任何第三方泄露、交付。</w:t>
      </w:r>
    </w:p>
    <w:p>
      <w:pPr>
        <w:spacing w:line="360" w:lineRule="auto"/>
        <w:ind w:left="-405" w:leftChars="-193"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七、为净化采购相关秩序及环境，可至</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进行投诉或申报。</w:t>
      </w:r>
    </w:p>
    <w:p>
      <w:pPr>
        <w:spacing w:line="360" w:lineRule="auto"/>
        <w:ind w:left="-405" w:leftChars="-193"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八、违约责任</w:t>
      </w:r>
    </w:p>
    <w:p>
      <w:pPr>
        <w:spacing w:line="360" w:lineRule="auto"/>
        <w:ind w:left="-405" w:leftChars="-193"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承诺方承诺如违反本承诺书所述任何义务，无论是否给</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造成损失，承诺方将承担一切责任，并就</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实际造成的经济、名誉损失进行赔偿。</w:t>
      </w:r>
      <w:r>
        <w:rPr>
          <w:rFonts w:hint="eastAsia" w:ascii="宋体" w:hAnsi="宋体" w:eastAsia="宋体" w:cs="宋体"/>
          <w:sz w:val="28"/>
          <w:szCs w:val="28"/>
          <w:highlight w:val="none"/>
          <w:u w:val="single"/>
        </w:rPr>
        <w:t>国贸服务</w:t>
      </w:r>
      <w:r>
        <w:rPr>
          <w:rFonts w:hint="eastAsia" w:ascii="宋体" w:hAnsi="宋体" w:eastAsia="宋体" w:cs="宋体"/>
          <w:sz w:val="28"/>
          <w:szCs w:val="28"/>
          <w:highlight w:val="none"/>
        </w:rPr>
        <w:t>有权解除双方合同并不负任何违约责任，有权从应付承诺方账款中扣罚，并可采用法律手段索赔。</w:t>
      </w:r>
    </w:p>
    <w:p>
      <w:pPr>
        <w:spacing w:line="360" w:lineRule="auto"/>
        <w:ind w:left="-405" w:leftChars="-193"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九、自觉接受监督。</w:t>
      </w:r>
    </w:p>
    <w:p>
      <w:pPr>
        <w:spacing w:line="360" w:lineRule="auto"/>
        <w:ind w:left="0" w:leftChars="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特此承诺。</w:t>
      </w:r>
    </w:p>
    <w:p>
      <w:pPr>
        <w:spacing w:line="360" w:lineRule="auto"/>
        <w:ind w:left="-105" w:leftChars="-50" w:firstLine="27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承诺人（投标人）名称（盖章）：</w:t>
      </w:r>
    </w:p>
    <w:p>
      <w:pPr>
        <w:spacing w:line="360" w:lineRule="auto"/>
        <w:ind w:left="-105" w:leftChars="-50" w:firstLine="27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法定代表人（或投标人代表）：</w:t>
      </w:r>
    </w:p>
    <w:p>
      <w:pPr>
        <w:spacing w:line="360" w:lineRule="auto"/>
        <w:ind w:firstLine="3360" w:firstLineChars="1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p>
    <w:p>
      <w:pPr>
        <w:widowControl/>
        <w:spacing w:line="360" w:lineRule="auto"/>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spacing w:line="360" w:lineRule="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格式11  </w:t>
      </w:r>
    </w:p>
    <w:p>
      <w:pPr>
        <w:spacing w:before="156" w:beforeLines="50" w:after="156" w:afterLines="50"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带“★”号条款逐条响应情况表</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项目名称：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招标编号：</w:t>
      </w:r>
    </w:p>
    <w:tbl>
      <w:tblPr>
        <w:tblStyle w:val="19"/>
        <w:tblW w:w="9164"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44"/>
        <w:gridCol w:w="3737"/>
        <w:gridCol w:w="1996"/>
        <w:gridCol w:w="2587"/>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844" w:type="dxa"/>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3737" w:type="dxa"/>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招标文件中带“★”号的条款</w:t>
            </w:r>
          </w:p>
        </w:tc>
        <w:tc>
          <w:tcPr>
            <w:tcW w:w="1996" w:type="dxa"/>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投标响应内容</w:t>
            </w:r>
          </w:p>
        </w:tc>
        <w:tc>
          <w:tcPr>
            <w:tcW w:w="2587" w:type="dxa"/>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44" w:type="dxa"/>
            <w:vAlign w:val="center"/>
          </w:tcPr>
          <w:p>
            <w:pPr>
              <w:spacing w:line="360" w:lineRule="auto"/>
              <w:jc w:val="center"/>
              <w:rPr>
                <w:rFonts w:hint="eastAsia" w:ascii="宋体" w:hAnsi="宋体" w:eastAsia="宋体" w:cs="宋体"/>
                <w:sz w:val="28"/>
                <w:szCs w:val="28"/>
                <w:highlight w:val="none"/>
              </w:rPr>
            </w:pPr>
          </w:p>
        </w:tc>
        <w:tc>
          <w:tcPr>
            <w:tcW w:w="3737" w:type="dxa"/>
            <w:vAlign w:val="center"/>
          </w:tcPr>
          <w:p>
            <w:pPr>
              <w:spacing w:line="360" w:lineRule="auto"/>
              <w:rPr>
                <w:rFonts w:hint="eastAsia" w:ascii="宋体" w:hAnsi="宋体" w:eastAsia="宋体" w:cs="宋体"/>
                <w:bCs/>
                <w:kern w:val="0"/>
                <w:sz w:val="28"/>
                <w:szCs w:val="28"/>
                <w:highlight w:val="none"/>
              </w:rPr>
            </w:pPr>
          </w:p>
        </w:tc>
        <w:tc>
          <w:tcPr>
            <w:tcW w:w="1996" w:type="dxa"/>
            <w:vAlign w:val="center"/>
          </w:tcPr>
          <w:p>
            <w:pPr>
              <w:spacing w:line="360" w:lineRule="auto"/>
              <w:rPr>
                <w:rFonts w:hint="eastAsia" w:ascii="宋体" w:hAnsi="宋体" w:eastAsia="宋体" w:cs="宋体"/>
                <w:sz w:val="28"/>
                <w:szCs w:val="28"/>
                <w:highlight w:val="none"/>
              </w:rPr>
            </w:pPr>
          </w:p>
        </w:tc>
        <w:tc>
          <w:tcPr>
            <w:tcW w:w="2587" w:type="dxa"/>
            <w:vAlign w:val="center"/>
          </w:tcPr>
          <w:p>
            <w:pPr>
              <w:spacing w:line="360" w:lineRule="auto"/>
              <w:rPr>
                <w:rFonts w:hint="eastAsia" w:ascii="宋体" w:hAnsi="宋体" w:eastAsia="宋体" w:cs="宋体"/>
                <w:sz w:val="28"/>
                <w:szCs w:val="28"/>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44" w:type="dxa"/>
            <w:vAlign w:val="center"/>
          </w:tcPr>
          <w:p>
            <w:pPr>
              <w:spacing w:line="360" w:lineRule="auto"/>
              <w:jc w:val="center"/>
              <w:rPr>
                <w:rFonts w:hint="eastAsia" w:ascii="宋体" w:hAnsi="宋体" w:eastAsia="宋体" w:cs="宋体"/>
                <w:sz w:val="28"/>
                <w:szCs w:val="28"/>
                <w:highlight w:val="none"/>
              </w:rPr>
            </w:pPr>
          </w:p>
        </w:tc>
        <w:tc>
          <w:tcPr>
            <w:tcW w:w="3737" w:type="dxa"/>
            <w:vAlign w:val="center"/>
          </w:tcPr>
          <w:p>
            <w:pPr>
              <w:spacing w:line="360" w:lineRule="auto"/>
              <w:rPr>
                <w:rFonts w:hint="eastAsia" w:ascii="宋体" w:hAnsi="宋体" w:eastAsia="宋体" w:cs="宋体"/>
                <w:bCs/>
                <w:kern w:val="0"/>
                <w:sz w:val="28"/>
                <w:szCs w:val="28"/>
                <w:highlight w:val="none"/>
              </w:rPr>
            </w:pPr>
          </w:p>
        </w:tc>
        <w:tc>
          <w:tcPr>
            <w:tcW w:w="1996" w:type="dxa"/>
            <w:vAlign w:val="center"/>
          </w:tcPr>
          <w:p>
            <w:pPr>
              <w:spacing w:line="360" w:lineRule="auto"/>
              <w:rPr>
                <w:rFonts w:hint="eastAsia" w:ascii="宋体" w:hAnsi="宋体" w:eastAsia="宋体" w:cs="宋体"/>
                <w:sz w:val="28"/>
                <w:szCs w:val="28"/>
                <w:highlight w:val="none"/>
              </w:rPr>
            </w:pPr>
          </w:p>
        </w:tc>
        <w:tc>
          <w:tcPr>
            <w:tcW w:w="2587" w:type="dxa"/>
            <w:vAlign w:val="center"/>
          </w:tcPr>
          <w:p>
            <w:pPr>
              <w:spacing w:line="360" w:lineRule="auto"/>
              <w:rPr>
                <w:rFonts w:hint="eastAsia" w:ascii="宋体" w:hAnsi="宋体" w:eastAsia="宋体" w:cs="宋体"/>
                <w:sz w:val="28"/>
                <w:szCs w:val="28"/>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44" w:type="dxa"/>
            <w:vAlign w:val="center"/>
          </w:tcPr>
          <w:p>
            <w:pPr>
              <w:spacing w:line="360" w:lineRule="auto"/>
              <w:jc w:val="center"/>
              <w:rPr>
                <w:rFonts w:hint="eastAsia" w:ascii="宋体" w:hAnsi="宋体" w:eastAsia="宋体" w:cs="宋体"/>
                <w:sz w:val="28"/>
                <w:szCs w:val="28"/>
                <w:highlight w:val="none"/>
              </w:rPr>
            </w:pPr>
          </w:p>
        </w:tc>
        <w:tc>
          <w:tcPr>
            <w:tcW w:w="3737" w:type="dxa"/>
            <w:vAlign w:val="center"/>
          </w:tcPr>
          <w:p>
            <w:pPr>
              <w:spacing w:line="360" w:lineRule="auto"/>
              <w:rPr>
                <w:rFonts w:hint="eastAsia" w:ascii="宋体" w:hAnsi="宋体" w:eastAsia="宋体" w:cs="宋体"/>
                <w:bCs/>
                <w:kern w:val="0"/>
                <w:sz w:val="28"/>
                <w:szCs w:val="28"/>
                <w:highlight w:val="none"/>
              </w:rPr>
            </w:pPr>
          </w:p>
        </w:tc>
        <w:tc>
          <w:tcPr>
            <w:tcW w:w="1996" w:type="dxa"/>
            <w:vAlign w:val="center"/>
          </w:tcPr>
          <w:p>
            <w:pPr>
              <w:spacing w:line="360" w:lineRule="auto"/>
              <w:rPr>
                <w:rFonts w:hint="eastAsia" w:ascii="宋体" w:hAnsi="宋体" w:eastAsia="宋体" w:cs="宋体"/>
                <w:sz w:val="28"/>
                <w:szCs w:val="28"/>
                <w:highlight w:val="none"/>
              </w:rPr>
            </w:pPr>
          </w:p>
        </w:tc>
        <w:tc>
          <w:tcPr>
            <w:tcW w:w="2587" w:type="dxa"/>
            <w:vAlign w:val="center"/>
          </w:tcPr>
          <w:p>
            <w:pPr>
              <w:spacing w:line="360" w:lineRule="auto"/>
              <w:rPr>
                <w:rFonts w:hint="eastAsia" w:ascii="宋体" w:hAnsi="宋体" w:eastAsia="宋体" w:cs="宋体"/>
                <w:sz w:val="28"/>
                <w:szCs w:val="28"/>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44" w:type="dxa"/>
            <w:vAlign w:val="center"/>
          </w:tcPr>
          <w:p>
            <w:pPr>
              <w:spacing w:line="360" w:lineRule="auto"/>
              <w:jc w:val="center"/>
              <w:rPr>
                <w:rFonts w:hint="eastAsia" w:ascii="宋体" w:hAnsi="宋体" w:eastAsia="宋体" w:cs="宋体"/>
                <w:sz w:val="28"/>
                <w:szCs w:val="28"/>
                <w:highlight w:val="none"/>
              </w:rPr>
            </w:pPr>
          </w:p>
        </w:tc>
        <w:tc>
          <w:tcPr>
            <w:tcW w:w="3737" w:type="dxa"/>
            <w:vAlign w:val="center"/>
          </w:tcPr>
          <w:p>
            <w:pPr>
              <w:spacing w:line="360" w:lineRule="auto"/>
              <w:rPr>
                <w:rFonts w:hint="eastAsia" w:ascii="宋体" w:hAnsi="宋体" w:eastAsia="宋体" w:cs="宋体"/>
                <w:bCs/>
                <w:kern w:val="0"/>
                <w:sz w:val="28"/>
                <w:szCs w:val="28"/>
                <w:highlight w:val="none"/>
              </w:rPr>
            </w:pPr>
          </w:p>
        </w:tc>
        <w:tc>
          <w:tcPr>
            <w:tcW w:w="1996" w:type="dxa"/>
            <w:vAlign w:val="center"/>
          </w:tcPr>
          <w:p>
            <w:pPr>
              <w:spacing w:line="360" w:lineRule="auto"/>
              <w:rPr>
                <w:rFonts w:hint="eastAsia" w:ascii="宋体" w:hAnsi="宋体" w:eastAsia="宋体" w:cs="宋体"/>
                <w:sz w:val="28"/>
                <w:szCs w:val="28"/>
                <w:highlight w:val="none"/>
              </w:rPr>
            </w:pPr>
          </w:p>
        </w:tc>
        <w:tc>
          <w:tcPr>
            <w:tcW w:w="2587" w:type="dxa"/>
            <w:vAlign w:val="center"/>
          </w:tcPr>
          <w:p>
            <w:pPr>
              <w:spacing w:line="360" w:lineRule="auto"/>
              <w:rPr>
                <w:rFonts w:hint="eastAsia" w:ascii="宋体" w:hAnsi="宋体" w:eastAsia="宋体" w:cs="宋体"/>
                <w:sz w:val="28"/>
                <w:szCs w:val="28"/>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44" w:type="dxa"/>
            <w:vAlign w:val="center"/>
          </w:tcPr>
          <w:p>
            <w:pPr>
              <w:spacing w:line="360" w:lineRule="auto"/>
              <w:jc w:val="center"/>
              <w:rPr>
                <w:rFonts w:hint="eastAsia" w:ascii="宋体" w:hAnsi="宋体" w:eastAsia="宋体" w:cs="宋体"/>
                <w:sz w:val="28"/>
                <w:szCs w:val="28"/>
                <w:highlight w:val="none"/>
              </w:rPr>
            </w:pPr>
          </w:p>
        </w:tc>
        <w:tc>
          <w:tcPr>
            <w:tcW w:w="3737" w:type="dxa"/>
            <w:vAlign w:val="center"/>
          </w:tcPr>
          <w:p>
            <w:pPr>
              <w:spacing w:line="360" w:lineRule="auto"/>
              <w:rPr>
                <w:rFonts w:hint="eastAsia" w:ascii="宋体" w:hAnsi="宋体" w:eastAsia="宋体" w:cs="宋体"/>
                <w:bCs/>
                <w:kern w:val="0"/>
                <w:sz w:val="28"/>
                <w:szCs w:val="28"/>
                <w:highlight w:val="none"/>
              </w:rPr>
            </w:pPr>
          </w:p>
        </w:tc>
        <w:tc>
          <w:tcPr>
            <w:tcW w:w="1996" w:type="dxa"/>
            <w:vAlign w:val="center"/>
          </w:tcPr>
          <w:p>
            <w:pPr>
              <w:spacing w:line="360" w:lineRule="auto"/>
              <w:rPr>
                <w:rFonts w:hint="eastAsia" w:ascii="宋体" w:hAnsi="宋体" w:eastAsia="宋体" w:cs="宋体"/>
                <w:sz w:val="28"/>
                <w:szCs w:val="28"/>
                <w:highlight w:val="none"/>
              </w:rPr>
            </w:pPr>
          </w:p>
        </w:tc>
        <w:tc>
          <w:tcPr>
            <w:tcW w:w="2587" w:type="dxa"/>
            <w:vAlign w:val="center"/>
          </w:tcPr>
          <w:p>
            <w:pPr>
              <w:spacing w:line="360" w:lineRule="auto"/>
              <w:rPr>
                <w:rFonts w:hint="eastAsia" w:ascii="宋体" w:hAnsi="宋体" w:eastAsia="宋体" w:cs="宋体"/>
                <w:sz w:val="28"/>
                <w:szCs w:val="28"/>
                <w:highlight w:val="none"/>
              </w:rPr>
            </w:pPr>
          </w:p>
        </w:tc>
      </w:tr>
    </w:tbl>
    <w:p>
      <w:pPr>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以上★号条款为招标文件中的所有★号条款，无论是技术指标或文字描述要求，投标人必须逐条如实地书面响应及承诺。</w:t>
      </w:r>
    </w:p>
    <w:p>
      <w:pPr>
        <w:spacing w:line="360" w:lineRule="auto"/>
        <w:ind w:firstLine="4900" w:firstLineChars="1750"/>
        <w:rPr>
          <w:rFonts w:hint="eastAsia" w:ascii="宋体" w:hAnsi="宋体" w:eastAsia="宋体" w:cs="宋体"/>
          <w:sz w:val="28"/>
          <w:szCs w:val="28"/>
          <w:highlight w:val="none"/>
        </w:rPr>
      </w:pPr>
      <w:r>
        <w:rPr>
          <w:rFonts w:hint="eastAsia" w:ascii="宋体" w:hAnsi="宋体" w:eastAsia="宋体" w:cs="宋体"/>
          <w:sz w:val="28"/>
          <w:szCs w:val="28"/>
          <w:highlight w:val="none"/>
        </w:rPr>
        <w:t>投标人全称（加盖公章）：</w:t>
      </w:r>
    </w:p>
    <w:p>
      <w:pPr>
        <w:spacing w:line="360" w:lineRule="auto"/>
        <w:ind w:firstLine="4900" w:firstLineChars="175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投标人代表签字：</w:t>
      </w:r>
    </w:p>
    <w:p>
      <w:pPr>
        <w:spacing w:line="360" w:lineRule="auto"/>
        <w:ind w:firstLine="4900" w:firstLineChars="175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日   期： </w:t>
      </w: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sectPr>
          <w:pgSz w:w="11906" w:h="16838"/>
          <w:pgMar w:top="1701" w:right="1701" w:bottom="1701" w:left="1701" w:header="851" w:footer="992" w:gutter="0"/>
          <w:cols w:space="425" w:num="1"/>
          <w:docGrid w:type="lines" w:linePitch="312" w:charSpace="0"/>
        </w:sectPr>
      </w:pPr>
    </w:p>
    <w:p>
      <w:pPr>
        <w:spacing w:line="360" w:lineRule="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格式12</w:t>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投标人提交的其它资料</w:t>
      </w:r>
    </w:p>
    <w:p>
      <w:pPr>
        <w:spacing w:line="360" w:lineRule="auto"/>
        <w:ind w:firstLine="314"/>
        <w:rPr>
          <w:rFonts w:hint="eastAsia" w:ascii="宋体" w:hAnsi="宋体" w:eastAsia="宋体" w:cs="宋体"/>
          <w:b/>
          <w:sz w:val="28"/>
          <w:szCs w:val="28"/>
          <w:highlight w:val="none"/>
        </w:rPr>
      </w:pPr>
    </w:p>
    <w:p>
      <w:pPr>
        <w:spacing w:line="360" w:lineRule="auto"/>
        <w:ind w:firstLine="560" w:firstLineChars="200"/>
        <w:rPr>
          <w:rFonts w:hint="eastAsia" w:ascii="宋体" w:hAnsi="宋体" w:eastAsia="宋体" w:cs="宋体"/>
          <w:b/>
          <w:bCs/>
          <w:sz w:val="28"/>
          <w:szCs w:val="28"/>
          <w:highlight w:val="none"/>
        </w:rPr>
      </w:pPr>
      <w:r>
        <w:rPr>
          <w:rFonts w:hint="eastAsia" w:ascii="宋体" w:hAnsi="宋体" w:eastAsia="宋体" w:cs="宋体"/>
          <w:sz w:val="28"/>
          <w:szCs w:val="28"/>
          <w:highlight w:val="none"/>
        </w:rPr>
        <w:t>（投标人认为应提交的其他材料，可在此附件中提交）</w:t>
      </w: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投标人全称（加盖公章）：</w:t>
      </w:r>
    </w:p>
    <w:p>
      <w:pPr>
        <w:spacing w:line="360" w:lineRule="auto"/>
        <w:ind w:firstLine="5180" w:firstLineChars="185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投标人代表签字：</w:t>
      </w:r>
    </w:p>
    <w:p>
      <w:pPr>
        <w:spacing w:line="360" w:lineRule="auto"/>
        <w:ind w:firstLine="5320" w:firstLineChars="1900"/>
        <w:rPr>
          <w:rFonts w:hint="eastAsia" w:ascii="宋体" w:hAnsi="宋体" w:eastAsia="宋体" w:cs="宋体"/>
          <w:sz w:val="28"/>
          <w:szCs w:val="28"/>
          <w:highlight w:val="none"/>
        </w:rPr>
      </w:pPr>
      <w:r>
        <w:rPr>
          <w:rFonts w:hint="eastAsia" w:ascii="宋体" w:hAnsi="宋体" w:eastAsia="宋体" w:cs="宋体"/>
          <w:sz w:val="28"/>
          <w:szCs w:val="28"/>
          <w:highlight w:val="none"/>
        </w:rPr>
        <w:t>日         期：</w:t>
      </w: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pPr>
    </w:p>
    <w:p>
      <w:pPr>
        <w:spacing w:line="360" w:lineRule="auto"/>
        <w:ind w:firstLine="314"/>
        <w:rPr>
          <w:rFonts w:hint="eastAsia" w:ascii="宋体" w:hAnsi="宋体" w:eastAsia="宋体" w:cs="宋体"/>
          <w:b/>
          <w:bCs/>
          <w:sz w:val="28"/>
          <w:szCs w:val="28"/>
          <w:highlight w:val="none"/>
        </w:rPr>
        <w:sectPr>
          <w:pgSz w:w="11906" w:h="16838"/>
          <w:pgMar w:top="1701" w:right="1701" w:bottom="1701" w:left="1701" w:header="851" w:footer="992" w:gutter="0"/>
          <w:cols w:space="425" w:num="1"/>
          <w:docGrid w:type="lines" w:linePitch="312" w:charSpace="0"/>
        </w:sectPr>
      </w:pPr>
    </w:p>
    <w:p>
      <w:pPr>
        <w:spacing w:line="360" w:lineRule="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格式13 </w:t>
      </w:r>
    </w:p>
    <w:p>
      <w:pPr>
        <w:widowControl/>
        <w:spacing w:line="360" w:lineRule="auto"/>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sz w:val="32"/>
          <w:szCs w:val="32"/>
          <w:highlight w:val="none"/>
        </w:rPr>
        <w:t>秩序维护服务合同</w:t>
      </w:r>
    </w:p>
    <w:p>
      <w:pPr>
        <w:widowControl/>
        <w:spacing w:line="360" w:lineRule="auto"/>
        <w:ind w:firstLine="560" w:firstLineChars="200"/>
        <w:jc w:val="left"/>
        <w:rPr>
          <w:rFonts w:hint="eastAsia" w:ascii="宋体" w:hAnsi="宋体" w:eastAsia="宋体" w:cs="宋体"/>
          <w:sz w:val="28"/>
          <w:szCs w:val="28"/>
          <w:highlight w:val="none"/>
        </w:rPr>
      </w:pPr>
    </w:p>
    <w:p>
      <w:pPr>
        <w:widowControl/>
        <w:spacing w:line="360" w:lineRule="auto"/>
        <w:ind w:firstLine="560" w:firstLineChars="20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合同编号：</w:t>
      </w:r>
    </w:p>
    <w:p>
      <w:pPr>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甲方：</w:t>
      </w:r>
      <w:r>
        <w:rPr>
          <w:rFonts w:hint="eastAsia" w:ascii="宋体" w:hAnsi="宋体" w:eastAsia="宋体" w:cs="宋体"/>
          <w:sz w:val="28"/>
          <w:szCs w:val="28"/>
          <w:highlight w:val="none"/>
          <w:u w:val="single"/>
        </w:rPr>
        <w:t xml:space="preserve">                                              </w:t>
      </w:r>
    </w:p>
    <w:p>
      <w:pPr>
        <w:spacing w:line="360" w:lineRule="auto"/>
        <w:ind w:firstLine="275"/>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法定代表人/负责人：</w:t>
      </w:r>
      <w:r>
        <w:rPr>
          <w:rFonts w:hint="eastAsia" w:ascii="宋体" w:hAnsi="宋体" w:eastAsia="宋体" w:cs="宋体"/>
          <w:sz w:val="28"/>
          <w:szCs w:val="28"/>
          <w:highlight w:val="none"/>
          <w:u w:val="single"/>
        </w:rPr>
        <w:t xml:space="preserve">                                 </w:t>
      </w:r>
    </w:p>
    <w:p>
      <w:pPr>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通信地址：</w:t>
      </w:r>
      <w:r>
        <w:rPr>
          <w:rFonts w:hint="eastAsia" w:ascii="宋体" w:hAnsi="宋体" w:eastAsia="宋体" w:cs="宋体"/>
          <w:sz w:val="28"/>
          <w:szCs w:val="28"/>
          <w:highlight w:val="none"/>
          <w:u w:val="single"/>
        </w:rPr>
        <w:t xml:space="preserve">                                          </w:t>
      </w:r>
    </w:p>
    <w:p>
      <w:pPr>
        <w:spacing w:line="360" w:lineRule="auto"/>
        <w:ind w:firstLine="275"/>
        <w:jc w:val="left"/>
        <w:rPr>
          <w:rFonts w:hint="eastAsia" w:ascii="宋体" w:hAnsi="宋体" w:eastAsia="宋体" w:cs="宋体"/>
          <w:sz w:val="28"/>
          <w:szCs w:val="28"/>
          <w:highlight w:val="none"/>
        </w:rPr>
      </w:pPr>
    </w:p>
    <w:p>
      <w:pPr>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乙方：</w:t>
      </w:r>
      <w:r>
        <w:rPr>
          <w:rFonts w:hint="eastAsia" w:ascii="宋体" w:hAnsi="宋体" w:eastAsia="宋体" w:cs="宋体"/>
          <w:sz w:val="28"/>
          <w:szCs w:val="28"/>
          <w:highlight w:val="none"/>
          <w:u w:val="single"/>
        </w:rPr>
        <w:t xml:space="preserve">                                              </w:t>
      </w:r>
    </w:p>
    <w:p>
      <w:pPr>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法定代表人/负责人：</w:t>
      </w:r>
      <w:r>
        <w:rPr>
          <w:rFonts w:hint="eastAsia" w:ascii="宋体" w:hAnsi="宋体" w:eastAsia="宋体" w:cs="宋体"/>
          <w:sz w:val="28"/>
          <w:szCs w:val="28"/>
          <w:highlight w:val="none"/>
          <w:u w:val="single"/>
        </w:rPr>
        <w:t xml:space="preserve">                                 </w:t>
      </w:r>
    </w:p>
    <w:p>
      <w:pPr>
        <w:spacing w:line="360" w:lineRule="auto"/>
        <w:ind w:firstLine="275"/>
        <w:jc w:val="left"/>
        <w:textAlignment w:val="baseline"/>
        <w:rPr>
          <w:rFonts w:hint="eastAsia" w:ascii="宋体" w:hAnsi="宋体" w:eastAsia="宋体" w:cs="宋体"/>
          <w:sz w:val="28"/>
          <w:szCs w:val="28"/>
          <w:highlight w:val="none"/>
          <w:u w:val="single" w:color="000000"/>
        </w:rPr>
      </w:pPr>
      <w:r>
        <w:rPr>
          <w:rFonts w:hint="eastAsia" w:ascii="宋体" w:hAnsi="宋体" w:eastAsia="宋体" w:cs="宋体"/>
          <w:sz w:val="28"/>
          <w:szCs w:val="28"/>
          <w:highlight w:val="none"/>
        </w:rPr>
        <w:t>通信地址：</w:t>
      </w:r>
      <w:r>
        <w:rPr>
          <w:rFonts w:hint="eastAsia" w:ascii="宋体" w:hAnsi="宋体" w:eastAsia="宋体" w:cs="宋体"/>
          <w:sz w:val="28"/>
          <w:szCs w:val="28"/>
          <w:highlight w:val="none"/>
          <w:u w:val="single"/>
        </w:rPr>
        <w:t xml:space="preserve">                                          </w:t>
      </w:r>
    </w:p>
    <w:p>
      <w:pPr>
        <w:spacing w:line="360" w:lineRule="auto"/>
        <w:ind w:firstLine="275"/>
        <w:jc w:val="left"/>
        <w:rPr>
          <w:rFonts w:hint="eastAsia" w:ascii="宋体" w:hAnsi="宋体" w:eastAsia="宋体" w:cs="宋体"/>
          <w:sz w:val="28"/>
          <w:szCs w:val="28"/>
          <w:highlight w:val="none"/>
        </w:rPr>
      </w:pP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根据《中华人民共和国民法典》等相关法律、法规的规定，本着自愿、平等、公平和诚实信用原则，甲、乙双方经友好协商，就甲方聘请乙方为</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rPr>
        <w:t>项目（以下称“本项目”）提供秩序维护服务事宜，达成如下协议，以资共同遵守。</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第一条  秩序维护服务范围</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秩序维护范围为本项目的物业管理服务区域，包括但不限于本项目规划红线范围内所有公共区域的房屋、商铺、道路、外围、景观、停车场（地面、地下）、物业办公区域（含各类管理用房）、设施设备用房、市政公共设施等。</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第二条  秩序维护服务内容</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1、固定岗、巡逻岗、消监控岗值班以及公共秩序、巡视检查等，为本项目提供24小时秩序维护服务，确保现场秩序正常。</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2、服务区域内突发事件的应急处理，发生突发事件应及时赶往现场进行处理并组织秩序维护工作，同时报告甲方及有关部门。</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服务区域内安全巡查，维护服务区内业主及使用人的人身、财产安全，维护正常治安、消防秩序，做好防抢、防盗、防火、防破坏等工作；熟练掌握火灾、治安、自然灾害等突发事件应急预案，事发时积极采取相应措施，立即报告甲方人员或拨打紧急救助电话，同时要保护好现场，并详细记录备查。</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4、定期完善应急预案，根据甲方要求开展应急预案演练和相关知识技能培训。</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5、完成甲方要求配合的其他与服务相关事宜。</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第三条 秩序维护服务人员配置及要求</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秩序维护人员总人数暂定为   人，若甲方根据工作需要临时增加或减少秩序维护人员，需提前通知乙方，乙方须配合调整。人员配置及要求具体如下：</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维序岗：    人；年龄    周岁以内，身高不低于     公分，初中以上学历；持保安证、体检合格报告上岗，无犯罪记录证明；本岗位1年以上工作经验，熟悉相应专业技能和服务意识。</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第四条  服务期限</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1、服务期限暂定为   个月，即自   年  月  日起至    年  月  日止，具体服务终止时间以甲方通知为准。</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2、服务期内，若甲方终止本项目的物业管理服务，则本合同自然同日终止，甲乙双方互不承担违约责任。</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第五条  秩序维护服务费、人数核定及支付方式</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1、本项目维序岗岗位服务费：￥     元/岗/月（大写：人民币        元整），月度秩序维护服务费合计￥      元/月（大写：人民币        元整），服务期内秩序维护服务费总价为      元（大写：人民币        元整）。</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上述秩序维护服务费中已包含岗位人员工资、福利待遇、社会保险费、各种税费、基础装备费、服装费、管理费及乙方利润等一切甲方应支付的费用，除此之外，甲方不再向乙方支付任何费用。若服务期限不足一个月，则根据实际服务天数及上述岗位综合服务费标准结算秩序维护服务费。</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岗位轮休人员由乙方另行安排，其用工成本甲方已在服务费用中包含。前述秩序维护服务费总价为暂定总价，甲方实际应付费用应按乙方根据甲方需求实际提供的岗位服务以及根据本合同相应的考核/扣减情况据实核算。</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若甲方临时性需乙方增派人员的，应提前3个工作日通知乙方，新增人员的费用标准按天结算，乙方应按甲方通知要求执行甲方需求。费用标准参照本合同约定的岗位综合服务费合理测算，每人每天的费用标准计算方式为岗位综合服务费标准*12个月/365天。此费用标准包含正常服务情况下甲方应付乙方的所有费用。</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甲乙双方于每月第十个工作日前根据本合同约定计算上月秩序维护服务费用，经双方确认后，乙方向甲方提供等额增值税专用发票，甲方在收到乙方发票后十五个工作日内支付。若乙方不提供或延迟提供发票，则甲方付款时间顺延。</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6、本合同项下所有款项均以人民币支付，甲方以银行转账或支票方式向乙方指定收款账户支付。乙方指定的收款账户如下： </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乙方开户银行：                                    </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乙方开户名称：                                    </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账        号：                                    </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乙方如需改变上述信息，应提前15 日以书面的形式通知甲方。如未按本合同规定通知而遭受的损失自行承担。甲方已将款项支付至乙方账户且未被退回，则视同甲方已履行付款义务。甲方开票信息如发生变更，乙方有义务协助甲方更换已开具的增值税专用发票。</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第六条  甲方权利及义务</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1、审定乙方拟定的秩序维护人员管理方案，监督和检查乙方管理工作的实施及制度的执行情况，审定乙方提出的秩序维护服务计划。</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2、甲方可依据附件（附件4）《维序服务检查标准》，每月对乙方所提供的秩序维护服务进行检查，并有权依据检查标准对乙方不符合服务要求的行为进行扣款。</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3、甲方应为乙方秩序维护人员提供必需的工作场所和条件。</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4、根据合同约定标准按时向乙方支付秩序维护服务费。</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5、积极采纳乙方合理化建议，以求更好地开展秩序维护服务。</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6、甲方应负责配备符合国家规范要求的消防设施。</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7、甲方指派专人负责监督乙方的秩序维护服务工作，双方加强沟通交流，及时协调处理日常服务工作中出现的问题。</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8、甲方有权定期检查、指导和督促乙方的秩序维护服务工作，对不称职或者有违法违纪的人员，有权要求乙方予以撤换；如乙方未按约定的要求在合理的时间内更换人员，甲方有权扣除相应人员的月费用。</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第七条  乙方权利及义务</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乙方须为选派至本项目的秩序维护人员每人购买赔偿限额不低于80万元人民币的人身意外伤害保险，并自行承担保险费用。若乙方未按约定购买上述保险，甲方有权要求乙方限期整改，若乙方拒不整改或逾期整改，则甲方可提前终止本合同，若由此造成甲方经济损失，乙方需承担赔偿责任。</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乙方应依法与其人员建立劳动合同关系，并保证该劳动合同关系在本合同履行期间合法存续，且相关劳动合同等人事（档案和用工报备等）均由乙方管理，自行负责和承担其人员的工资（含加班费等乙方员工应该获得的所有收入）、各项保险（含社会保险、人身意外伤害保险或法律法规规定的其他保险）、劳保福利及其它一切费用，甲方不承担任何乙方与其员工劳动合同项下任何责任，乙方与其人员因劳动关系及各种原因引发的劳资或法律纠纷与甲方无关，乙方处理与其员工劳动纠纷不得影响本合同正常履行。</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乙方负责其人员的招聘、培训等管理工作，同时按本合同约定秩序维护服务质量标准对其人员进行严格的队伍管理、业务培训、职责培训和纪律培训，并按照甲方制定的演练计划每年组织消防演练和防恐演练不得少于1次。</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乙方应负责加强对其人员的安全教育（包括但不限于上、下班路途安全、安全执勤、文明执勤等教育），并负责为其人员缴交工伤保险或办理足额的人身意外伤害保险，若乙方人员在履行本合同过程中发生人员伤亡或其他意外事故或造成甲方、第三方人身或财产损害的，均由乙方负责处理并承担相关责任和费用。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5、乙方人员在工作时间必须着装整齐、举止端正、文明礼貌、坚守岗位，尽职尽责，严格遵守法律、法规及甲、乙双方的各项规章制度，服从甲、乙双方领导。</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6、乙方或乙方人员未经允许不得随意动用甲方的设备，不得随意进入甲方项目物业管理中心的办公室，无紧急情况不得动用项目物业管理中心的电话，要严守在履行职务时所知悉的商业秘密。</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7、乙方应指派专人负责维序队伍内部管理和与甲方的对接工作，以便双方进行沟通交流，及时协调处理秩序维护服务过程中出现的问题。</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如因乙方原因，包括但不限于乙方人员由于技能不足、人员未遵守工作纪律（缺岗、脱岗、睡岗等）、违反作业操作规程等原因，造成服务区域内发生盗抢、财产损坏或人员安全事件，乙方应承担全部责任。若导致甲方或本合同对应服务项目遭受行政处罚的，乙方应无条件配合甲方处理协调，涉及行政罚款及损失赔偿的，应由乙方承担全部责任。</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9、乙方或其员工、雇佣人员在服务过程中因违规操作、操作不当或因服务质量不达标等原因导致甲方或本合同对应服务项目遭受行政处罚的，乙方应无条件配合甲方处理协调，涉及行政罚款及损失赔偿的，应由乙方承担全部责任；乙方在秩序维护服务过程中造成安全责任事故的（无论最终是否被政府主管部门认定为“安全生产事故”），一切经济责任和其他行政、刑事责任（赔偿、罚款、罚金、滞纳金）均由乙方承担。同时，乙方应无条件配合甲方进行事故后续安排工作，直到全部处理完毕为止。涉及行政责任或刑事责任的，乙方应无条件配合甲方，直到甲方收到政府部门正式结案文件为止。乙方违反本条约定，甲方可随时解除本合同并不承担任何责任，且乙方需赔偿因此对甲方造成的损失。</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10、乙方秩序维护人员无论因何种原因向劳动仲裁委员会提起仲裁或人民法院提起诉讼，乙方需积极妥善处理，如涉及行政罚款及损失赔偿的，应由乙方承担全部责任，若因此给甲方造成任何损失的，乙方应予以赔偿。</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11、乙方在双方约定入场时间前完成其人员的岗位技能培训并将培训记录交给甲方，同时应在入场前3个工作日内将选派至本项目的秩序维护人员的身份证复印件、保安证原件/复印件、无犯罪记录证明、消控操作证原件/复印件、入职健康体检证明、意外险缴交凭证等相关材料交甲方审核。</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第八条 保密条款</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1、任一方应将与下列事项有关的、在签订或履行本合同中获得的全部信息视为保密信息：</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（1）本合同条款；</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（2）与本合同有关的谈判内容；</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（3）在签订、履行本合同及在谈判中获得的另一方及其关联甲方的商业秘密（包括但不限于彼此间披露的一切信息、文件和数据，除非该信息、文件和数据已经公开）。</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2、双方在此同意和保证，未经本合同双方书面同意，不得将保密信息向任何第三方披露；在本合同履行完毕或因任何原因终止后，对本合同的任何一方而言，本条约定对其仍具有约束力。但是以下情形除外：</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（1）依据中国法律法规要求应当披露；</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（2）依据任何有管辖权的政府机关、监管机构的要求应当披露；</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（3）向己方的专业顾问或律师披露；</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（4）双方事先给予书面同意。</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第九条 违约责任</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1、因乙方原因导致本合同无法继续履行时，乙方须提前1 个月以书面形式通知甲方。未经甲方书面同意乙方擅自终止履行合同的，甲方有权要求乙方按照本合同暂定秩序维护服务费总额的 20%支付违约金，违约金不足以赔偿甲方损失的，乙方应另行支付违约金与损失差额部分。</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乙方人员若发生缺勤、脱岗和其他违反本合同约定的行为，每发现一人次，乙方应按月秩序维护服务费总额的1%向甲方支付违约金，若给甲方造成的损失超过违约金的，差额部分乙方也应予以赔偿，且甲方可要求乙方在七日内撤换该人员，乙方应及时予以调换。</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乙方未按照本合同约定的服务内容、服务标准及要求提供服务的，甲方有权要求乙方限期整改，若乙方拒不整改或整改后仍未达到本合同约定要求的，甲方有权单方解除本合同且乙方应按本合同暂定维护服务费总额的20%向甲方支付违约金，同时乙方须在本合同解除之日无条件退场，若乙方逾期退场造成甲方经济损失的，乙方应赔偿甲方的全部损失。</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乙方在本合同履行期间或终止后，因乙方或乙方人员原因导致甲方或本合同对应服务项目遭受行政处罚的，乙方除应承担全部行政罚款及损失赔偿责任外，合同尚未终止的，甲方有权单方解除本合同并有权要求乙方按照本合同暂定维护服务费总额的20%向甲方支付违约金，合同已经终止的，甲方仍有权要求乙方按照本合同暂定维护服务费总额的20%向甲方支付违约金；违约金不足以弥补甲方损失，甲方有权要求乙方另行赔偿。</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若乙方人员集体罢工，给甲方工作和声誉造成不良影响的，在接到甲方通知后乙方应及时进行处理并在当天处理完毕。若乙方拒不配合，则甲方有权单方解除本合同，由此给甲方造成的损失均由乙方全额承担，若损失无法确定的，则应支付等额于本合同暂定维护服务费总额20%的违约金。</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服务期内，甲方每月依据附件（附件5）《维序服务品质检查考核表》对乙方秩序维护服务进行考评，若服务品质考核分数累计3个月或者连续3个月日常考核分数低于85（含）分，甲方有权书面要求乙方限期整改，若乙方逾期整改或整改后的首次考核仍低于85（含）分的，甲方则有权解除本合同且乙方应向甲方支付等额于本合同暂定维护服务费总额20%的违约金。</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7、若乙方秩序维护服务业主满意度累计3个月或者连续2个月业主满意度得分低于85（含）分，甲方有权要求乙方限期整改，逾期未整改或整改后的首次秩序维护服务模块业主满意度得分仍低于85（含）分的，则甲方有权书面通知乙方后解除本合同且乙方应向甲方支付等额于本合同暂定维护服务费总额20%的违约金。</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8、乙方按本合同约定应向甲方承担的违约金、赔偿金、甲方代缴及垫付费用等，甲方有权直接从应付未付的款项中扣减；应付未付的款项不足扣除的，乙方应在接到甲方通知之日起3 天内补足；否则，每逾期1 天，乙方应按已扣减款项与应扣减款项之差额的万分之五/每日 的标准向甲方支付违约金，逾期达七日的，甲方有权单方解除本合同。</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9、本合同约定的秩序维护服务，乙方未经甲方书面同意擅自分包、转包或中途退场的，甲方可随时要求解除本合同且乙方应向甲方支付本合同暂定维护服务费总额20%的违约金；给甲方造成损失的，甲方有权继续向乙方追偿。</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第十条  争议解决方式</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因本合同履行或与本合同有关的一切争议，由双方优先协商解决；若协商不成，任何一方均可向甲方所在地人民法院提起诉讼。</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第十一条  通知</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根据本合同发出的任何通知，应当采用书面形式，可以通过电子邮件、甲方电子系统、专人递送或特快专递发送到本合同所列地址。如通过专人递送，该等通知在接收时视为已经送达；如通过特快专递，该等通知在发出后第3日视为已经送达；如通过电子邮件或甲方电子系统，该等通知在发出之日视为已经送达。一方变更联系信息，应提前7日将变更内容书面通知另一方。否则，由未通知方承担不利后果。对于本合同明确约定的通知、送达地址，仲裁机构/法院在送达仲裁/诉讼法律文书时可直接邮寄送达至该地址，即使甲乙双方或任何一方未能收到仲裁机构/法院邮寄送达的文书，由于其在本合同中的约定，也应当视为送达。</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第十二条  其他事项</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2、本合同未尽事宜，由甲乙双方另行协商并签订补充协议，补充协议与本合同具有同等法律效力。</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3、本合同附件为本合同的有效组成部分，与本合同具同等法律效力。</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4、本合同一式肆份，甲、乙双方各执贰份，均具有同等法律效力，自双方签字盖章之日起生效。</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5、本合同附件：</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附件一：“两告知”-告知函</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附件二：供应商廉洁诚信承诺书</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附件三：安全生产管理协议书</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附件四：维序服务检查标准</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附件五：维序服务品质检查考核表</w:t>
      </w:r>
    </w:p>
    <w:p>
      <w:pPr>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甲方(盖章)：                             乙方（盖章）：</w:t>
      </w:r>
    </w:p>
    <w:p>
      <w:pPr>
        <w:spacing w:line="360" w:lineRule="auto"/>
        <w:ind w:firstLine="275"/>
        <w:jc w:val="left"/>
        <w:rPr>
          <w:rFonts w:hint="eastAsia" w:ascii="宋体" w:hAnsi="宋体" w:eastAsia="宋体" w:cs="宋体"/>
          <w:sz w:val="28"/>
          <w:szCs w:val="28"/>
          <w:highlight w:val="none"/>
        </w:rPr>
      </w:pPr>
    </w:p>
    <w:p>
      <w:pPr>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授权代表：                               授权代表： </w:t>
      </w:r>
    </w:p>
    <w:p>
      <w:pPr>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联系电话：                               联系电话：</w:t>
      </w:r>
    </w:p>
    <w:p>
      <w:pPr>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日期：                                   日期：     </w:t>
      </w:r>
    </w:p>
    <w:p>
      <w:pPr>
        <w:widowControl/>
        <w:spacing w:line="360" w:lineRule="auto"/>
        <w:ind w:firstLine="275"/>
        <w:jc w:val="left"/>
        <w:rPr>
          <w:rFonts w:hint="eastAsia" w:ascii="宋体" w:hAnsi="宋体" w:eastAsia="宋体" w:cs="宋体"/>
          <w:sz w:val="28"/>
          <w:szCs w:val="28"/>
          <w:highlight w:val="none"/>
        </w:rPr>
      </w:pPr>
    </w:p>
    <w:p>
      <w:pPr>
        <w:widowControl/>
        <w:spacing w:line="360" w:lineRule="auto"/>
        <w:ind w:firstLine="275"/>
        <w:jc w:val="left"/>
        <w:rPr>
          <w:rFonts w:hint="eastAsia" w:ascii="宋体" w:hAnsi="宋体" w:eastAsia="宋体" w:cs="宋体"/>
          <w:sz w:val="28"/>
          <w:szCs w:val="28"/>
          <w:highlight w:val="none"/>
        </w:rPr>
      </w:pPr>
    </w:p>
    <w:p>
      <w:pPr>
        <w:widowControl/>
        <w:spacing w:line="360" w:lineRule="auto"/>
        <w:ind w:firstLine="275"/>
        <w:jc w:val="left"/>
        <w:rPr>
          <w:rFonts w:hint="eastAsia" w:ascii="宋体" w:hAnsi="宋体" w:eastAsia="宋体" w:cs="宋体"/>
          <w:sz w:val="28"/>
          <w:szCs w:val="28"/>
          <w:highlight w:val="none"/>
        </w:rPr>
      </w:pPr>
    </w:p>
    <w:p>
      <w:pPr>
        <w:widowControl/>
        <w:spacing w:line="360" w:lineRule="auto"/>
        <w:ind w:firstLine="275"/>
        <w:jc w:val="left"/>
        <w:rPr>
          <w:rFonts w:hint="eastAsia" w:ascii="宋体" w:hAnsi="宋体" w:eastAsia="宋体" w:cs="宋体"/>
          <w:sz w:val="28"/>
          <w:szCs w:val="28"/>
          <w:highlight w:val="none"/>
        </w:rPr>
      </w:pPr>
    </w:p>
    <w:p>
      <w:pPr>
        <w:widowControl/>
        <w:spacing w:line="360" w:lineRule="auto"/>
        <w:ind w:firstLine="275"/>
        <w:jc w:val="left"/>
        <w:rPr>
          <w:rFonts w:hint="eastAsia" w:ascii="宋体" w:hAnsi="宋体" w:eastAsia="宋体" w:cs="宋体"/>
          <w:sz w:val="28"/>
          <w:szCs w:val="28"/>
          <w:highlight w:val="none"/>
        </w:rPr>
      </w:pPr>
    </w:p>
    <w:p>
      <w:pPr>
        <w:widowControl/>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widowControl/>
        <w:spacing w:line="360" w:lineRule="auto"/>
        <w:ind w:firstLine="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合同附件一：</w:t>
      </w:r>
    </w:p>
    <w:p>
      <w:pPr>
        <w:widowControl/>
        <w:spacing w:line="360" w:lineRule="auto"/>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“两告知”-告知函</w:t>
      </w: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致：                 公司</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为切实加强我司党风廉政建设,在实际工作中全面落实党员干部职工廉洁自律要求，确保我司采购活动的规范与廉洁，从源头上预防和遏制违法违纪问题的发生，特作以下告知:</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一、合作单位发现我司工作人员存在说情打招呼行为的要及时反馈。</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二、中标单位发现我司工作人员存在利用职便或影响力索贿、吃拿卡要等违规违纪行为要及时反馈。</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反馈地址及联系电话：厦门市思明区体育路41号顺承大厦6楼国贸服务纪检监察室，0592-2990836。</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此告知函加盖本公司公章后生效。</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特此函告。</w:t>
      </w:r>
    </w:p>
    <w:p>
      <w:pPr>
        <w:widowControl/>
        <w:spacing w:line="360" w:lineRule="auto"/>
        <w:ind w:firstLine="560" w:firstLineChars="200"/>
        <w:jc w:val="left"/>
        <w:rPr>
          <w:rFonts w:hint="eastAsia" w:ascii="宋体" w:hAnsi="宋体" w:eastAsia="宋体" w:cs="宋体"/>
          <w:sz w:val="28"/>
          <w:szCs w:val="28"/>
          <w:highlight w:val="none"/>
        </w:rPr>
      </w:pPr>
    </w:p>
    <w:p>
      <w:pPr>
        <w:widowControl/>
        <w:spacing w:line="360" w:lineRule="auto"/>
        <w:ind w:firstLine="27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厦门国贸城市服务集团股份有限公司</w:t>
      </w:r>
    </w:p>
    <w:p>
      <w:pPr>
        <w:widowControl/>
        <w:spacing w:line="360" w:lineRule="auto"/>
        <w:ind w:firstLine="27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合作单位签收：</w:t>
      </w: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法定代表人（或授权代表）：</w:t>
      </w: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联系电话：</w:t>
      </w: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p>
    <w:p>
      <w:pPr>
        <w:widowControl/>
        <w:spacing w:line="360" w:lineRule="auto"/>
        <w:ind w:firstLine="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合同附件二：</w:t>
      </w:r>
    </w:p>
    <w:p>
      <w:pPr>
        <w:widowControl/>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供应商廉洁诚信承诺书</w:t>
      </w: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致：                               </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承诺方系贵司的供应商、服务商或合作商，在相关业务活动(包括但不限于交易洽谈、供货、服务、承揽、技术合作交流、付款)中接触贵司相关人员和资讯，在廉洁义务和操守方面做出如下承诺：</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三、不与其他经营者串通报价和投标，不排挤其他经营者的公平竞争，损害其他经营者的合法权益；不在工程建设的预决算编制工作中弄虚作假、高估冒算。</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五、承诺方禁止提供仿冒品（包括但不限于如贴牌、参杂参假，以次充好，以旧冒新、以不合格冒充合格）或不符合贵司所需规格之商品提供贵司使用。</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七、为净化采购相关秩序及环境，可发送电子邮件至贵司进行投诉或申报，须记载确实之内容或证据线索及联络方式。投诉将由贵司监察室处理及回复并保密，如属实，举报人（单位）将获得额外的现金奖励。</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八、违约责任</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九、自觉接受监督。</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特此承诺。</w:t>
      </w: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承诺人名称（盖章）： </w:t>
      </w:r>
    </w:p>
    <w:p>
      <w:pPr>
        <w:widowControl/>
        <w:spacing w:line="360" w:lineRule="auto"/>
        <w:ind w:firstLine="275"/>
        <w:jc w:val="left"/>
        <w:rPr>
          <w:rFonts w:hint="eastAsia" w:ascii="宋体" w:hAnsi="宋体" w:eastAsia="宋体" w:cs="宋体"/>
          <w:sz w:val="28"/>
          <w:szCs w:val="28"/>
          <w:highlight w:val="none"/>
        </w:rPr>
      </w:pP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法定代表人（或授权代表）：</w:t>
      </w: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联系电话：</w:t>
      </w: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p>
    <w:p>
      <w:pPr>
        <w:widowControl/>
        <w:spacing w:line="360" w:lineRule="auto"/>
        <w:jc w:val="left"/>
        <w:rPr>
          <w:rFonts w:hint="eastAsia" w:ascii="宋体" w:hAnsi="宋体" w:eastAsia="宋体" w:cs="宋体"/>
          <w:sz w:val="28"/>
          <w:szCs w:val="28"/>
          <w:highlight w:val="none"/>
        </w:rPr>
      </w:pPr>
    </w:p>
    <w:p>
      <w:pPr>
        <w:widowControl/>
        <w:spacing w:line="360" w:lineRule="auto"/>
        <w:jc w:val="left"/>
        <w:rPr>
          <w:rFonts w:hint="eastAsia" w:ascii="宋体" w:hAnsi="宋体" w:eastAsia="宋体" w:cs="宋体"/>
          <w:sz w:val="28"/>
          <w:szCs w:val="28"/>
          <w:highlight w:val="none"/>
        </w:rPr>
      </w:pPr>
    </w:p>
    <w:p>
      <w:pPr>
        <w:widowControl/>
        <w:spacing w:line="360" w:lineRule="auto"/>
        <w:ind w:firstLine="275"/>
        <w:jc w:val="left"/>
        <w:rPr>
          <w:rFonts w:hint="eastAsia" w:ascii="宋体" w:hAnsi="宋体" w:eastAsia="宋体" w:cs="宋体"/>
          <w:sz w:val="28"/>
          <w:szCs w:val="28"/>
          <w:highlight w:val="none"/>
        </w:rPr>
        <w:sectPr>
          <w:pgSz w:w="11906" w:h="16838"/>
          <w:pgMar w:top="1701" w:right="1701" w:bottom="1701" w:left="1701" w:header="851" w:footer="992" w:gutter="0"/>
          <w:cols w:space="425" w:num="1"/>
          <w:docGrid w:type="lines" w:linePitch="312" w:charSpace="0"/>
        </w:sectPr>
      </w:pPr>
    </w:p>
    <w:p>
      <w:pPr>
        <w:widowControl/>
        <w:spacing w:line="360" w:lineRule="auto"/>
        <w:ind w:firstLine="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合同附件三：</w:t>
      </w:r>
    </w:p>
    <w:p>
      <w:pPr>
        <w:widowControl/>
        <w:spacing w:line="360" w:lineRule="auto"/>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安全生产管理协议书</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秩序维护），经甲乙双方协商，签订安全生产管理协议如下：</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一、乙方应加强对现场工作人员的安全教育，提高现场工作人员的安全意识和安全技术水平。</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二、乙方人员作业携带的设备及用具，符合国家和企业安全规程要求，特种作业人员须持有效证件操作。</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五、乙方对作业人员投保相关的安全责任险。</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七、在高温、大风等不良气候条件下作业时，乙方自备防高温、防风、防雨、防雷击等安全措施，确保安全作业。</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十、作业材料堆放整齐，垃圾及时处理，不影响甲方正常秩序及通信畅通。</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widowControl/>
        <w:spacing w:line="360" w:lineRule="auto"/>
        <w:ind w:firstLine="275"/>
        <w:jc w:val="left"/>
        <w:rPr>
          <w:rFonts w:hint="eastAsia" w:ascii="宋体" w:hAnsi="宋体" w:eastAsia="宋体" w:cs="宋体"/>
          <w:sz w:val="28"/>
          <w:szCs w:val="28"/>
          <w:highlight w:val="none"/>
        </w:rPr>
      </w:pP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甲方单位：                            乙方单位：  </w:t>
      </w:r>
    </w:p>
    <w:p>
      <w:pPr>
        <w:widowControl/>
        <w:spacing w:line="360" w:lineRule="auto"/>
        <w:ind w:firstLine="275"/>
        <w:jc w:val="left"/>
        <w:rPr>
          <w:rFonts w:hint="eastAsia" w:ascii="宋体" w:hAnsi="宋体" w:eastAsia="宋体" w:cs="宋体"/>
          <w:sz w:val="28"/>
          <w:szCs w:val="28"/>
          <w:highlight w:val="none"/>
        </w:rPr>
      </w:pP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负责人：                              负责人：</w:t>
      </w:r>
    </w:p>
    <w:p>
      <w:pPr>
        <w:widowControl/>
        <w:spacing w:line="360" w:lineRule="auto"/>
        <w:ind w:firstLine="275"/>
        <w:jc w:val="left"/>
        <w:rPr>
          <w:rFonts w:hint="eastAsia" w:ascii="宋体" w:hAnsi="宋体" w:eastAsia="宋体" w:cs="宋体"/>
          <w:sz w:val="28"/>
          <w:szCs w:val="28"/>
          <w:highlight w:val="none"/>
        </w:rPr>
      </w:pP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联系电话：                            联系电话：</w:t>
      </w:r>
    </w:p>
    <w:p>
      <w:pPr>
        <w:widowControl/>
        <w:spacing w:line="360" w:lineRule="auto"/>
        <w:ind w:firstLine="275"/>
        <w:jc w:val="left"/>
        <w:rPr>
          <w:rFonts w:hint="eastAsia" w:ascii="宋体" w:hAnsi="宋体" w:eastAsia="宋体" w:cs="宋体"/>
          <w:sz w:val="28"/>
          <w:szCs w:val="28"/>
          <w:highlight w:val="none"/>
        </w:rPr>
      </w:pPr>
    </w:p>
    <w:p>
      <w:pPr>
        <w:widowControl/>
        <w:spacing w:line="360" w:lineRule="auto"/>
        <w:ind w:firstLine="275"/>
        <w:jc w:val="left"/>
        <w:rPr>
          <w:rFonts w:hint="eastAsia" w:ascii="宋体" w:hAnsi="宋体" w:eastAsia="宋体" w:cs="宋体"/>
          <w:sz w:val="28"/>
          <w:szCs w:val="28"/>
          <w:highlight w:val="none"/>
        </w:rPr>
      </w:pPr>
    </w:p>
    <w:p>
      <w:pPr>
        <w:widowControl/>
        <w:spacing w:line="360" w:lineRule="auto"/>
        <w:ind w:firstLine="27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pPr>
        <w:widowControl/>
        <w:spacing w:line="360" w:lineRule="auto"/>
        <w:jc w:val="left"/>
        <w:rPr>
          <w:rFonts w:hint="eastAsia" w:ascii="宋体" w:hAnsi="宋体" w:eastAsia="宋体" w:cs="宋体"/>
          <w:sz w:val="28"/>
          <w:szCs w:val="28"/>
          <w:highlight w:val="none"/>
        </w:rPr>
        <w:sectPr>
          <w:pgSz w:w="11906" w:h="16838"/>
          <w:pgMar w:top="1701" w:right="1701" w:bottom="1701" w:left="1701" w:header="851" w:footer="992" w:gutter="0"/>
          <w:cols w:space="425" w:num="1"/>
          <w:docGrid w:type="lines" w:linePitch="312" w:charSpace="0"/>
        </w:sectPr>
      </w:pPr>
    </w:p>
    <w:p>
      <w:pPr>
        <w:widowControl/>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合同附件四：</w:t>
      </w:r>
    </w:p>
    <w:p>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维序服务检查标准</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1、乙方派驻甲方的维序领班若要更换须经甲方同意，若未经甲方同意私自更换将扣除当月服务费用</w:t>
      </w:r>
      <w:r>
        <w:rPr>
          <w:rFonts w:hint="eastAsia" w:ascii="宋体" w:hAnsi="宋体" w:eastAsia="宋体" w:cs="宋体"/>
          <w:sz w:val="28"/>
          <w:szCs w:val="28"/>
          <w:highlight w:val="none"/>
          <w:u w:val="single"/>
        </w:rPr>
        <w:t>1000</w:t>
      </w:r>
      <w:r>
        <w:rPr>
          <w:rFonts w:hint="eastAsia" w:ascii="宋体" w:hAnsi="宋体" w:eastAsia="宋体" w:cs="宋体"/>
          <w:sz w:val="28"/>
          <w:szCs w:val="28"/>
          <w:highlight w:val="none"/>
        </w:rPr>
        <w:t>元。乙方派驻甲方的维序人员及相关工作人员，应于每日上下班时按时进行打卡，不得冒名顶替，一经发现，扣除当月服务费</w:t>
      </w:r>
      <w:r>
        <w:rPr>
          <w:rFonts w:hint="eastAsia" w:ascii="宋体" w:hAnsi="宋体" w:eastAsia="宋体" w:cs="宋体"/>
          <w:sz w:val="28"/>
          <w:szCs w:val="28"/>
          <w:highlight w:val="none"/>
          <w:u w:val="single"/>
        </w:rPr>
        <w:t>1000</w:t>
      </w:r>
      <w:r>
        <w:rPr>
          <w:rFonts w:hint="eastAsia" w:ascii="宋体" w:hAnsi="宋体" w:eastAsia="宋体" w:cs="宋体"/>
          <w:sz w:val="28"/>
          <w:szCs w:val="28"/>
          <w:highlight w:val="none"/>
        </w:rPr>
        <w:t>元/人次。</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2、如因乙方维序人员未经过培训上岗导致未正确履行职责、安全隐患没有发现或处理，造成事故或人身财产安全损害的，每发生一起扣除服务费</w:t>
      </w:r>
      <w:r>
        <w:rPr>
          <w:rFonts w:hint="eastAsia" w:ascii="宋体" w:hAnsi="宋体" w:eastAsia="宋体" w:cs="宋体"/>
          <w:sz w:val="28"/>
          <w:szCs w:val="28"/>
          <w:highlight w:val="none"/>
          <w:u w:val="single"/>
        </w:rPr>
        <w:t>1000</w:t>
      </w:r>
      <w:r>
        <w:rPr>
          <w:rFonts w:hint="eastAsia" w:ascii="宋体" w:hAnsi="宋体" w:eastAsia="宋体" w:cs="宋体"/>
          <w:sz w:val="28"/>
          <w:szCs w:val="28"/>
          <w:highlight w:val="none"/>
        </w:rPr>
        <w:t>元/人，并赔偿实际损失。</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3、甲方有权每日对当班人数进行清点，与制定的排班表进行对照，每天每班如果缺1人，则从乙方当月服务费中扣除</w:t>
      </w:r>
      <w:r>
        <w:rPr>
          <w:rFonts w:hint="eastAsia" w:ascii="宋体" w:hAnsi="宋体" w:eastAsia="宋体" w:cs="宋体"/>
          <w:sz w:val="28"/>
          <w:szCs w:val="28"/>
          <w:highlight w:val="none"/>
          <w:u w:val="single"/>
        </w:rPr>
        <w:t>500</w:t>
      </w:r>
      <w:r>
        <w:rPr>
          <w:rFonts w:hint="eastAsia" w:ascii="宋体" w:hAnsi="宋体" w:eastAsia="宋体" w:cs="宋体"/>
          <w:sz w:val="28"/>
          <w:szCs w:val="28"/>
          <w:highlight w:val="none"/>
        </w:rPr>
        <w:t>元，以此累加。</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4、每月若有经甲方核实有效投诉，甲方应在3个工作日内书面告知乙方整改，乙方未及时正确处理或回复的，甲方有权提出警告，每次扣除乙方当月服务费</w:t>
      </w:r>
      <w:r>
        <w:rPr>
          <w:rFonts w:hint="eastAsia" w:ascii="宋体" w:hAnsi="宋体" w:eastAsia="宋体" w:cs="宋体"/>
          <w:sz w:val="28"/>
          <w:szCs w:val="28"/>
          <w:highlight w:val="none"/>
          <w:u w:val="single"/>
        </w:rPr>
        <w:t>1000</w:t>
      </w:r>
      <w:r>
        <w:rPr>
          <w:rFonts w:hint="eastAsia" w:ascii="宋体" w:hAnsi="宋体" w:eastAsia="宋体" w:cs="宋体"/>
          <w:sz w:val="28"/>
          <w:szCs w:val="28"/>
          <w:highlight w:val="none"/>
        </w:rPr>
        <w:t>元。</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5、乙方维序人员要服从甲方现场管理和工作调整，对甲方依照本合同提出的管理意见和工作调整，乙方拒绝配合或故意拖延不及时配合，每次扣除乙方当月服务费</w:t>
      </w:r>
      <w:r>
        <w:rPr>
          <w:rFonts w:hint="eastAsia" w:ascii="宋体" w:hAnsi="宋体" w:eastAsia="宋体" w:cs="宋体"/>
          <w:sz w:val="28"/>
          <w:szCs w:val="28"/>
          <w:highlight w:val="none"/>
          <w:u w:val="single"/>
        </w:rPr>
        <w:t>500</w:t>
      </w:r>
      <w:r>
        <w:rPr>
          <w:rFonts w:hint="eastAsia" w:ascii="宋体" w:hAnsi="宋体" w:eastAsia="宋体" w:cs="宋体"/>
          <w:sz w:val="28"/>
          <w:szCs w:val="28"/>
          <w:highlight w:val="none"/>
        </w:rPr>
        <w:t>元。</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6、乙方维序人员上班不得迟到、早退。每发现迟到、早退或漏打等情况，按每天每人次</w:t>
      </w:r>
      <w:r>
        <w:rPr>
          <w:rFonts w:hint="eastAsia" w:ascii="宋体" w:hAnsi="宋体" w:eastAsia="宋体" w:cs="宋体"/>
          <w:sz w:val="28"/>
          <w:szCs w:val="28"/>
          <w:highlight w:val="none"/>
          <w:u w:val="single"/>
        </w:rPr>
        <w:t xml:space="preserve"> 200</w:t>
      </w:r>
      <w:r>
        <w:rPr>
          <w:rFonts w:hint="eastAsia" w:ascii="宋体" w:hAnsi="宋体" w:eastAsia="宋体" w:cs="宋体"/>
          <w:sz w:val="28"/>
          <w:szCs w:val="28"/>
          <w:highlight w:val="none"/>
        </w:rPr>
        <w:t>元的标准扣除乙方当月服务费；</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7、乙方维序人员严禁酒后上岗或在岗饮酒，每发现一次扣除服务费</w:t>
      </w:r>
      <w:r>
        <w:rPr>
          <w:rFonts w:hint="eastAsia" w:ascii="宋体" w:hAnsi="宋体" w:eastAsia="宋体" w:cs="宋体"/>
          <w:sz w:val="28"/>
          <w:szCs w:val="28"/>
          <w:highlight w:val="none"/>
          <w:u w:val="single"/>
        </w:rPr>
        <w:t>500</w:t>
      </w:r>
      <w:r>
        <w:rPr>
          <w:rFonts w:hint="eastAsia" w:ascii="宋体" w:hAnsi="宋体" w:eastAsia="宋体" w:cs="宋体"/>
          <w:sz w:val="28"/>
          <w:szCs w:val="28"/>
          <w:highlight w:val="none"/>
        </w:rPr>
        <w:t>元，如因喝酒引起事故或投诉，每次扣除服务费</w:t>
      </w:r>
      <w:r>
        <w:rPr>
          <w:rFonts w:hint="eastAsia" w:ascii="宋体" w:hAnsi="宋体" w:eastAsia="宋体" w:cs="宋体"/>
          <w:sz w:val="28"/>
          <w:szCs w:val="28"/>
          <w:highlight w:val="none"/>
          <w:u w:val="single"/>
        </w:rPr>
        <w:t>1000</w:t>
      </w:r>
      <w:r>
        <w:rPr>
          <w:rFonts w:hint="eastAsia" w:ascii="宋体" w:hAnsi="宋体" w:eastAsia="宋体" w:cs="宋体"/>
          <w:sz w:val="28"/>
          <w:szCs w:val="28"/>
          <w:highlight w:val="none"/>
        </w:rPr>
        <w:t>元。</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8、乙方维序人员严禁脱离工作岗位或在岗上睡觉，如出现脱岗或睡岗，每发生一次扣除乙方当月服务费</w:t>
      </w:r>
      <w:r>
        <w:rPr>
          <w:rFonts w:hint="eastAsia" w:ascii="宋体" w:hAnsi="宋体" w:eastAsia="宋体" w:cs="宋体"/>
          <w:sz w:val="28"/>
          <w:szCs w:val="28"/>
          <w:highlight w:val="none"/>
          <w:u w:val="single"/>
        </w:rPr>
        <w:t>500</w:t>
      </w:r>
      <w:r>
        <w:rPr>
          <w:rFonts w:hint="eastAsia" w:ascii="宋体" w:hAnsi="宋体" w:eastAsia="宋体" w:cs="宋体"/>
          <w:sz w:val="28"/>
          <w:szCs w:val="28"/>
          <w:highlight w:val="none"/>
        </w:rPr>
        <w:t>元。</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9、乙方维序人员在岗上值班时，要服装整洁，仪表端正，每发生一次未按规定着装或的扣除乙方当月服务费</w:t>
      </w:r>
      <w:r>
        <w:rPr>
          <w:rFonts w:hint="eastAsia" w:ascii="宋体" w:hAnsi="宋体" w:eastAsia="宋体" w:cs="宋体"/>
          <w:sz w:val="28"/>
          <w:szCs w:val="28"/>
          <w:highlight w:val="none"/>
          <w:u w:val="single"/>
        </w:rPr>
        <w:t>100</w:t>
      </w:r>
      <w:r>
        <w:rPr>
          <w:rFonts w:hint="eastAsia" w:ascii="宋体" w:hAnsi="宋体" w:eastAsia="宋体" w:cs="宋体"/>
          <w:sz w:val="28"/>
          <w:szCs w:val="28"/>
          <w:highlight w:val="none"/>
        </w:rPr>
        <w:t>元。</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10、乙方维序人员在不影响工作的情况下使用手机通话不得超过3分钟。严禁在岗位上做与工作无关的事情，每发生一次扣除乙方当月服务费</w:t>
      </w:r>
      <w:r>
        <w:rPr>
          <w:rFonts w:hint="eastAsia" w:ascii="宋体" w:hAnsi="宋体" w:eastAsia="宋体" w:cs="宋体"/>
          <w:sz w:val="28"/>
          <w:szCs w:val="28"/>
          <w:highlight w:val="none"/>
          <w:u w:val="single"/>
        </w:rPr>
        <w:t>100</w:t>
      </w:r>
      <w:r>
        <w:rPr>
          <w:rFonts w:hint="eastAsia" w:ascii="宋体" w:hAnsi="宋体" w:eastAsia="宋体" w:cs="宋体"/>
          <w:sz w:val="28"/>
          <w:szCs w:val="28"/>
          <w:highlight w:val="none"/>
        </w:rPr>
        <w:t>元。</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11、乙方维序人员严禁与业主、使用人发生口角或肢体冲突，每发生一次口角扣除乙方当月服务费</w:t>
      </w:r>
      <w:r>
        <w:rPr>
          <w:rFonts w:hint="eastAsia" w:ascii="宋体" w:hAnsi="宋体" w:eastAsia="宋体" w:cs="宋体"/>
          <w:sz w:val="28"/>
          <w:szCs w:val="28"/>
          <w:highlight w:val="none"/>
          <w:u w:val="single"/>
        </w:rPr>
        <w:t>500</w:t>
      </w:r>
      <w:r>
        <w:rPr>
          <w:rFonts w:hint="eastAsia" w:ascii="宋体" w:hAnsi="宋体" w:eastAsia="宋体" w:cs="宋体"/>
          <w:sz w:val="28"/>
          <w:szCs w:val="28"/>
          <w:highlight w:val="none"/>
        </w:rPr>
        <w:t>元，每发生一肢体冲突扣除当月服务费</w:t>
      </w:r>
      <w:r>
        <w:rPr>
          <w:rFonts w:hint="eastAsia" w:ascii="宋体" w:hAnsi="宋体" w:eastAsia="宋体" w:cs="宋体"/>
          <w:sz w:val="28"/>
          <w:szCs w:val="28"/>
          <w:highlight w:val="none"/>
          <w:u w:val="single"/>
        </w:rPr>
        <w:t>1000</w:t>
      </w:r>
      <w:r>
        <w:rPr>
          <w:rFonts w:hint="eastAsia" w:ascii="宋体" w:hAnsi="宋体" w:eastAsia="宋体" w:cs="宋体"/>
          <w:sz w:val="28"/>
          <w:szCs w:val="28"/>
          <w:highlight w:val="none"/>
        </w:rPr>
        <w:t>元，并开除涉事秩序员，产生的医疗费或其它实际损失全部由乙方承担。</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12、乙方维序人员要对异常人员和装修材料进行严格管控，未按要求对异常人员或装修材料等进行询问、确认、登记和监控的，日常巡查每发现一次扣除乙方当月服务费</w:t>
      </w:r>
      <w:r>
        <w:rPr>
          <w:rFonts w:hint="eastAsia" w:ascii="宋体" w:hAnsi="宋体" w:eastAsia="宋体" w:cs="宋体"/>
          <w:sz w:val="28"/>
          <w:szCs w:val="28"/>
          <w:highlight w:val="none"/>
          <w:u w:val="single"/>
        </w:rPr>
        <w:t>200</w:t>
      </w:r>
      <w:r>
        <w:rPr>
          <w:rFonts w:hint="eastAsia" w:ascii="宋体" w:hAnsi="宋体" w:eastAsia="宋体" w:cs="宋体"/>
          <w:sz w:val="28"/>
          <w:szCs w:val="28"/>
          <w:highlight w:val="none"/>
        </w:rPr>
        <w:t>元。</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13、乙方维序人员要严格按照甲方制定的巡逻计划进行巡逻，并做好巡逻记录，未按要求完成巡逻、随意填写记录或弄虚作假的，每检查发现一次扣除乙方当月服务费</w:t>
      </w:r>
      <w:r>
        <w:rPr>
          <w:rFonts w:hint="eastAsia" w:ascii="宋体" w:hAnsi="宋体" w:eastAsia="宋体" w:cs="宋体"/>
          <w:sz w:val="28"/>
          <w:szCs w:val="28"/>
          <w:highlight w:val="none"/>
          <w:u w:val="single"/>
        </w:rPr>
        <w:t>200</w:t>
      </w:r>
      <w:r>
        <w:rPr>
          <w:rFonts w:hint="eastAsia" w:ascii="宋体" w:hAnsi="宋体" w:eastAsia="宋体" w:cs="宋体"/>
          <w:sz w:val="28"/>
          <w:szCs w:val="28"/>
          <w:highlight w:val="none"/>
        </w:rPr>
        <w:t>元。</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14、在接到火警或警情通知后，乙方维序人员5分钟内要到达现场，协助保护现场，并及时报告。在遇到异常情况或业主紧急求助时，5分钟内赶到现场并采取相应措施。当值领班要在10分钟内到达现场，指挥处理突发事件。未能及时按突发事件处理程序处理的，每发生一次扣除乙方当月服务费</w:t>
      </w:r>
      <w:r>
        <w:rPr>
          <w:rFonts w:hint="eastAsia" w:ascii="宋体" w:hAnsi="宋体" w:eastAsia="宋体" w:cs="宋体"/>
          <w:sz w:val="28"/>
          <w:szCs w:val="28"/>
          <w:highlight w:val="none"/>
          <w:u w:val="single"/>
        </w:rPr>
        <w:t>500</w:t>
      </w:r>
      <w:r>
        <w:rPr>
          <w:rFonts w:hint="eastAsia" w:ascii="宋体" w:hAnsi="宋体" w:eastAsia="宋体" w:cs="宋体"/>
          <w:sz w:val="28"/>
          <w:szCs w:val="28"/>
          <w:highlight w:val="none"/>
        </w:rPr>
        <w:t>元；引起业主投诉，查证属实的每次扣除乙方当月服务费</w:t>
      </w:r>
      <w:r>
        <w:rPr>
          <w:rFonts w:hint="eastAsia" w:ascii="宋体" w:hAnsi="宋体" w:eastAsia="宋体" w:cs="宋体"/>
          <w:sz w:val="28"/>
          <w:szCs w:val="28"/>
          <w:highlight w:val="none"/>
          <w:u w:val="single"/>
        </w:rPr>
        <w:t>1000</w:t>
      </w:r>
      <w:r>
        <w:rPr>
          <w:rFonts w:hint="eastAsia" w:ascii="宋体" w:hAnsi="宋体" w:eastAsia="宋体" w:cs="宋体"/>
          <w:sz w:val="28"/>
          <w:szCs w:val="28"/>
          <w:highlight w:val="none"/>
        </w:rPr>
        <w:t>元；给甲方或第三人造成损失的，乙方还应承担相应赔偿责任。</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15、乙方要加强对维序队伍的管理，保持廉洁自律作风，不得私自收受礼品或礼金，不得侵占财物；在协助甲方进行车辆管理收费活动中，实收现金要及时上交（如有），如发现私收、私占财物或侵占停车费现象，占一罚十。</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16、乙方维序队伍或队员不得介入项目的搬运业务，更不得支持地方势力的强买强卖活动，发现非法搬运或强买强卖现象要立即制止并向服务处报告，如发现维序队伍或队员从事或支持非法搬运和强买强卖活动，在警告的同时扣除乙方当月服务费</w:t>
      </w:r>
      <w:r>
        <w:rPr>
          <w:rFonts w:hint="eastAsia" w:ascii="宋体" w:hAnsi="宋体" w:eastAsia="宋体" w:cs="宋体"/>
          <w:sz w:val="28"/>
          <w:szCs w:val="28"/>
          <w:highlight w:val="none"/>
          <w:u w:val="single"/>
        </w:rPr>
        <w:t>10000</w:t>
      </w:r>
      <w:r>
        <w:rPr>
          <w:rFonts w:hint="eastAsia" w:ascii="宋体" w:hAnsi="宋体" w:eastAsia="宋体" w:cs="宋体"/>
          <w:sz w:val="28"/>
          <w:szCs w:val="28"/>
          <w:highlight w:val="none"/>
        </w:rPr>
        <w:t>元，如事情严重或造成甲方名誉损失的，甲方有权单方解除合同，停止维序服务。</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17、乙方要加强对维序队伍的管理，保持良好的工作状态，严格按安全防范工作要求，完成安全管理工作内容，确保管理区域内不发生入室盗窃案件。如管理区域内发生入室盗窃案件但不能提供巡逻记录和视频的扣</w:t>
      </w:r>
      <w:r>
        <w:rPr>
          <w:rFonts w:hint="eastAsia" w:ascii="宋体" w:hAnsi="宋体" w:eastAsia="宋体" w:cs="宋体"/>
          <w:sz w:val="28"/>
          <w:szCs w:val="28"/>
          <w:highlight w:val="none"/>
          <w:u w:val="single"/>
        </w:rPr>
        <w:t>1000</w:t>
      </w:r>
      <w:r>
        <w:rPr>
          <w:rFonts w:hint="eastAsia" w:ascii="宋体" w:hAnsi="宋体" w:eastAsia="宋体" w:cs="宋体"/>
          <w:sz w:val="28"/>
          <w:szCs w:val="28"/>
          <w:highlight w:val="none"/>
        </w:rPr>
        <w:t>元；因管理失职给甲方或第三人造成的损失，乙方还应承担相应赔偿。</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18、服务期内，甲方有权对乙方秩序维护服务进行业主满意度调研，进场日期在当月15日之前的，则甲方在次月对乙方秩序维护服务进行业主满意度调研，进场日期在当月15日之后的，则甲方在次次月对乙方秩序维护服务进行业主满意度调研。每月秩序维护服务模块业主满意度得分低于</w:t>
      </w:r>
      <w:r>
        <w:rPr>
          <w:rFonts w:hint="eastAsia" w:ascii="宋体" w:hAnsi="宋体" w:eastAsia="宋体" w:cs="宋体"/>
          <w:sz w:val="28"/>
          <w:szCs w:val="28"/>
          <w:highlight w:val="none"/>
          <w:u w:val="single"/>
        </w:rPr>
        <w:t xml:space="preserve"> 85 </w:t>
      </w:r>
      <w:r>
        <w:rPr>
          <w:rFonts w:hint="eastAsia" w:ascii="宋体" w:hAnsi="宋体" w:eastAsia="宋体" w:cs="宋体"/>
          <w:sz w:val="28"/>
          <w:szCs w:val="28"/>
          <w:highlight w:val="none"/>
        </w:rPr>
        <w:t>分的，每少1分相应扣减当月秩序维护服务费</w:t>
      </w:r>
      <w:r>
        <w:rPr>
          <w:rFonts w:hint="eastAsia" w:ascii="宋体" w:hAnsi="宋体" w:eastAsia="宋体" w:cs="宋体"/>
          <w:sz w:val="28"/>
          <w:szCs w:val="28"/>
          <w:highlight w:val="none"/>
          <w:u w:val="single"/>
        </w:rPr>
        <w:t>100</w:t>
      </w:r>
      <w:r>
        <w:rPr>
          <w:rFonts w:hint="eastAsia" w:ascii="宋体" w:hAnsi="宋体" w:eastAsia="宋体" w:cs="宋体"/>
          <w:sz w:val="28"/>
          <w:szCs w:val="28"/>
          <w:highlight w:val="none"/>
        </w:rPr>
        <w:t>元。</w:t>
      </w:r>
    </w:p>
    <w:p>
      <w:pPr>
        <w:widowControl/>
        <w:spacing w:line="360" w:lineRule="auto"/>
        <w:ind w:firstLine="560" w:firstLineChars="200"/>
        <w:jc w:val="left"/>
        <w:rPr>
          <w:rFonts w:hint="eastAsia" w:ascii="宋体" w:hAnsi="宋体" w:eastAsia="宋体" w:cs="宋体"/>
          <w:sz w:val="28"/>
          <w:szCs w:val="28"/>
          <w:highlight w:val="none"/>
        </w:rPr>
        <w:sectPr>
          <w:pgSz w:w="11906" w:h="16838"/>
          <w:pgMar w:top="1701" w:right="1701" w:bottom="1701" w:left="1701" w:header="851" w:footer="992" w:gutter="0"/>
          <w:cols w:space="425" w:num="1"/>
          <w:docGrid w:type="lines" w:linePitch="312" w:charSpace="0"/>
        </w:sectPr>
      </w:pPr>
      <w:r>
        <w:rPr>
          <w:rFonts w:hint="eastAsia" w:ascii="宋体" w:hAnsi="宋体" w:eastAsia="宋体" w:cs="宋体"/>
          <w:sz w:val="28"/>
          <w:szCs w:val="28"/>
          <w:highlight w:val="none"/>
        </w:rPr>
        <w:t>19、</w:t>
      </w:r>
      <w:r>
        <w:rPr>
          <w:rFonts w:hint="eastAsia" w:ascii="宋体" w:hAnsi="宋体" w:eastAsia="宋体" w:cs="宋体"/>
          <w:color w:val="000000" w:themeColor="text1"/>
          <w:sz w:val="28"/>
          <w:szCs w:val="28"/>
          <w:highlight w:val="none"/>
          <w14:textFill>
            <w14:solidFill>
              <w14:schemeClr w14:val="tx1"/>
            </w14:solidFill>
          </w14:textFill>
        </w:rPr>
        <w:t>根据本项目物业管理方上属集团第三方神秘客户每季度的暗访物业维度得分抽样检查结果，乙方秩序维护服务单模块得分低于</w:t>
      </w:r>
      <w:r>
        <w:rPr>
          <w:rFonts w:hint="eastAsia" w:ascii="宋体" w:hAnsi="宋体" w:eastAsia="宋体" w:cs="宋体"/>
          <w:color w:val="000000" w:themeColor="text1"/>
          <w:sz w:val="28"/>
          <w:szCs w:val="28"/>
          <w:highlight w:val="none"/>
          <w:u w:val="single"/>
          <w14:textFill>
            <w14:solidFill>
              <w14:schemeClr w14:val="tx1"/>
            </w14:solidFill>
          </w14:textFill>
        </w:rPr>
        <w:t>项目总体得分</w:t>
      </w:r>
      <w:r>
        <w:rPr>
          <w:rFonts w:hint="eastAsia" w:ascii="宋体" w:hAnsi="宋体" w:eastAsia="宋体" w:cs="宋体"/>
          <w:color w:val="000000" w:themeColor="text1"/>
          <w:sz w:val="28"/>
          <w:szCs w:val="28"/>
          <w:highlight w:val="none"/>
          <w14:textFill>
            <w14:solidFill>
              <w14:schemeClr w14:val="tx1"/>
            </w14:solidFill>
          </w14:textFill>
        </w:rPr>
        <w:t>的（根据项目年度考核指标确定具体分值），每低1分扣除当月秩序维护服务费</w:t>
      </w:r>
      <w:r>
        <w:rPr>
          <w:rFonts w:hint="eastAsia" w:ascii="宋体" w:hAnsi="宋体" w:eastAsia="宋体" w:cs="宋体"/>
          <w:color w:val="000000" w:themeColor="text1"/>
          <w:sz w:val="28"/>
          <w:szCs w:val="28"/>
          <w:highlight w:val="none"/>
          <w:u w:val="single"/>
          <w14:textFill>
            <w14:solidFill>
              <w14:schemeClr w14:val="tx1"/>
            </w14:solidFill>
          </w14:textFill>
        </w:rPr>
        <w:t xml:space="preserve"> 100 </w:t>
      </w:r>
      <w:r>
        <w:rPr>
          <w:rFonts w:hint="eastAsia" w:ascii="宋体" w:hAnsi="宋体" w:eastAsia="宋体" w:cs="宋体"/>
          <w:color w:val="000000" w:themeColor="text1"/>
          <w:sz w:val="28"/>
          <w:szCs w:val="28"/>
          <w:highlight w:val="none"/>
          <w14:textFill>
            <w14:solidFill>
              <w14:schemeClr w14:val="tx1"/>
            </w14:solidFill>
          </w14:textFill>
        </w:rPr>
        <w:t>元。</w:t>
      </w:r>
    </w:p>
    <w:p>
      <w:pPr>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合同附件五</w:t>
      </w:r>
    </w:p>
    <w:p>
      <w:pPr>
        <w:spacing w:line="360" w:lineRule="auto"/>
        <w:jc w:val="center"/>
        <w:rPr>
          <w:rFonts w:hint="eastAsia" w:ascii="宋体" w:hAnsi="宋体" w:eastAsia="宋体" w:cs="宋体"/>
          <w:b/>
          <w:bCs/>
          <w:sz w:val="28"/>
          <w:szCs w:val="28"/>
          <w:highlight w:val="none"/>
          <w:lang w:val="zh-TW" w:eastAsia="zh-TW"/>
        </w:rPr>
      </w:pPr>
      <w:bookmarkStart w:id="438" w:name="_Toc3472"/>
      <w:r>
        <w:rPr>
          <w:rFonts w:hint="eastAsia" w:ascii="宋体" w:hAnsi="宋体" w:eastAsia="宋体" w:cs="宋体"/>
          <w:b/>
          <w:bCs/>
          <w:sz w:val="28"/>
          <w:szCs w:val="28"/>
          <w:highlight w:val="none"/>
        </w:rPr>
        <w:t>项目</w:t>
      </w:r>
      <w:r>
        <w:rPr>
          <w:rFonts w:hint="eastAsia" w:ascii="宋体" w:hAnsi="宋体" w:eastAsia="宋体" w:cs="宋体"/>
          <w:b/>
          <w:bCs/>
          <w:sz w:val="28"/>
          <w:szCs w:val="28"/>
          <w:highlight w:val="none"/>
          <w:lang w:val="zh-TW"/>
        </w:rPr>
        <w:t>维序</w:t>
      </w:r>
      <w:r>
        <w:rPr>
          <w:rFonts w:hint="eastAsia" w:ascii="宋体" w:hAnsi="宋体" w:eastAsia="宋体" w:cs="宋体"/>
          <w:b/>
          <w:bCs/>
          <w:sz w:val="28"/>
          <w:szCs w:val="28"/>
          <w:highlight w:val="none"/>
          <w:lang w:val="zh-TW" w:eastAsia="zh-TW"/>
        </w:rPr>
        <w:t>服务</w:t>
      </w:r>
      <w:r>
        <w:rPr>
          <w:rFonts w:hint="eastAsia" w:ascii="宋体" w:hAnsi="宋体" w:eastAsia="宋体" w:cs="宋体"/>
          <w:b/>
          <w:bCs/>
          <w:sz w:val="28"/>
          <w:szCs w:val="28"/>
          <w:highlight w:val="none"/>
        </w:rPr>
        <w:t>品质</w:t>
      </w:r>
      <w:r>
        <w:rPr>
          <w:rFonts w:hint="eastAsia" w:ascii="宋体" w:hAnsi="宋体" w:eastAsia="宋体" w:cs="宋体"/>
          <w:b/>
          <w:bCs/>
          <w:sz w:val="28"/>
          <w:szCs w:val="28"/>
          <w:highlight w:val="none"/>
          <w:lang w:val="zh-TW" w:eastAsia="zh-TW"/>
        </w:rPr>
        <w:t>检查考核表</w:t>
      </w:r>
    </w:p>
    <w:tbl>
      <w:tblPr>
        <w:tblStyle w:val="19"/>
        <w:tblW w:w="13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4256"/>
        <w:gridCol w:w="4444"/>
        <w:gridCol w:w="2043"/>
        <w:gridCol w:w="538"/>
        <w:gridCol w:w="44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63" w:type="dxa"/>
            <w:vAlign w:val="center"/>
          </w:tcPr>
          <w:p>
            <w:pPr>
              <w:widowControl/>
              <w:spacing w:line="240" w:lineRule="auto"/>
              <w:ind w:firstLine="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lang w:eastAsia="zh-TW"/>
              </w:rPr>
              <w:t>检查类别</w:t>
            </w:r>
          </w:p>
        </w:tc>
        <w:tc>
          <w:tcPr>
            <w:tcW w:w="4256" w:type="dxa"/>
            <w:vAlign w:val="center"/>
          </w:tcPr>
          <w:p>
            <w:pPr>
              <w:widowControl/>
              <w:spacing w:line="240" w:lineRule="auto"/>
              <w:ind w:firstLine="236"/>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lang w:eastAsia="zh-TW"/>
              </w:rPr>
              <w:t>检查内容</w:t>
            </w:r>
          </w:p>
        </w:tc>
        <w:tc>
          <w:tcPr>
            <w:tcW w:w="4444" w:type="dxa"/>
            <w:vAlign w:val="center"/>
          </w:tcPr>
          <w:p>
            <w:pPr>
              <w:widowControl/>
              <w:spacing w:line="240" w:lineRule="auto"/>
              <w:ind w:firstLine="236"/>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lang w:eastAsia="zh-TW"/>
              </w:rPr>
              <w:t>检查标准及方法</w:t>
            </w:r>
          </w:p>
        </w:tc>
        <w:tc>
          <w:tcPr>
            <w:tcW w:w="2043" w:type="dxa"/>
            <w:vAlign w:val="center"/>
          </w:tcPr>
          <w:p>
            <w:pPr>
              <w:widowControl/>
              <w:spacing w:line="240" w:lineRule="auto"/>
              <w:ind w:firstLine="236"/>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lang w:eastAsia="zh-TW"/>
              </w:rPr>
              <w:t>评分标准</w:t>
            </w:r>
          </w:p>
        </w:tc>
        <w:tc>
          <w:tcPr>
            <w:tcW w:w="538" w:type="dxa"/>
            <w:vAlign w:val="center"/>
          </w:tcPr>
          <w:p>
            <w:pPr>
              <w:widowControl/>
              <w:spacing w:line="240" w:lineRule="auto"/>
              <w:ind w:firstLine="0"/>
              <w:jc w:val="both"/>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lang w:eastAsia="zh-TW"/>
              </w:rPr>
              <w:t>分值</w:t>
            </w:r>
          </w:p>
        </w:tc>
        <w:tc>
          <w:tcPr>
            <w:tcW w:w="441" w:type="dxa"/>
            <w:vAlign w:val="center"/>
          </w:tcPr>
          <w:p>
            <w:pPr>
              <w:widowControl/>
              <w:spacing w:line="240" w:lineRule="auto"/>
              <w:ind w:firstLine="0"/>
              <w:jc w:val="both"/>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lang w:eastAsia="zh-TW"/>
              </w:rPr>
              <w:t>得分</w:t>
            </w:r>
          </w:p>
        </w:tc>
        <w:tc>
          <w:tcPr>
            <w:tcW w:w="1151" w:type="dxa"/>
            <w:vAlign w:val="center"/>
          </w:tcPr>
          <w:p>
            <w:pPr>
              <w:widowControl/>
              <w:spacing w:line="240" w:lineRule="auto"/>
              <w:ind w:firstLine="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lang w:eastAsia="zh-TW"/>
              </w:rPr>
              <w:t>事实记录（要点）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0"/>
              <w:jc w:val="both"/>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交接班和备勤管理</w:t>
            </w: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岗位交接班：集合、</w:t>
            </w:r>
            <w:r>
              <w:rPr>
                <w:rFonts w:hint="eastAsia" w:ascii="宋体" w:hAnsi="宋体" w:eastAsia="宋体" w:cs="宋体"/>
                <w:kern w:val="0"/>
                <w:sz w:val="22"/>
                <w:szCs w:val="22"/>
                <w:highlight w:val="none"/>
                <w:lang w:eastAsia="zh-TW"/>
              </w:rPr>
              <w:t>列队入园</w:t>
            </w:r>
            <w:r>
              <w:rPr>
                <w:rFonts w:hint="eastAsia" w:ascii="宋体" w:hAnsi="宋体" w:eastAsia="宋体" w:cs="宋体"/>
                <w:kern w:val="0"/>
                <w:sz w:val="22"/>
                <w:szCs w:val="22"/>
                <w:highlight w:val="none"/>
              </w:rPr>
              <w:t>、班前会、逐岗交接、集合、班后会、列队带回。</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观察</w:t>
            </w:r>
            <w:r>
              <w:rPr>
                <w:rFonts w:hint="eastAsia" w:ascii="宋体" w:hAnsi="宋体" w:eastAsia="宋体" w:cs="宋体"/>
                <w:kern w:val="0"/>
                <w:sz w:val="22"/>
                <w:szCs w:val="22"/>
                <w:highlight w:val="none"/>
                <w:lang w:eastAsia="zh-TW"/>
              </w:rPr>
              <w:t>岗位交接班流程是否按照规定进行</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lang w:eastAsia="zh-TW"/>
              </w:rPr>
            </w:pPr>
            <w:r>
              <w:rPr>
                <w:rFonts w:hint="eastAsia" w:ascii="宋体" w:hAnsi="宋体" w:eastAsia="宋体" w:cs="宋体"/>
                <w:kern w:val="0"/>
                <w:sz w:val="22"/>
                <w:szCs w:val="22"/>
                <w:highlight w:val="none"/>
                <w:lang w:eastAsia="zh-TW"/>
              </w:rPr>
              <w:t>不符合</w:t>
            </w:r>
          </w:p>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不得分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标准化班组会</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eastAsia="zh-TW"/>
              </w:rPr>
              <w:t>维序员岗前15分钟到岗、集合，进行专项检查和训练</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调取项目日常晨会视频</w:t>
            </w:r>
            <w:r>
              <w:rPr>
                <w:rFonts w:hint="eastAsia" w:ascii="宋体" w:hAnsi="宋体" w:eastAsia="宋体" w:cs="宋体"/>
                <w:kern w:val="0"/>
                <w:sz w:val="22"/>
                <w:szCs w:val="22"/>
                <w:highlight w:val="none"/>
              </w:rPr>
              <w:t>，5分钟形体礼仪，5分钟训练及5分钟工作安排。</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lang w:eastAsia="zh-TW"/>
              </w:rPr>
            </w:pPr>
            <w:r>
              <w:rPr>
                <w:rFonts w:hint="eastAsia" w:ascii="宋体" w:hAnsi="宋体" w:eastAsia="宋体" w:cs="宋体"/>
                <w:kern w:val="0"/>
                <w:sz w:val="22"/>
                <w:szCs w:val="22"/>
                <w:highlight w:val="none"/>
                <w:lang w:eastAsia="zh-TW"/>
              </w:rPr>
              <w:t>不符合</w:t>
            </w:r>
          </w:p>
          <w:p>
            <w:pPr>
              <w:widowControl/>
              <w:spacing w:line="240" w:lineRule="auto"/>
              <w:ind w:firstLine="236"/>
              <w:jc w:val="left"/>
              <w:rPr>
                <w:rFonts w:hint="eastAsia" w:ascii="宋体" w:hAnsi="宋体" w:eastAsia="宋体" w:cs="宋体"/>
                <w:kern w:val="0"/>
                <w:sz w:val="22"/>
                <w:szCs w:val="22"/>
                <w:highlight w:val="none"/>
                <w:lang w:eastAsia="zh-TW"/>
              </w:rPr>
            </w:pPr>
            <w:r>
              <w:rPr>
                <w:rFonts w:hint="eastAsia" w:ascii="宋体" w:hAnsi="宋体" w:eastAsia="宋体" w:cs="宋体"/>
                <w:kern w:val="0"/>
                <w:sz w:val="22"/>
                <w:szCs w:val="22"/>
                <w:highlight w:val="none"/>
                <w:lang w:eastAsia="zh-TW"/>
              </w:rPr>
              <w:t>不得分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交接时接班队员首先清点物品（对讲机、警用器材、锁匙和灭火器等），如发现缺损应要求上一班人员说明物品去向，在《维序岗位值班记录》中做好记录并上报当值中队长/班长。班长签字确认。</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抽查岗位交接班记录表是否按要求落实。</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1项不符合扣1分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岗位配置警用物品摆放整齐有序，桌面、座椅干净无灰尘、无杂物。</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抽查2个岗位、检查是否有物品清单。</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1项不符合扣0.5分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集体宿舍内配置紧急联系设施（如：电话、警铃和对讲机等）</w:t>
            </w:r>
          </w:p>
        </w:tc>
        <w:tc>
          <w:tcPr>
            <w:tcW w:w="4444"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 xml:space="preserve">查看宿舍现场。 </w:t>
            </w:r>
          </w:p>
        </w:tc>
        <w:tc>
          <w:tcPr>
            <w:tcW w:w="2043"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1项不符合扣1分</w:t>
            </w:r>
          </w:p>
        </w:tc>
        <w:tc>
          <w:tcPr>
            <w:tcW w:w="538"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每季度至少组织开展一次备勤秩序维护员紧急集合训练。</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查看紧急集合训练记录。</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不符合不得分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门禁管理</w:t>
            </w: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维序员仪容仪表符合公司BI要求。接触客户过程中举止端庄大方，礼貌用语，做到请字开头，谢字不离口。保持门禁常闭状态，对进出人员要有管控措施。</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1、观察3组来访客人，岗位是否主动微笑问好、礼貌问明来意，有效控制外来人员，经与业主确认后，对来访人员应进行登记管理。观察岗位有无随意对未带IC卡或APP一键的客户开门。</w:t>
            </w:r>
          </w:p>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2、遇到业主搬运大件物品，能主动提供便民推车或者通知巡逻岗帮助其搬运。</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1组不符合扣3分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6</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2、抽查3个门禁是否全天24小时处于关闭状态。</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1项不符合扣1分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施工人员/供方人员登记管理，核查证件</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1、查看出入口岗对临时施工、物业服务供方等人员的进出是否实行登记。 2、询问2个岗位维序员在检查出入证时应核对哪些要求。    </w:t>
            </w:r>
          </w:p>
        </w:tc>
        <w:tc>
          <w:tcPr>
            <w:tcW w:w="2043"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1项不符合扣1分，3项以上不得分</w:t>
            </w:r>
          </w:p>
        </w:tc>
        <w:tc>
          <w:tcPr>
            <w:tcW w:w="538"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5</w:t>
            </w:r>
          </w:p>
        </w:tc>
        <w:tc>
          <w:tcPr>
            <w:tcW w:w="441"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p>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3、观察小区内装修施工等经常出入的人员应凭证出入。          </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4、查看服务区域内政府配套公共设备、设施施工，施工人员记录。 </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5、抽查供方服务人员进入管理服务区域，是否穿制服、佩带工作证。 </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熟悉大件物资放行流程，按流程执行管理和记录</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1、询问岗位对大件物品放行流程。 2、查看岗位《大件物资放行条》是否有值班人员签字确认。      </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1项不符合扣1分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日常巡逻</w:t>
            </w: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巡逻路线</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1、查看是否设定2套以上巡逻方案，建立有《维序巡逻路线控制清单》。</w:t>
            </w:r>
          </w:p>
        </w:tc>
        <w:tc>
          <w:tcPr>
            <w:tcW w:w="2043"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1项不符合扣1分</w:t>
            </w:r>
          </w:p>
        </w:tc>
        <w:tc>
          <w:tcPr>
            <w:tcW w:w="538"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2、抽查巡逻岗在巡逻周期内，是否对园区全面巡逻一次，发现问题并有详细记录。                 </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每天夜间23：00至次日7:00，巡逻岗每1小时需在监控摄像范围内向监控中心报岗1次。</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查看监控中心记录表。</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1次不符合扣1分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巡逻过程中，对地面上的烟头、纸屑等垃圾做到“人过地净”，对于大面积垃圾污染或油污等情况，要及时通知客服前台或相关部门处理。遇到</w:t>
            </w:r>
            <w:r>
              <w:rPr>
                <w:rFonts w:hint="eastAsia" w:ascii="宋体" w:hAnsi="宋体" w:eastAsia="宋体" w:cs="宋体"/>
                <w:kern w:val="0"/>
                <w:sz w:val="22"/>
                <w:szCs w:val="22"/>
                <w:highlight w:val="none"/>
              </w:rPr>
              <w:t>业主</w:t>
            </w:r>
            <w:r>
              <w:rPr>
                <w:rFonts w:hint="eastAsia" w:ascii="宋体" w:hAnsi="宋体" w:eastAsia="宋体" w:cs="宋体"/>
                <w:kern w:val="0"/>
                <w:sz w:val="22"/>
                <w:szCs w:val="22"/>
                <w:highlight w:val="none"/>
                <w:lang w:eastAsia="zh-TW"/>
              </w:rPr>
              <w:t>应主动礼让并主动问候或点头示意</w:t>
            </w:r>
            <w:r>
              <w:rPr>
                <w:rFonts w:hint="eastAsia" w:ascii="宋体" w:hAnsi="宋体" w:eastAsia="宋体" w:cs="宋体"/>
                <w:kern w:val="0"/>
                <w:sz w:val="22"/>
                <w:szCs w:val="22"/>
                <w:highlight w:val="none"/>
              </w:rPr>
              <w:t>。</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观察岗位是否按“人过地净”落实</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eastAsia="zh-TW"/>
              </w:rPr>
              <w:t>遇到业主是否主动问候或点头示意</w:t>
            </w:r>
            <w:r>
              <w:rPr>
                <w:rFonts w:hint="eastAsia" w:ascii="宋体" w:hAnsi="宋体" w:eastAsia="宋体" w:cs="宋体"/>
                <w:kern w:val="0"/>
                <w:sz w:val="22"/>
                <w:szCs w:val="22"/>
                <w:highlight w:val="none"/>
              </w:rPr>
              <w:t>。</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不符合不得分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巡逻时通过巡更棒、扫描二维码或手工等形式进行巡逻签到，巡逻完毕后认真填写《维序巡逻记录》，巡逻记录详细完整，包括但不限于巡逻情况，发现的问题，事件处理经过等。</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查看《维序巡逻记录》。</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抽查2处以上不符合不得分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检查围栏、围墙上方物防设施是否有损坏，小区周界及围墙是否有可疑人员或堆放易于攀爬的物品。</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查看、测试。</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不符合1项扣1分，2处以上不得分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每天对周界系统进行检查，发现问题及时报修，遇有不能立即解决的问题时，应立即上报。</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抽查巡查记录和报修记录。</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不符合1项扣1分，2处以上不得分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检查公共设施如公共信息栏、广告牌、灯箱、高脚架等是否牢固，发现问题及时报修。</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现场查看相关设施及巡查、报修记录。</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不符合1处扣0.5分，出现3处以上不得分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整装巡逻</w:t>
            </w: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维序巡逻岗位配置标准</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1、观察整装巡逻的最低人数为2人。 2、观察巡逻岗是否按配置要求落实，如：防暴背心、防暴头盔、防爆警棍、防暴手电和对讲机等。</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一项不符合扣1分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维序巡逻管理要求</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1、抽查监控录像是否巡逻每天进行1次。              </w:t>
            </w:r>
          </w:p>
        </w:tc>
        <w:tc>
          <w:tcPr>
            <w:tcW w:w="2043"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一项不符合扣2分</w:t>
            </w:r>
          </w:p>
        </w:tc>
        <w:tc>
          <w:tcPr>
            <w:tcW w:w="538"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441"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2、抽查监控录像是否按巡逻路线进行巡逻。                </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异常情况处置</w:t>
            </w: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暴风雨来临前需检查防汛物资储备情况，如防汛沙袋、潜水泵、应急照明等</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1、查看物资储备清单。         </w:t>
            </w:r>
          </w:p>
        </w:tc>
        <w:tc>
          <w:tcPr>
            <w:tcW w:w="2043"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1项不符合扣1分，2项以上不得分</w:t>
            </w:r>
          </w:p>
        </w:tc>
        <w:tc>
          <w:tcPr>
            <w:tcW w:w="538"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441"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2、查看有无配置防汛沙袋。     </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3、查看储备的潜水泵。         </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4、查看应急照明是否能正常使用。</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异常情况接报3分钟赶到现场，熟悉处置流程</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1、测试是否在3分钟内有维序员赶到现场，在行进中降低自身发出的音量，对现场人员进行盘查。               </w:t>
            </w:r>
          </w:p>
        </w:tc>
        <w:tc>
          <w:tcPr>
            <w:tcW w:w="2043"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1项不符合扣3分，2项以上不得分</w:t>
            </w:r>
          </w:p>
        </w:tc>
        <w:tc>
          <w:tcPr>
            <w:tcW w:w="538"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7</w:t>
            </w:r>
          </w:p>
        </w:tc>
        <w:tc>
          <w:tcPr>
            <w:tcW w:w="441"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2、测试当值巡逻员是否按应急预案要求时间内携带相关器材赶赴现场处理。                    </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3、观察到达现场后，是否检查报警区域及周边异常情况并及时反馈。                    </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安防智能系统/设备管理</w:t>
            </w: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门禁控制</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1、询问门禁配有密码开启功能，除系统管理员外，其他人员不得使用。   </w:t>
            </w:r>
          </w:p>
        </w:tc>
        <w:tc>
          <w:tcPr>
            <w:tcW w:w="2043"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一项不符合扣2分</w:t>
            </w:r>
          </w:p>
        </w:tc>
        <w:tc>
          <w:tcPr>
            <w:tcW w:w="538"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441"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2、查看《维序岗位值班记录》是否有故障记录及报修记录。</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周界防范系统（红外、电子脉冲）</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1、测试是否设防，无盲区和死角，并具备防拆、防破坏功能。      </w:t>
            </w:r>
          </w:p>
        </w:tc>
        <w:tc>
          <w:tcPr>
            <w:tcW w:w="2043"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1项不符合扣2分</w:t>
            </w:r>
          </w:p>
        </w:tc>
        <w:tc>
          <w:tcPr>
            <w:tcW w:w="538"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5</w:t>
            </w:r>
          </w:p>
        </w:tc>
        <w:tc>
          <w:tcPr>
            <w:tcW w:w="441"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2、查看每天是否有对周界报警系统的设防情况进行一次测试。    </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3、周界报警系统安装区域要安装监控摄像头予以辅助。          </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消防管理</w:t>
            </w: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消防设备设施台账</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1、查看消防设备设施台账类别清晰，内容完整。                </w:t>
            </w:r>
          </w:p>
        </w:tc>
        <w:tc>
          <w:tcPr>
            <w:tcW w:w="2043"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1项不符合扣1分</w:t>
            </w:r>
          </w:p>
        </w:tc>
        <w:tc>
          <w:tcPr>
            <w:tcW w:w="538"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441"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2、抽查台账所列2处物资应与现场一致。</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消防通道</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1、查看消防通道无堆放杂物，畅通、无阻碍物和无不符合消防规定的门等设施。  </w:t>
            </w:r>
          </w:p>
        </w:tc>
        <w:tc>
          <w:tcPr>
            <w:tcW w:w="2043"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1项不符合扣1分，2项以上不得分</w:t>
            </w:r>
          </w:p>
        </w:tc>
        <w:tc>
          <w:tcPr>
            <w:tcW w:w="538"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441"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2、检查2条消防通道是否符合公司要求。</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消防设施设备</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1、查看消防设备设施完好无损，可随时启用，严禁挪作他用。    </w:t>
            </w:r>
          </w:p>
        </w:tc>
        <w:tc>
          <w:tcPr>
            <w:tcW w:w="2043"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1项不符合扣1分，3项以上不得分</w:t>
            </w:r>
          </w:p>
        </w:tc>
        <w:tc>
          <w:tcPr>
            <w:tcW w:w="538"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441"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2、查看项目消防物资配备情况，如：消防斧头、消防扳手、铁撬、铁锤等消防工具，以及警戒带、医疗箱及常用医药、防烟防毒工具等。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3、抽查消防设施是否定期进行检查，并保存相关记录。          </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4、目测消防工具柜是否符合公司要求，并对相关记录进行检查。</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重点区域</w:t>
            </w:r>
          </w:p>
        </w:tc>
        <w:tc>
          <w:tcPr>
            <w:tcW w:w="4444"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1、检查燃油（气）罐储备是否隔离管理，区域内有严禁烟火醒目标识，配置足够灭火器材。   </w:t>
            </w:r>
          </w:p>
        </w:tc>
        <w:tc>
          <w:tcPr>
            <w:tcW w:w="2043"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1项不符合扣2分</w:t>
            </w:r>
          </w:p>
        </w:tc>
        <w:tc>
          <w:tcPr>
            <w:tcW w:w="538"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441"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义务消防队</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1、查看是否成立义务消防队。 2、查看义务消防队员花名册是否及时更新。</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1项不符合扣1分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夜间值班管理</w:t>
            </w: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监控岗位夜间值班情况</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1、抽查2个岗位3段值班情况，是否精神状态良好、无脱岗、睡岗。 </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1项不符合扣2分，2项以上不得分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夜间查岗情况</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1、乙方领班应每天对秩序员夜间值班情况进行巡查并记录。查看记录或照片是否按频次要求落实。</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1次不符合扣1分,3次以上本次不得分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危险源风险评价</w:t>
            </w: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危险源辨识、风险评价和风险控制的评审、更新</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查看《危险源辨识/评价清单》、《重大危险源控制清单》清单。</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1项不符合扣1分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知识技能训练</w:t>
            </w:r>
          </w:p>
        </w:tc>
        <w:tc>
          <w:tcPr>
            <w:tcW w:w="4256"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1、乙方应为项目制定年度训练计划，分解到月。</w:t>
            </w:r>
          </w:p>
          <w:p>
            <w:pPr>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2、</w:t>
            </w:r>
            <w:r>
              <w:rPr>
                <w:rFonts w:hint="eastAsia" w:ascii="宋体" w:hAnsi="宋体" w:eastAsia="宋体" w:cs="宋体"/>
                <w:kern w:val="0"/>
                <w:sz w:val="22"/>
                <w:szCs w:val="22"/>
                <w:highlight w:val="none"/>
              </w:rPr>
              <w:t>每月28日前制定下月度的训练计划，含应急预案演练。</w:t>
            </w:r>
          </w:p>
          <w:p>
            <w:pPr>
              <w:spacing w:line="240" w:lineRule="auto"/>
              <w:ind w:firstLine="236"/>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3、按计划落实培训和演练。</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查看年度训练计划、月度训练计划、设施记录。                </w:t>
            </w:r>
          </w:p>
        </w:tc>
        <w:tc>
          <w:tcPr>
            <w:tcW w:w="2043"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一项不符合扣1分，2项以上不得分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宿舍内务</w:t>
            </w:r>
          </w:p>
        </w:tc>
        <w:tc>
          <w:tcPr>
            <w:tcW w:w="4256"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TW"/>
              </w:rPr>
              <w:t>宿舍轮流值日</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eastAsia="zh-TW"/>
              </w:rPr>
              <w:t>起居室</w:t>
            </w:r>
            <w:r>
              <w:rPr>
                <w:rFonts w:hint="eastAsia" w:ascii="宋体" w:hAnsi="宋体" w:eastAsia="宋体" w:cs="宋体"/>
                <w:kern w:val="0"/>
                <w:sz w:val="22"/>
                <w:szCs w:val="22"/>
                <w:highlight w:val="none"/>
              </w:rPr>
              <w:t>、卫生间、</w:t>
            </w:r>
            <w:r>
              <w:rPr>
                <w:rFonts w:hint="eastAsia" w:ascii="宋体" w:hAnsi="宋体" w:eastAsia="宋体" w:cs="宋体"/>
                <w:kern w:val="0"/>
                <w:sz w:val="22"/>
                <w:szCs w:val="22"/>
                <w:highlight w:val="none"/>
                <w:lang w:eastAsia="zh-TW"/>
              </w:rPr>
              <w:t>活动区域整洁</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eastAsia="zh-TW"/>
              </w:rPr>
              <w:t>无异味</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eastAsia="zh-TW"/>
              </w:rPr>
              <w:t>床铺整齐</w:t>
            </w:r>
            <w:r>
              <w:rPr>
                <w:rFonts w:hint="eastAsia" w:ascii="宋体" w:hAnsi="宋体" w:eastAsia="宋体" w:cs="宋体"/>
                <w:kern w:val="0"/>
                <w:sz w:val="22"/>
                <w:szCs w:val="22"/>
                <w:highlight w:val="none"/>
              </w:rPr>
              <w:t>，无饲养宠物，无违规使用电器等安全隐患行为。</w:t>
            </w: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1、查看宿舍是否落实轮流值日。       </w:t>
            </w:r>
          </w:p>
        </w:tc>
        <w:tc>
          <w:tcPr>
            <w:tcW w:w="2043"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1项不符合扣1分</w:t>
            </w:r>
          </w:p>
        </w:tc>
        <w:tc>
          <w:tcPr>
            <w:tcW w:w="538"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441" w:type="dxa"/>
            <w:vMerge w:val="restart"/>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2、查看活动区域清洁情况。</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3、查看床铺、个人物品摆放情况。</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4、不得在宿舍饲养宠物。</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5、无违规使用电器等安全隐患行为。</w:t>
            </w:r>
          </w:p>
        </w:tc>
        <w:tc>
          <w:tcPr>
            <w:tcW w:w="2043"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06" w:type="dxa"/>
            <w:gridSpan w:val="4"/>
            <w:vAlign w:val="center"/>
          </w:tcPr>
          <w:p>
            <w:pPr>
              <w:widowControl/>
              <w:spacing w:line="240" w:lineRule="auto"/>
              <w:ind w:firstLine="236"/>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得分</w:t>
            </w:r>
          </w:p>
        </w:tc>
        <w:tc>
          <w:tcPr>
            <w:tcW w:w="538" w:type="dxa"/>
            <w:vAlign w:val="center"/>
          </w:tcPr>
          <w:p>
            <w:pPr>
              <w:widowControl/>
              <w:spacing w:line="240" w:lineRule="auto"/>
              <w:ind w:firstLine="236"/>
              <w:jc w:val="center"/>
              <w:rPr>
                <w:rFonts w:hint="eastAsia" w:ascii="宋体" w:hAnsi="宋体" w:eastAsia="宋体" w:cs="宋体"/>
                <w:kern w:val="0"/>
                <w:sz w:val="22"/>
                <w:szCs w:val="22"/>
                <w:highlight w:val="none"/>
              </w:rPr>
            </w:pPr>
          </w:p>
        </w:tc>
        <w:tc>
          <w:tcPr>
            <w:tcW w:w="441" w:type="dxa"/>
            <w:vAlign w:val="center"/>
          </w:tcPr>
          <w:p>
            <w:pPr>
              <w:widowControl/>
              <w:spacing w:line="240" w:lineRule="auto"/>
              <w:ind w:firstLine="236"/>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p>
        </w:tc>
        <w:tc>
          <w:tcPr>
            <w:tcW w:w="1151" w:type="dxa"/>
            <w:vAlign w:val="center"/>
          </w:tcPr>
          <w:p>
            <w:pPr>
              <w:widowControl/>
              <w:spacing w:line="240" w:lineRule="auto"/>
              <w:ind w:firstLine="236"/>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p>
        </w:tc>
      </w:tr>
    </w:tbl>
    <w:p>
      <w:pPr>
        <w:tabs>
          <w:tab w:val="left" w:pos="709"/>
        </w:tabs>
        <w:spacing w:line="360" w:lineRule="auto"/>
        <w:ind w:firstLine="562" w:firstLineChars="200"/>
        <w:jc w:val="left"/>
        <w:rPr>
          <w:rStyle w:val="23"/>
          <w:rFonts w:hint="eastAsia" w:ascii="宋体" w:hAnsi="宋体" w:eastAsia="宋体" w:cs="宋体"/>
          <w:b/>
          <w:sz w:val="28"/>
          <w:szCs w:val="28"/>
          <w:highlight w:val="none"/>
          <w:lang w:eastAsia="zh-TW"/>
        </w:rPr>
      </w:pPr>
      <w:r>
        <w:rPr>
          <w:rStyle w:val="23"/>
          <w:rFonts w:hint="eastAsia" w:ascii="宋体" w:hAnsi="宋体" w:eastAsia="宋体" w:cs="宋体"/>
          <w:b/>
          <w:sz w:val="28"/>
          <w:szCs w:val="28"/>
          <w:highlight w:val="none"/>
          <w:lang w:val="zh-TW" w:eastAsia="zh-TW"/>
        </w:rPr>
        <w:t>评分人：</w:t>
      </w:r>
      <w:r>
        <w:rPr>
          <w:rStyle w:val="23"/>
          <w:rFonts w:hint="eastAsia" w:ascii="宋体" w:hAnsi="宋体" w:eastAsia="宋体" w:cs="宋体"/>
          <w:b/>
          <w:sz w:val="28"/>
          <w:szCs w:val="28"/>
          <w:highlight w:val="none"/>
        </w:rPr>
        <w:t xml:space="preserve">                              评分日期：                             </w:t>
      </w:r>
      <w:r>
        <w:rPr>
          <w:rStyle w:val="23"/>
          <w:rFonts w:hint="eastAsia" w:ascii="宋体" w:hAnsi="宋体" w:eastAsia="宋体" w:cs="宋体"/>
          <w:b/>
          <w:sz w:val="28"/>
          <w:szCs w:val="28"/>
          <w:highlight w:val="none"/>
          <w:lang w:val="zh-TW" w:eastAsia="zh-TW"/>
        </w:rPr>
        <w:t xml:space="preserve">项目负责人确认：      </w:t>
      </w:r>
      <w:r>
        <w:rPr>
          <w:rStyle w:val="23"/>
          <w:rFonts w:hint="eastAsia" w:ascii="宋体" w:hAnsi="宋体" w:eastAsia="宋体" w:cs="宋体"/>
          <w:b/>
          <w:sz w:val="28"/>
          <w:szCs w:val="28"/>
          <w:highlight w:val="none"/>
          <w:lang w:eastAsia="zh-TW"/>
        </w:rPr>
        <w:t xml:space="preserve"> </w:t>
      </w:r>
      <w:bookmarkEnd w:id="438"/>
      <w:bookmarkStart w:id="439" w:name="_Toc30400"/>
    </w:p>
    <w:bookmarkEnd w:id="439"/>
    <w:p>
      <w:pPr>
        <w:spacing w:line="360" w:lineRule="auto"/>
        <w:ind w:firstLine="236"/>
        <w:jc w:val="left"/>
        <w:rPr>
          <w:rFonts w:hint="eastAsia" w:ascii="宋体" w:hAnsi="宋体" w:eastAsia="宋体" w:cs="宋体"/>
          <w:sz w:val="28"/>
          <w:szCs w:val="28"/>
          <w:highlight w:val="none"/>
        </w:rPr>
        <w:sectPr>
          <w:pgSz w:w="16838" w:h="11906" w:orient="landscape"/>
          <w:pgMar w:top="1701" w:right="1701" w:bottom="1701" w:left="1701" w:header="851" w:footer="992" w:gutter="0"/>
          <w:cols w:space="0" w:num="1"/>
          <w:docGrid w:type="lines" w:linePitch="314" w:charSpace="0"/>
        </w:sectPr>
      </w:pPr>
    </w:p>
    <w:p>
      <w:pPr>
        <w:spacing w:line="360" w:lineRule="auto"/>
        <w:ind w:firstLine="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格式14</w:t>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投标人密封条</w:t>
      </w: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w:t>
      </w:r>
    </w:p>
    <w:p>
      <w:p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密    封    条</w:t>
      </w:r>
    </w:p>
    <w:tbl>
      <w:tblPr>
        <w:tblStyle w:val="19"/>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360" w:lineRule="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送   呈</w:t>
            </w:r>
          </w:p>
        </w:tc>
        <w:tc>
          <w:tcPr>
            <w:tcW w:w="7230" w:type="dxa"/>
            <w:gridSpan w:val="4"/>
            <w:vAlign w:val="center"/>
          </w:tcPr>
          <w:p>
            <w:pPr>
              <w:spacing w:line="360" w:lineRule="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项目</w:t>
            </w:r>
          </w:p>
          <w:p>
            <w:pPr>
              <w:spacing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名称</w:t>
            </w:r>
          </w:p>
        </w:tc>
        <w:tc>
          <w:tcPr>
            <w:tcW w:w="3544" w:type="dxa"/>
            <w:gridSpan w:val="2"/>
            <w:vAlign w:val="center"/>
          </w:tcPr>
          <w:p>
            <w:pPr>
              <w:spacing w:line="360" w:lineRule="auto"/>
              <w:ind w:firstLine="295"/>
              <w:jc w:val="center"/>
              <w:rPr>
                <w:rFonts w:hint="eastAsia" w:ascii="宋体" w:hAnsi="宋体" w:eastAsia="宋体" w:cs="宋体"/>
                <w:bCs/>
                <w:color w:val="5B9BD5" w:themeColor="accent1"/>
                <w:sz w:val="28"/>
                <w:szCs w:val="28"/>
                <w:highlight w:val="none"/>
                <w:lang w:val="zh-CN"/>
                <w14:textFill>
                  <w14:solidFill>
                    <w14:schemeClr w14:val="accent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t>*******项目</w:t>
            </w:r>
          </w:p>
        </w:tc>
        <w:tc>
          <w:tcPr>
            <w:tcW w:w="1486" w:type="dxa"/>
            <w:vAlign w:val="center"/>
          </w:tcPr>
          <w:p>
            <w:pPr>
              <w:spacing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招标</w:t>
            </w:r>
          </w:p>
          <w:p>
            <w:pPr>
              <w:spacing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编号</w:t>
            </w:r>
          </w:p>
        </w:tc>
        <w:tc>
          <w:tcPr>
            <w:tcW w:w="2200" w:type="dxa"/>
            <w:vAlign w:val="center"/>
          </w:tcPr>
          <w:p>
            <w:pPr>
              <w:spacing w:line="360" w:lineRule="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360" w:lineRule="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截标日期</w:t>
            </w:r>
          </w:p>
        </w:tc>
        <w:tc>
          <w:tcPr>
            <w:tcW w:w="7230" w:type="dxa"/>
            <w:gridSpan w:val="4"/>
            <w:vAlign w:val="center"/>
          </w:tcPr>
          <w:p>
            <w:pPr>
              <w:spacing w:line="360" w:lineRule="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360" w:lineRule="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报价单位名称（加盖密封章或公章）</w:t>
            </w:r>
          </w:p>
        </w:tc>
        <w:tc>
          <w:tcPr>
            <w:tcW w:w="5925" w:type="dxa"/>
            <w:gridSpan w:val="3"/>
            <w:vAlign w:val="center"/>
          </w:tcPr>
          <w:p>
            <w:pPr>
              <w:spacing w:line="360" w:lineRule="auto"/>
              <w:rPr>
                <w:rFonts w:hint="eastAsia" w:ascii="宋体" w:hAnsi="宋体" w:eastAsia="宋体" w:cs="宋体"/>
                <w:color w:val="000000"/>
                <w:kern w:val="0"/>
                <w:sz w:val="28"/>
                <w:szCs w:val="28"/>
                <w:highlight w:val="none"/>
              </w:rPr>
            </w:pPr>
          </w:p>
        </w:tc>
      </w:tr>
    </w:tbl>
    <w:p>
      <w:pPr>
        <w:spacing w:line="360" w:lineRule="auto"/>
        <w:ind w:firstLine="314"/>
        <w:rPr>
          <w:rFonts w:hint="eastAsia" w:ascii="宋体" w:hAnsi="宋体" w:eastAsia="宋体" w:cs="宋体"/>
          <w:b/>
          <w:sz w:val="28"/>
          <w:szCs w:val="28"/>
          <w:highlight w:val="none"/>
        </w:rPr>
      </w:pP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w:t>
      </w:r>
    </w:p>
    <w:p>
      <w:pPr>
        <w:spacing w:line="360" w:lineRule="auto"/>
        <w:rPr>
          <w:rFonts w:hint="eastAsia" w:ascii="宋体" w:hAnsi="宋体" w:eastAsia="宋体" w:cs="宋体"/>
          <w:sz w:val="28"/>
          <w:szCs w:val="28"/>
          <w:highlight w:val="none"/>
        </w:rPr>
      </w:pPr>
    </w:p>
    <w:bookmarkEnd w:id="5"/>
    <w:bookmarkEnd w:id="6"/>
    <w:p>
      <w:pPr>
        <w:snapToGrid w:val="0"/>
        <w:spacing w:line="360" w:lineRule="auto"/>
        <w:ind w:left="794" w:leftChars="378" w:firstLine="281" w:firstLineChars="100"/>
        <w:rPr>
          <w:rFonts w:hint="eastAsia" w:ascii="宋体" w:hAnsi="宋体" w:eastAsia="宋体" w:cs="宋体"/>
          <w:b/>
          <w:sz w:val="28"/>
          <w:szCs w:val="28"/>
          <w:highlight w:val="none"/>
          <w:u w:val="single"/>
        </w:rPr>
      </w:pPr>
    </w:p>
    <w:p>
      <w:pPr>
        <w:snapToGrid w:val="0"/>
        <w:spacing w:line="360" w:lineRule="auto"/>
        <w:ind w:left="794" w:leftChars="378" w:firstLine="281" w:firstLineChars="100"/>
        <w:rPr>
          <w:rFonts w:hint="eastAsia" w:ascii="宋体" w:hAnsi="宋体" w:eastAsia="宋体" w:cs="宋体"/>
          <w:b/>
          <w:sz w:val="28"/>
          <w:szCs w:val="28"/>
          <w:highlight w:val="none"/>
          <w:u w:val="single"/>
        </w:rPr>
      </w:pPr>
    </w:p>
    <w:p>
      <w:pPr>
        <w:snapToGrid w:val="0"/>
        <w:spacing w:line="360" w:lineRule="auto"/>
        <w:ind w:left="794" w:leftChars="378" w:firstLine="281" w:firstLineChars="100"/>
        <w:rPr>
          <w:rFonts w:hint="eastAsia" w:ascii="宋体" w:hAnsi="宋体" w:eastAsia="宋体" w:cs="宋体"/>
          <w:b/>
          <w:sz w:val="28"/>
          <w:szCs w:val="28"/>
          <w:highlight w:val="none"/>
          <w:u w:val="single"/>
        </w:rPr>
      </w:pPr>
    </w:p>
    <w:p>
      <w:pPr>
        <w:snapToGrid w:val="0"/>
        <w:spacing w:line="360" w:lineRule="auto"/>
        <w:ind w:left="794" w:leftChars="378" w:firstLine="281" w:firstLineChars="100"/>
        <w:rPr>
          <w:rFonts w:hint="eastAsia" w:ascii="宋体" w:hAnsi="宋体" w:eastAsia="宋体" w:cs="宋体"/>
          <w:b/>
          <w:sz w:val="28"/>
          <w:szCs w:val="28"/>
          <w:highlight w:val="none"/>
          <w:u w:val="single"/>
        </w:rPr>
      </w:pPr>
    </w:p>
    <w:p>
      <w:pPr>
        <w:snapToGrid w:val="0"/>
        <w:spacing w:line="360" w:lineRule="auto"/>
        <w:ind w:left="794" w:leftChars="378" w:firstLine="281" w:firstLineChars="100"/>
        <w:rPr>
          <w:rFonts w:hint="eastAsia" w:ascii="宋体" w:hAnsi="宋体" w:eastAsia="宋体" w:cs="宋体"/>
          <w:b/>
          <w:sz w:val="28"/>
          <w:szCs w:val="28"/>
          <w:highlight w:val="none"/>
          <w:u w:val="single"/>
        </w:rPr>
      </w:pPr>
    </w:p>
    <w:p>
      <w:pPr>
        <w:snapToGrid w:val="0"/>
        <w:spacing w:line="360" w:lineRule="auto"/>
        <w:ind w:left="794" w:leftChars="378" w:firstLine="281" w:firstLineChars="100"/>
        <w:rPr>
          <w:rFonts w:hint="eastAsia" w:ascii="宋体" w:hAnsi="宋体" w:eastAsia="宋体" w:cs="宋体"/>
          <w:b/>
          <w:sz w:val="28"/>
          <w:szCs w:val="28"/>
          <w:highlight w:val="none"/>
          <w:u w:val="single"/>
        </w:rPr>
      </w:pPr>
    </w:p>
    <w:p>
      <w:pPr>
        <w:spacing w:line="360" w:lineRule="auto"/>
        <w:rPr>
          <w:rFonts w:hint="eastAsia" w:ascii="宋体" w:hAnsi="宋体" w:eastAsia="宋体" w:cs="宋体"/>
          <w:sz w:val="28"/>
          <w:szCs w:val="28"/>
          <w:highlight w:val="none"/>
        </w:rPr>
      </w:pPr>
    </w:p>
    <w:sectPr>
      <w:footerReference r:id="rId4" w:type="default"/>
      <w:pgSz w:w="11906" w:h="16838"/>
      <w:pgMar w:top="1701" w:right="1701" w:bottom="1701" w:left="1701" w:header="851" w:footer="992" w:gutter="0"/>
      <w:pgNumType w:fmt="numberInDash"/>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- 17 -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- 17 -</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17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- 37 -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- 37 -</w:t>
                    </w:r>
                    <w:r>
                      <w:rPr>
                        <w:rFonts w:hint="eastAsia"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CFDB3"/>
    <w:multiLevelType w:val="singleLevel"/>
    <w:tmpl w:val="0DDCFDB3"/>
    <w:lvl w:ilvl="0" w:tentative="0">
      <w:start w:val="1"/>
      <w:numFmt w:val="decimal"/>
      <w:suff w:val="nothing"/>
      <w:lvlText w:val="%1．"/>
      <w:lvlJc w:val="left"/>
      <w:pPr>
        <w:ind w:left="0" w:firstLine="400"/>
      </w:pPr>
      <w:rPr>
        <w:rFonts w:hint="default"/>
      </w:rPr>
    </w:lvl>
  </w:abstractNum>
  <w:abstractNum w:abstractNumId="1">
    <w:nsid w:val="40523F4B"/>
    <w:multiLevelType w:val="multilevel"/>
    <w:tmpl w:val="40523F4B"/>
    <w:lvl w:ilvl="0" w:tentative="0">
      <w:start w:val="1"/>
      <w:numFmt w:val="decimal"/>
      <w:lvlText w:val="%1、"/>
      <w:lvlJc w:val="left"/>
      <w:pPr>
        <w:ind w:left="420"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bordersDoNotSurroundHeader w:val="1"/>
  <w:bordersDoNotSurroundFooter w:val="1"/>
  <w:documentProtection w:enforcement="0"/>
  <w:defaultTabStop w:val="420"/>
  <w:drawingGridHorizontalSpacing w:val="210"/>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MmVkZTQ1Y2E5NmFjNDhjNjQ4YmNiMzlmNjM3MTgifQ=="/>
  </w:docVars>
  <w:rsids>
    <w:rsidRoot w:val="5A9E4E10"/>
    <w:rsid w:val="00005634"/>
    <w:rsid w:val="0003708E"/>
    <w:rsid w:val="0005453A"/>
    <w:rsid w:val="0007691E"/>
    <w:rsid w:val="0008053D"/>
    <w:rsid w:val="000C5D20"/>
    <w:rsid w:val="000D54AC"/>
    <w:rsid w:val="000F391E"/>
    <w:rsid w:val="000F595E"/>
    <w:rsid w:val="00100E74"/>
    <w:rsid w:val="00136590"/>
    <w:rsid w:val="00156E7C"/>
    <w:rsid w:val="001B06F3"/>
    <w:rsid w:val="001B3D61"/>
    <w:rsid w:val="001C3AF0"/>
    <w:rsid w:val="00207D50"/>
    <w:rsid w:val="0021092F"/>
    <w:rsid w:val="002234CB"/>
    <w:rsid w:val="00255CAC"/>
    <w:rsid w:val="00277081"/>
    <w:rsid w:val="002C0132"/>
    <w:rsid w:val="002D1DB6"/>
    <w:rsid w:val="00355E01"/>
    <w:rsid w:val="003F1D52"/>
    <w:rsid w:val="00422EE3"/>
    <w:rsid w:val="0043075E"/>
    <w:rsid w:val="00435B3B"/>
    <w:rsid w:val="00441B9F"/>
    <w:rsid w:val="00445BC8"/>
    <w:rsid w:val="00451AE0"/>
    <w:rsid w:val="0047161E"/>
    <w:rsid w:val="0047634A"/>
    <w:rsid w:val="004F36B0"/>
    <w:rsid w:val="00512AD2"/>
    <w:rsid w:val="005277F4"/>
    <w:rsid w:val="00576141"/>
    <w:rsid w:val="005921BD"/>
    <w:rsid w:val="005A328B"/>
    <w:rsid w:val="005A6E7D"/>
    <w:rsid w:val="005B4344"/>
    <w:rsid w:val="005C1EC4"/>
    <w:rsid w:val="005E18F9"/>
    <w:rsid w:val="005F0ADB"/>
    <w:rsid w:val="005F58D9"/>
    <w:rsid w:val="00613E0F"/>
    <w:rsid w:val="0062369B"/>
    <w:rsid w:val="00627E27"/>
    <w:rsid w:val="006637CC"/>
    <w:rsid w:val="006838AE"/>
    <w:rsid w:val="006C28F2"/>
    <w:rsid w:val="006D3C2E"/>
    <w:rsid w:val="006E0FCE"/>
    <w:rsid w:val="006F510C"/>
    <w:rsid w:val="00740763"/>
    <w:rsid w:val="00762237"/>
    <w:rsid w:val="0078035E"/>
    <w:rsid w:val="0078569A"/>
    <w:rsid w:val="007B25A0"/>
    <w:rsid w:val="007B47D5"/>
    <w:rsid w:val="007B4A74"/>
    <w:rsid w:val="00830789"/>
    <w:rsid w:val="008341A3"/>
    <w:rsid w:val="008668DD"/>
    <w:rsid w:val="0087213E"/>
    <w:rsid w:val="00874C67"/>
    <w:rsid w:val="008756A0"/>
    <w:rsid w:val="008A4E3B"/>
    <w:rsid w:val="008F1557"/>
    <w:rsid w:val="009212E9"/>
    <w:rsid w:val="009553CA"/>
    <w:rsid w:val="00981EC5"/>
    <w:rsid w:val="00993485"/>
    <w:rsid w:val="009A2763"/>
    <w:rsid w:val="009B501F"/>
    <w:rsid w:val="009C5CCA"/>
    <w:rsid w:val="009C6985"/>
    <w:rsid w:val="00A0207A"/>
    <w:rsid w:val="00A03D6F"/>
    <w:rsid w:val="00A17E7F"/>
    <w:rsid w:val="00A30607"/>
    <w:rsid w:val="00A36D88"/>
    <w:rsid w:val="00A711B4"/>
    <w:rsid w:val="00A739B4"/>
    <w:rsid w:val="00A83414"/>
    <w:rsid w:val="00A92F32"/>
    <w:rsid w:val="00AB65AB"/>
    <w:rsid w:val="00AB6AC3"/>
    <w:rsid w:val="00AD1C6B"/>
    <w:rsid w:val="00AF5D75"/>
    <w:rsid w:val="00B0568C"/>
    <w:rsid w:val="00B16D6B"/>
    <w:rsid w:val="00B74446"/>
    <w:rsid w:val="00BE2352"/>
    <w:rsid w:val="00C00E49"/>
    <w:rsid w:val="00C02465"/>
    <w:rsid w:val="00C25DE1"/>
    <w:rsid w:val="00C66EEC"/>
    <w:rsid w:val="00CC2D24"/>
    <w:rsid w:val="00CD3D14"/>
    <w:rsid w:val="00CE0EAD"/>
    <w:rsid w:val="00D11F8D"/>
    <w:rsid w:val="00D15041"/>
    <w:rsid w:val="00D170EF"/>
    <w:rsid w:val="00D3358E"/>
    <w:rsid w:val="00D51D2E"/>
    <w:rsid w:val="00D6541C"/>
    <w:rsid w:val="00D6749E"/>
    <w:rsid w:val="00D72F20"/>
    <w:rsid w:val="00D75368"/>
    <w:rsid w:val="00DC13AB"/>
    <w:rsid w:val="00DE7817"/>
    <w:rsid w:val="00DF2217"/>
    <w:rsid w:val="00E31DDD"/>
    <w:rsid w:val="00E45691"/>
    <w:rsid w:val="00EB3B42"/>
    <w:rsid w:val="00EC19EB"/>
    <w:rsid w:val="00EC69B7"/>
    <w:rsid w:val="00ED36C5"/>
    <w:rsid w:val="00ED3E4B"/>
    <w:rsid w:val="00EF2A2B"/>
    <w:rsid w:val="00F26E56"/>
    <w:rsid w:val="00F43545"/>
    <w:rsid w:val="00F46A2B"/>
    <w:rsid w:val="00F46AD6"/>
    <w:rsid w:val="00F5342C"/>
    <w:rsid w:val="00F647CB"/>
    <w:rsid w:val="00F77C92"/>
    <w:rsid w:val="00F90328"/>
    <w:rsid w:val="00F97650"/>
    <w:rsid w:val="00FC0E14"/>
    <w:rsid w:val="00FC7481"/>
    <w:rsid w:val="04926B8C"/>
    <w:rsid w:val="04BF763A"/>
    <w:rsid w:val="056734AE"/>
    <w:rsid w:val="0640211D"/>
    <w:rsid w:val="07B3183F"/>
    <w:rsid w:val="08C72F61"/>
    <w:rsid w:val="08EE635C"/>
    <w:rsid w:val="0AAB0D8C"/>
    <w:rsid w:val="0C234E86"/>
    <w:rsid w:val="0C347989"/>
    <w:rsid w:val="0C8445EA"/>
    <w:rsid w:val="0E4D5BF9"/>
    <w:rsid w:val="0E5536F4"/>
    <w:rsid w:val="0EA92008"/>
    <w:rsid w:val="103D57A8"/>
    <w:rsid w:val="10BA0C23"/>
    <w:rsid w:val="11435D1A"/>
    <w:rsid w:val="1226169D"/>
    <w:rsid w:val="14656CFA"/>
    <w:rsid w:val="146D0C4B"/>
    <w:rsid w:val="153A4D44"/>
    <w:rsid w:val="15594015"/>
    <w:rsid w:val="164E2FA7"/>
    <w:rsid w:val="16974A35"/>
    <w:rsid w:val="18F55DCD"/>
    <w:rsid w:val="19810570"/>
    <w:rsid w:val="19E10942"/>
    <w:rsid w:val="1AE50BB5"/>
    <w:rsid w:val="1B082CE1"/>
    <w:rsid w:val="1BF45035"/>
    <w:rsid w:val="1D9B0F59"/>
    <w:rsid w:val="1E44537B"/>
    <w:rsid w:val="1EAD79D8"/>
    <w:rsid w:val="1EC824DA"/>
    <w:rsid w:val="1EED7447"/>
    <w:rsid w:val="1FEC5101"/>
    <w:rsid w:val="20062BE0"/>
    <w:rsid w:val="20F03144"/>
    <w:rsid w:val="20FB4647"/>
    <w:rsid w:val="221B61B2"/>
    <w:rsid w:val="22D94DE7"/>
    <w:rsid w:val="232946B6"/>
    <w:rsid w:val="2349104A"/>
    <w:rsid w:val="236F1CA6"/>
    <w:rsid w:val="23A931DE"/>
    <w:rsid w:val="25755DC7"/>
    <w:rsid w:val="257D1C7A"/>
    <w:rsid w:val="27306AB2"/>
    <w:rsid w:val="28814EFD"/>
    <w:rsid w:val="2A6E3454"/>
    <w:rsid w:val="2AF7061B"/>
    <w:rsid w:val="2B08046F"/>
    <w:rsid w:val="2CF61AA4"/>
    <w:rsid w:val="2DDD44FF"/>
    <w:rsid w:val="2F754550"/>
    <w:rsid w:val="2FE200C7"/>
    <w:rsid w:val="31760420"/>
    <w:rsid w:val="318B0193"/>
    <w:rsid w:val="34016D2F"/>
    <w:rsid w:val="347F4219"/>
    <w:rsid w:val="34CB0AD9"/>
    <w:rsid w:val="35730847"/>
    <w:rsid w:val="368876BA"/>
    <w:rsid w:val="37273B0A"/>
    <w:rsid w:val="388E38AC"/>
    <w:rsid w:val="39CC052D"/>
    <w:rsid w:val="3A0E18DE"/>
    <w:rsid w:val="3ABE582F"/>
    <w:rsid w:val="3B112BCB"/>
    <w:rsid w:val="3B8C4279"/>
    <w:rsid w:val="3D791D75"/>
    <w:rsid w:val="3E2A0093"/>
    <w:rsid w:val="3E8D2C8A"/>
    <w:rsid w:val="3F5C3B2E"/>
    <w:rsid w:val="3FD05DB3"/>
    <w:rsid w:val="3FFD1B64"/>
    <w:rsid w:val="41BB5C8D"/>
    <w:rsid w:val="421E7386"/>
    <w:rsid w:val="42B577AE"/>
    <w:rsid w:val="441647C1"/>
    <w:rsid w:val="446645EF"/>
    <w:rsid w:val="44FF3C0C"/>
    <w:rsid w:val="455053D7"/>
    <w:rsid w:val="45783F65"/>
    <w:rsid w:val="478163DF"/>
    <w:rsid w:val="481926BB"/>
    <w:rsid w:val="48854AE9"/>
    <w:rsid w:val="48DF378B"/>
    <w:rsid w:val="4A116F4C"/>
    <w:rsid w:val="4A8649B9"/>
    <w:rsid w:val="4DB150DA"/>
    <w:rsid w:val="4DC332C4"/>
    <w:rsid w:val="4E162E45"/>
    <w:rsid w:val="4E4B687C"/>
    <w:rsid w:val="4ECF01D3"/>
    <w:rsid w:val="4FED4F26"/>
    <w:rsid w:val="50545C48"/>
    <w:rsid w:val="51A2208A"/>
    <w:rsid w:val="52090C35"/>
    <w:rsid w:val="52EB172B"/>
    <w:rsid w:val="551B39E5"/>
    <w:rsid w:val="55290504"/>
    <w:rsid w:val="564B432E"/>
    <w:rsid w:val="5749059F"/>
    <w:rsid w:val="5A9E4E10"/>
    <w:rsid w:val="5BE93EB7"/>
    <w:rsid w:val="5C0244DB"/>
    <w:rsid w:val="5C83637D"/>
    <w:rsid w:val="5E6654F6"/>
    <w:rsid w:val="5E753FF3"/>
    <w:rsid w:val="5F10533B"/>
    <w:rsid w:val="5FFD464A"/>
    <w:rsid w:val="601C4AB5"/>
    <w:rsid w:val="6287513D"/>
    <w:rsid w:val="62EB0199"/>
    <w:rsid w:val="63147CC6"/>
    <w:rsid w:val="64E5047D"/>
    <w:rsid w:val="65561E98"/>
    <w:rsid w:val="65EA16D1"/>
    <w:rsid w:val="68555D06"/>
    <w:rsid w:val="69EA16F3"/>
    <w:rsid w:val="6A507835"/>
    <w:rsid w:val="6B2F50E5"/>
    <w:rsid w:val="6BD7471D"/>
    <w:rsid w:val="6C2D572B"/>
    <w:rsid w:val="6CE60C2C"/>
    <w:rsid w:val="6E5C5170"/>
    <w:rsid w:val="6F4230C6"/>
    <w:rsid w:val="70E9188C"/>
    <w:rsid w:val="71D135D1"/>
    <w:rsid w:val="72397125"/>
    <w:rsid w:val="726B0346"/>
    <w:rsid w:val="72AE3C93"/>
    <w:rsid w:val="732D2C60"/>
    <w:rsid w:val="740C15B0"/>
    <w:rsid w:val="74315BCE"/>
    <w:rsid w:val="749047A8"/>
    <w:rsid w:val="757E5B9F"/>
    <w:rsid w:val="763E3B27"/>
    <w:rsid w:val="780F33D2"/>
    <w:rsid w:val="79090AA4"/>
    <w:rsid w:val="79FA494C"/>
    <w:rsid w:val="7BA774D1"/>
    <w:rsid w:val="7BC82E8F"/>
    <w:rsid w:val="7BFE0223"/>
    <w:rsid w:val="7CA659DB"/>
    <w:rsid w:val="7D9A7679"/>
    <w:rsid w:val="7EC12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ind w:left="425"/>
      <w:jc w:val="left"/>
    </w:pPr>
    <w:rPr>
      <w:kern w:val="0"/>
      <w:sz w:val="20"/>
      <w:szCs w:val="20"/>
      <w:lang w:eastAsia="en-US"/>
    </w:rPr>
  </w:style>
  <w:style w:type="paragraph" w:styleId="7">
    <w:name w:val="annotation text"/>
    <w:basedOn w:val="1"/>
    <w:link w:val="38"/>
    <w:autoRedefine/>
    <w:qFormat/>
    <w:uiPriority w:val="0"/>
    <w:pPr>
      <w:jc w:val="left"/>
    </w:pPr>
  </w:style>
  <w:style w:type="paragraph" w:styleId="8">
    <w:name w:val="Body Text"/>
    <w:basedOn w:val="1"/>
    <w:autoRedefine/>
    <w:qFormat/>
    <w:uiPriority w:val="0"/>
    <w:rPr>
      <w:color w:val="FF0000"/>
    </w:rPr>
  </w:style>
  <w:style w:type="paragraph" w:styleId="9">
    <w:name w:val="toc 3"/>
    <w:basedOn w:val="1"/>
    <w:next w:val="1"/>
    <w:autoRedefine/>
    <w:qFormat/>
    <w:uiPriority w:val="39"/>
    <w:pPr>
      <w:spacing w:line="360" w:lineRule="auto"/>
      <w:ind w:left="420"/>
      <w:jc w:val="left"/>
    </w:pPr>
    <w:rPr>
      <w:iCs/>
      <w:sz w:val="24"/>
      <w:szCs w:val="20"/>
    </w:rPr>
  </w:style>
  <w:style w:type="paragraph" w:styleId="10">
    <w:name w:val="Plain Text"/>
    <w:basedOn w:val="1"/>
    <w:link w:val="37"/>
    <w:autoRedefine/>
    <w:qFormat/>
    <w:uiPriority w:val="0"/>
    <w:rPr>
      <w:rFonts w:ascii="宋体" w:hAnsi="Courier New" w:cs="Courier New"/>
      <w:szCs w:val="21"/>
    </w:rPr>
  </w:style>
  <w:style w:type="paragraph" w:styleId="11">
    <w:name w:val="Balloon Text"/>
    <w:basedOn w:val="1"/>
    <w:link w:val="33"/>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line="360" w:lineRule="auto"/>
      <w:jc w:val="left"/>
    </w:pPr>
    <w:rPr>
      <w:b/>
      <w:bCs/>
      <w:caps/>
      <w:sz w:val="24"/>
      <w:szCs w:val="20"/>
    </w:rPr>
  </w:style>
  <w:style w:type="paragraph" w:styleId="15">
    <w:name w:val="toc 2"/>
    <w:basedOn w:val="1"/>
    <w:next w:val="1"/>
    <w:autoRedefine/>
    <w:qFormat/>
    <w:uiPriority w:val="39"/>
    <w:pPr>
      <w:spacing w:line="360" w:lineRule="auto"/>
      <w:ind w:left="210"/>
      <w:jc w:val="left"/>
    </w:pPr>
    <w:rPr>
      <w:smallCaps/>
      <w:sz w:val="24"/>
      <w:szCs w:val="20"/>
    </w:rPr>
  </w:style>
  <w:style w:type="paragraph" w:styleId="16">
    <w:name w:val="Body Text 2"/>
    <w:basedOn w:val="1"/>
    <w:autoRedefine/>
    <w:qFormat/>
    <w:uiPriority w:val="0"/>
    <w:pPr>
      <w:spacing w:line="280" w:lineRule="exact"/>
      <w:jc w:val="center"/>
    </w:pPr>
    <w:rPr>
      <w:rFonts w:ascii="宋体" w:hAnsi="宋体"/>
      <w:spacing w:val="-12"/>
      <w:sz w:val="24"/>
    </w:rPr>
  </w:style>
  <w:style w:type="paragraph" w:styleId="17">
    <w:name w:val="Normal (Web)"/>
    <w:basedOn w:val="1"/>
    <w:autoRedefine/>
    <w:qFormat/>
    <w:uiPriority w:val="0"/>
    <w:pPr>
      <w:spacing w:line="300" w:lineRule="auto"/>
    </w:pPr>
    <w:rPr>
      <w:sz w:val="24"/>
    </w:rPr>
  </w:style>
  <w:style w:type="paragraph" w:styleId="18">
    <w:name w:val="annotation subject"/>
    <w:basedOn w:val="7"/>
    <w:next w:val="7"/>
    <w:link w:val="39"/>
    <w:autoRedefine/>
    <w:qFormat/>
    <w:uiPriority w:val="0"/>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0"/>
    <w:rPr>
      <w:b/>
      <w:bCs/>
    </w:rPr>
  </w:style>
  <w:style w:type="character" w:styleId="23">
    <w:name w:val="page number"/>
    <w:basedOn w:val="21"/>
    <w:autoRedefine/>
    <w:qFormat/>
    <w:uiPriority w:val="0"/>
  </w:style>
  <w:style w:type="character" w:styleId="24">
    <w:name w:val="Hyperlink"/>
    <w:autoRedefine/>
    <w:qFormat/>
    <w:uiPriority w:val="99"/>
    <w:rPr>
      <w:color w:val="0000FF"/>
      <w:u w:val="single"/>
    </w:rPr>
  </w:style>
  <w:style w:type="character" w:styleId="25">
    <w:name w:val="annotation reference"/>
    <w:autoRedefine/>
    <w:qFormat/>
    <w:uiPriority w:val="0"/>
    <w:rPr>
      <w:sz w:val="21"/>
      <w:szCs w:val="21"/>
    </w:rPr>
  </w:style>
  <w:style w:type="paragraph" w:customStyle="1" w:styleId="2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27">
    <w:name w:val="List Paragraph"/>
    <w:basedOn w:val="1"/>
    <w:autoRedefine/>
    <w:qFormat/>
    <w:uiPriority w:val="99"/>
    <w:pPr>
      <w:ind w:firstLine="420" w:firstLineChars="200"/>
    </w:pPr>
  </w:style>
  <w:style w:type="paragraph" w:customStyle="1" w:styleId="28">
    <w:name w:val="表头文本"/>
    <w:basedOn w:val="1"/>
    <w:autoRedefine/>
    <w:qFormat/>
    <w:uiPriority w:val="0"/>
    <w:pPr>
      <w:autoSpaceDE w:val="0"/>
      <w:autoSpaceDN w:val="0"/>
      <w:adjustRightInd w:val="0"/>
      <w:jc w:val="center"/>
    </w:pPr>
    <w:rPr>
      <w:b/>
      <w:kern w:val="0"/>
      <w:sz w:val="24"/>
      <w:szCs w:val="20"/>
    </w:rPr>
  </w:style>
  <w:style w:type="paragraph" w:customStyle="1" w:styleId="29">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0">
    <w:name w:val="样式3"/>
    <w:basedOn w:val="10"/>
    <w:autoRedefine/>
    <w:qFormat/>
    <w:uiPriority w:val="0"/>
    <w:pPr>
      <w:spacing w:line="0" w:lineRule="atLeast"/>
      <w:outlineLvl w:val="0"/>
    </w:pPr>
    <w:rPr>
      <w:rFonts w:cs="Times New Roman"/>
      <w:sz w:val="28"/>
      <w:szCs w:val="20"/>
    </w:rPr>
  </w:style>
  <w:style w:type="paragraph" w:customStyle="1" w:styleId="31">
    <w:name w:val="Table Paragraph"/>
    <w:basedOn w:val="1"/>
    <w:autoRedefine/>
    <w:qFormat/>
    <w:uiPriority w:val="1"/>
    <w:pPr>
      <w:jc w:val="left"/>
    </w:pPr>
    <w:rPr>
      <w:rFonts w:ascii="Calibri" w:hAnsi="Calibri"/>
      <w:kern w:val="0"/>
      <w:sz w:val="22"/>
      <w:szCs w:val="22"/>
      <w:lang w:eastAsia="en-US"/>
    </w:rPr>
  </w:style>
  <w:style w:type="paragraph" w:customStyle="1" w:styleId="32">
    <w:name w:val="样式2"/>
    <w:basedOn w:val="12"/>
    <w:autoRedefine/>
    <w:qFormat/>
    <w:uiPriority w:val="0"/>
    <w:pPr>
      <w:ind w:right="360"/>
    </w:pPr>
    <w:rPr>
      <w:rFonts w:ascii="宋体" w:hAnsi="宋体"/>
      <w:sz w:val="21"/>
      <w:szCs w:val="21"/>
    </w:rPr>
  </w:style>
  <w:style w:type="character" w:customStyle="1" w:styleId="33">
    <w:name w:val="批注框文本 字符"/>
    <w:basedOn w:val="21"/>
    <w:link w:val="11"/>
    <w:autoRedefine/>
    <w:qFormat/>
    <w:uiPriority w:val="0"/>
    <w:rPr>
      <w:rFonts w:ascii="Times New Roman" w:hAnsi="Times New Roman"/>
      <w:kern w:val="2"/>
      <w:sz w:val="18"/>
      <w:szCs w:val="18"/>
    </w:rPr>
  </w:style>
  <w:style w:type="character" w:customStyle="1" w:styleId="34">
    <w:name w:val="页眉 字符"/>
    <w:basedOn w:val="21"/>
    <w:link w:val="13"/>
    <w:autoRedefine/>
    <w:qFormat/>
    <w:uiPriority w:val="0"/>
    <w:rPr>
      <w:rFonts w:ascii="Times New Roman" w:hAnsi="Times New Roman"/>
      <w:kern w:val="2"/>
      <w:sz w:val="18"/>
      <w:szCs w:val="18"/>
    </w:rPr>
  </w:style>
  <w:style w:type="paragraph" w:customStyle="1" w:styleId="35">
    <w:name w:val="Char Char1 Char"/>
    <w:basedOn w:val="1"/>
    <w:autoRedefine/>
    <w:qFormat/>
    <w:uiPriority w:val="0"/>
    <w:pPr>
      <w:spacing w:line="240" w:lineRule="atLeast"/>
      <w:ind w:left="420" w:firstLine="420"/>
    </w:pPr>
    <w:rPr>
      <w:szCs w:val="20"/>
    </w:rPr>
  </w:style>
  <w:style w:type="paragraph" w:customStyle="1" w:styleId="36">
    <w:name w:val="Char Char1 Char1"/>
    <w:basedOn w:val="1"/>
    <w:autoRedefine/>
    <w:qFormat/>
    <w:uiPriority w:val="0"/>
    <w:pPr>
      <w:spacing w:line="240" w:lineRule="atLeast"/>
      <w:ind w:left="420" w:firstLine="420"/>
    </w:pPr>
    <w:rPr>
      <w:szCs w:val="20"/>
    </w:rPr>
  </w:style>
  <w:style w:type="character" w:customStyle="1" w:styleId="37">
    <w:name w:val="纯文本 字符"/>
    <w:basedOn w:val="21"/>
    <w:link w:val="10"/>
    <w:autoRedefine/>
    <w:qFormat/>
    <w:uiPriority w:val="0"/>
    <w:rPr>
      <w:rFonts w:ascii="宋体" w:hAnsi="Courier New" w:cs="Courier New"/>
      <w:kern w:val="2"/>
      <w:sz w:val="21"/>
      <w:szCs w:val="21"/>
    </w:rPr>
  </w:style>
  <w:style w:type="character" w:customStyle="1" w:styleId="38">
    <w:name w:val="批注文字 字符"/>
    <w:basedOn w:val="21"/>
    <w:link w:val="7"/>
    <w:autoRedefine/>
    <w:qFormat/>
    <w:uiPriority w:val="0"/>
    <w:rPr>
      <w:kern w:val="2"/>
      <w:sz w:val="21"/>
      <w:szCs w:val="24"/>
    </w:rPr>
  </w:style>
  <w:style w:type="character" w:customStyle="1" w:styleId="39">
    <w:name w:val="批注主题 字符"/>
    <w:basedOn w:val="38"/>
    <w:link w:val="18"/>
    <w:autoRedefine/>
    <w:qFormat/>
    <w:uiPriority w:val="0"/>
    <w:rPr>
      <w:b/>
      <w:bCs/>
      <w:kern w:val="2"/>
      <w:sz w:val="21"/>
      <w:szCs w:val="24"/>
    </w:rPr>
  </w:style>
  <w:style w:type="paragraph" w:customStyle="1" w:styleId="40">
    <w:name w:val="Char Char1 Char2"/>
    <w:basedOn w:val="1"/>
    <w:autoRedefine/>
    <w:qFormat/>
    <w:uiPriority w:val="0"/>
    <w:pPr>
      <w:spacing w:line="240" w:lineRule="atLeast"/>
      <w:ind w:left="420" w:firstLine="420"/>
    </w:pPr>
    <w:rPr>
      <w:szCs w:val="20"/>
    </w:rPr>
  </w:style>
  <w:style w:type="paragraph" w:customStyle="1" w:styleId="41">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4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84652-0ED4-4E51-B372-386C142F05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33240</Words>
  <Characters>34251</Characters>
  <Lines>283</Lines>
  <Paragraphs>79</Paragraphs>
  <TotalTime>10</TotalTime>
  <ScaleCrop>false</ScaleCrop>
  <LinksUpToDate>false</LinksUpToDate>
  <CharactersWithSpaces>36434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2024-09-26T11:52:00Z</dcterms:created>
  <dc:creator>国贸物业招标办</dc:creator>
  <cp:lastModifiedBy>林璐</cp:lastModifiedBy>
  <dcterms:modified xsi:type="dcterms:W3CDTF">2024-10-10T00:50:41Z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1BDCA4F4F8074D5190C9BD56E917C152_13</vt:lpwstr>
  </property>
</Properties>
</file>