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236"/>
        <w:jc w:val="left"/>
        <w:rPr>
          <w:rFonts w:hint="eastAsia" w:asciiTheme="majorEastAsia" w:hAnsiTheme="majorEastAsia" w:eastAsiaTheme="majorEastAsia" w:cstheme="majorEastAsia"/>
          <w:color w:val="auto"/>
          <w:sz w:val="24"/>
          <w:highlight w:val="none"/>
        </w:rPr>
      </w:pPr>
      <w:bookmarkStart w:id="0" w:name="_Toc165385343"/>
      <w:bookmarkStart w:id="1" w:name="_Toc163364646"/>
      <w:bookmarkStart w:id="2" w:name="_Toc178674763"/>
      <w:bookmarkStart w:id="3" w:name="_Toc157418350"/>
      <w:bookmarkStart w:id="4" w:name="_Toc157418557"/>
      <w:bookmarkStart w:id="5" w:name="_Toc32815540"/>
      <w:bookmarkStart w:id="6" w:name="_Toc125129292"/>
    </w:p>
    <w:p>
      <w:pPr>
        <w:spacing w:line="360" w:lineRule="auto"/>
        <w:ind w:firstLine="236"/>
        <w:jc w:val="left"/>
        <w:rPr>
          <w:rFonts w:hint="eastAsia" w:asciiTheme="majorEastAsia" w:hAnsiTheme="majorEastAsia" w:eastAsiaTheme="majorEastAsia" w:cstheme="majorEastAsia"/>
          <w:color w:val="auto"/>
          <w:sz w:val="24"/>
          <w:highlight w:val="none"/>
        </w:rPr>
      </w:pPr>
    </w:p>
    <w:p>
      <w:pPr>
        <w:spacing w:line="360" w:lineRule="auto"/>
        <w:ind w:firstLine="236"/>
        <w:jc w:val="left"/>
        <w:rPr>
          <w:rFonts w:hint="eastAsia" w:asciiTheme="majorEastAsia" w:hAnsiTheme="majorEastAsia" w:eastAsiaTheme="majorEastAsia" w:cstheme="majorEastAsia"/>
          <w:color w:val="auto"/>
          <w:sz w:val="24"/>
          <w:highlight w:val="none"/>
        </w:rPr>
      </w:pPr>
    </w:p>
    <w:p>
      <w:pPr>
        <w:spacing w:line="360" w:lineRule="auto"/>
        <w:ind w:firstLine="826"/>
        <w:jc w:val="center"/>
        <w:rPr>
          <w:rFonts w:hint="eastAsia" w:asciiTheme="majorEastAsia" w:hAnsiTheme="majorEastAsia" w:eastAsiaTheme="majorEastAsia" w:cstheme="majorEastAsia"/>
          <w:b/>
          <w:bCs/>
          <w:color w:val="auto"/>
          <w:sz w:val="84"/>
          <w:szCs w:val="84"/>
          <w:highlight w:val="none"/>
          <w:lang w:val="zh-CN"/>
        </w:rPr>
      </w:pPr>
      <w:r>
        <w:rPr>
          <w:rFonts w:hint="eastAsia" w:asciiTheme="majorEastAsia" w:hAnsiTheme="majorEastAsia" w:eastAsiaTheme="majorEastAsia" w:cstheme="majorEastAsia"/>
          <w:b/>
          <w:bCs/>
          <w:color w:val="auto"/>
          <w:sz w:val="84"/>
          <w:szCs w:val="84"/>
          <w:highlight w:val="none"/>
          <w:lang w:val="zh-CN"/>
        </w:rPr>
        <w:t>招标文件</w:t>
      </w:r>
    </w:p>
    <w:p>
      <w:pPr>
        <w:spacing w:line="360" w:lineRule="auto"/>
        <w:ind w:firstLine="354"/>
        <w:jc w:val="center"/>
        <w:rPr>
          <w:rFonts w:hint="eastAsia" w:asciiTheme="majorEastAsia" w:hAnsiTheme="majorEastAsia" w:eastAsiaTheme="majorEastAsia" w:cstheme="majorEastAsia"/>
          <w:color w:val="auto"/>
          <w:sz w:val="36"/>
          <w:szCs w:val="36"/>
          <w:highlight w:val="none"/>
        </w:rPr>
      </w:pPr>
      <w:bookmarkStart w:id="7" w:name="_Toc342899794"/>
    </w:p>
    <w:p>
      <w:pPr>
        <w:spacing w:line="360" w:lineRule="auto"/>
        <w:jc w:val="center"/>
        <w:rPr>
          <w:rFonts w:hint="eastAsia" w:asciiTheme="majorEastAsia" w:hAnsiTheme="majorEastAsia" w:eastAsiaTheme="majorEastAsia" w:cstheme="majorEastAsia"/>
          <w:color w:val="auto"/>
          <w:sz w:val="32"/>
          <w:szCs w:val="32"/>
          <w:highlight w:val="none"/>
        </w:rPr>
      </w:pPr>
    </w:p>
    <w:p>
      <w:pPr>
        <w:spacing w:line="360" w:lineRule="auto"/>
        <w:ind w:firstLine="708" w:firstLineChars="196"/>
        <w:rPr>
          <w:rFonts w:hint="eastAsia" w:asciiTheme="majorEastAsia" w:hAnsiTheme="majorEastAsia" w:eastAsiaTheme="majorEastAsia" w:cstheme="majorEastAsia"/>
          <w:b/>
          <w:bCs/>
          <w:color w:val="auto"/>
          <w:sz w:val="36"/>
          <w:szCs w:val="36"/>
          <w:highlight w:val="none"/>
          <w:lang w:val="zh-CN"/>
        </w:rPr>
      </w:pPr>
      <w:r>
        <w:rPr>
          <w:rFonts w:hint="eastAsia" w:asciiTheme="majorEastAsia" w:hAnsiTheme="majorEastAsia" w:eastAsiaTheme="majorEastAsia" w:cstheme="majorEastAsia"/>
          <w:b/>
          <w:bCs/>
          <w:color w:val="auto"/>
          <w:sz w:val="36"/>
          <w:szCs w:val="36"/>
          <w:highlight w:val="none"/>
          <w:lang w:val="zh-CN"/>
        </w:rPr>
        <w:t>项目名称</w:t>
      </w:r>
      <w:bookmarkEnd w:id="7"/>
      <w:r>
        <w:rPr>
          <w:rFonts w:hint="eastAsia" w:asciiTheme="majorEastAsia" w:hAnsiTheme="majorEastAsia" w:eastAsiaTheme="majorEastAsia" w:cstheme="majorEastAsia"/>
          <w:b/>
          <w:bCs/>
          <w:color w:val="auto"/>
          <w:sz w:val="36"/>
          <w:szCs w:val="36"/>
          <w:highlight w:val="none"/>
          <w:lang w:val="zh-CN"/>
        </w:rPr>
        <w:t>：上海国贸璟上保</w:t>
      </w:r>
      <w:r>
        <w:rPr>
          <w:rFonts w:hint="eastAsia" w:asciiTheme="majorEastAsia" w:hAnsiTheme="majorEastAsia" w:eastAsiaTheme="majorEastAsia" w:cstheme="majorEastAsia"/>
          <w:b/>
          <w:bCs/>
          <w:color w:val="auto"/>
          <w:sz w:val="36"/>
          <w:szCs w:val="36"/>
          <w:highlight w:val="none"/>
        </w:rPr>
        <w:t>安</w:t>
      </w:r>
      <w:r>
        <w:rPr>
          <w:rFonts w:hint="eastAsia" w:asciiTheme="majorEastAsia" w:hAnsiTheme="majorEastAsia" w:eastAsiaTheme="majorEastAsia" w:cstheme="majorEastAsia"/>
          <w:b/>
          <w:bCs/>
          <w:color w:val="auto"/>
          <w:sz w:val="36"/>
          <w:szCs w:val="36"/>
          <w:highlight w:val="none"/>
          <w:lang w:val="zh-CN"/>
        </w:rPr>
        <w:t>服务</w:t>
      </w:r>
    </w:p>
    <w:p>
      <w:pPr>
        <w:spacing w:line="360" w:lineRule="auto"/>
        <w:ind w:firstLine="708" w:firstLineChars="196"/>
        <w:rPr>
          <w:rFonts w:hint="eastAsia" w:asciiTheme="majorEastAsia" w:hAnsiTheme="majorEastAsia" w:eastAsiaTheme="majorEastAsia" w:cstheme="majorEastAsia"/>
          <w:b/>
          <w:bCs/>
          <w:color w:val="auto"/>
          <w:sz w:val="36"/>
          <w:szCs w:val="36"/>
          <w:highlight w:val="none"/>
          <w:lang w:val="zh-CN"/>
        </w:rPr>
      </w:pPr>
    </w:p>
    <w:p>
      <w:pPr>
        <w:spacing w:line="360" w:lineRule="auto"/>
        <w:ind w:firstLine="708" w:firstLineChars="196"/>
        <w:rPr>
          <w:rFonts w:hint="default" w:asciiTheme="majorEastAsia" w:hAnsiTheme="majorEastAsia" w:eastAsiaTheme="majorEastAsia" w:cstheme="majorEastAsia"/>
          <w:b/>
          <w:bCs/>
          <w:color w:val="auto"/>
          <w:sz w:val="36"/>
          <w:szCs w:val="36"/>
          <w:highlight w:val="none"/>
          <w:lang w:val="en-US" w:eastAsia="zh-CN"/>
        </w:rPr>
      </w:pPr>
      <w:r>
        <w:rPr>
          <w:rFonts w:hint="eastAsia" w:asciiTheme="majorEastAsia" w:hAnsiTheme="majorEastAsia" w:eastAsiaTheme="majorEastAsia" w:cstheme="majorEastAsia"/>
          <w:b/>
          <w:bCs/>
          <w:color w:val="auto"/>
          <w:sz w:val="36"/>
          <w:szCs w:val="36"/>
          <w:highlight w:val="none"/>
          <w:lang w:val="zh-CN"/>
        </w:rPr>
        <w:t>项目编号：</w:t>
      </w:r>
      <w:r>
        <w:rPr>
          <w:rFonts w:hint="eastAsia" w:asciiTheme="majorEastAsia" w:hAnsiTheme="majorEastAsia" w:eastAsiaTheme="majorEastAsia" w:cstheme="majorEastAsia"/>
          <w:b/>
          <w:bCs/>
          <w:color w:val="auto"/>
          <w:sz w:val="36"/>
          <w:szCs w:val="36"/>
          <w:highlight w:val="none"/>
          <w:lang w:val="en-US" w:eastAsia="zh-CN"/>
        </w:rPr>
        <w:t>GMFW-2024-21</w:t>
      </w:r>
    </w:p>
    <w:p>
      <w:pPr>
        <w:pStyle w:val="10"/>
        <w:spacing w:line="360" w:lineRule="auto"/>
        <w:ind w:firstLine="353"/>
        <w:rPr>
          <w:rFonts w:hint="eastAsia" w:asciiTheme="majorEastAsia" w:hAnsiTheme="majorEastAsia" w:eastAsiaTheme="majorEastAsia" w:cstheme="majorEastAsia"/>
          <w:b/>
          <w:bCs/>
          <w:color w:val="auto"/>
          <w:sz w:val="36"/>
          <w:szCs w:val="36"/>
          <w:highlight w:val="none"/>
        </w:rPr>
      </w:pPr>
    </w:p>
    <w:p>
      <w:pPr>
        <w:pStyle w:val="10"/>
        <w:spacing w:line="360" w:lineRule="auto"/>
        <w:ind w:firstLine="708" w:firstLineChars="196"/>
        <w:rPr>
          <w:rFonts w:hint="eastAsia" w:asciiTheme="majorEastAsia" w:hAnsiTheme="majorEastAsia" w:eastAsiaTheme="majorEastAsia" w:cstheme="majorEastAsia"/>
          <w:b/>
          <w:bCs/>
          <w:color w:val="auto"/>
          <w:sz w:val="36"/>
          <w:szCs w:val="36"/>
          <w:highlight w:val="none"/>
        </w:rPr>
      </w:pPr>
      <w:r>
        <w:rPr>
          <w:rFonts w:hint="eastAsia" w:asciiTheme="majorEastAsia" w:hAnsiTheme="majorEastAsia" w:eastAsiaTheme="majorEastAsia" w:cstheme="majorEastAsia"/>
          <w:b/>
          <w:bCs/>
          <w:color w:val="auto"/>
          <w:sz w:val="36"/>
          <w:szCs w:val="36"/>
          <w:highlight w:val="none"/>
          <w:lang w:val="zh-CN"/>
        </w:rPr>
        <w:t>招标人：厦门国贸城市服务集团股份有限公司</w:t>
      </w:r>
    </w:p>
    <w:p>
      <w:pPr>
        <w:spacing w:line="360" w:lineRule="auto"/>
        <w:ind w:firstLine="1265" w:firstLineChars="350"/>
        <w:rPr>
          <w:rFonts w:hint="eastAsia" w:asciiTheme="majorEastAsia" w:hAnsiTheme="majorEastAsia" w:eastAsiaTheme="majorEastAsia" w:cstheme="majorEastAsia"/>
          <w:b/>
          <w:bCs/>
          <w:color w:val="auto"/>
          <w:sz w:val="36"/>
          <w:szCs w:val="36"/>
          <w:highlight w:val="none"/>
          <w:lang w:val="zh-CN"/>
        </w:rPr>
      </w:pPr>
    </w:p>
    <w:p>
      <w:pPr>
        <w:spacing w:line="360" w:lineRule="auto"/>
        <w:jc w:val="center"/>
        <w:rPr>
          <w:rFonts w:hint="eastAsia" w:asciiTheme="majorEastAsia" w:hAnsiTheme="majorEastAsia" w:eastAsiaTheme="majorEastAsia" w:cstheme="majorEastAsia"/>
          <w:color w:val="auto"/>
          <w:sz w:val="32"/>
          <w:szCs w:val="32"/>
          <w:highlight w:val="none"/>
        </w:rPr>
      </w:pPr>
    </w:p>
    <w:p>
      <w:pPr>
        <w:spacing w:line="360" w:lineRule="auto"/>
        <w:ind w:firstLine="0"/>
        <w:jc w:val="both"/>
        <w:rPr>
          <w:rFonts w:hint="eastAsia" w:asciiTheme="majorEastAsia" w:hAnsiTheme="majorEastAsia" w:eastAsiaTheme="majorEastAsia" w:cstheme="majorEastAsia"/>
          <w:b/>
          <w:bCs/>
          <w:color w:val="auto"/>
          <w:sz w:val="32"/>
          <w:szCs w:val="32"/>
          <w:highlight w:val="none"/>
          <w:lang w:val="zh-CN"/>
        </w:rPr>
      </w:pPr>
    </w:p>
    <w:p>
      <w:pPr>
        <w:spacing w:line="360" w:lineRule="auto"/>
        <w:ind w:firstLine="314"/>
        <w:jc w:val="center"/>
        <w:rPr>
          <w:rFonts w:hint="eastAsia" w:asciiTheme="majorEastAsia" w:hAnsiTheme="majorEastAsia" w:eastAsiaTheme="majorEastAsia" w:cstheme="majorEastAsia"/>
          <w:b/>
          <w:bCs/>
          <w:color w:val="auto"/>
          <w:sz w:val="32"/>
          <w:szCs w:val="32"/>
          <w:highlight w:val="none"/>
          <w:lang w:val="zh-CN"/>
        </w:rPr>
      </w:pPr>
    </w:p>
    <w:p>
      <w:pPr>
        <w:spacing w:line="360" w:lineRule="auto"/>
        <w:ind w:firstLine="353"/>
        <w:jc w:val="center"/>
        <w:rPr>
          <w:rFonts w:hint="eastAsia" w:asciiTheme="majorEastAsia" w:hAnsiTheme="majorEastAsia" w:eastAsiaTheme="majorEastAsia" w:cstheme="majorEastAsia"/>
          <w:b/>
          <w:bCs/>
          <w:color w:val="auto"/>
          <w:sz w:val="36"/>
          <w:szCs w:val="36"/>
          <w:highlight w:val="none"/>
          <w:lang w:val="zh-CN"/>
        </w:rPr>
      </w:pPr>
    </w:p>
    <w:p>
      <w:pPr>
        <w:spacing w:line="360" w:lineRule="auto"/>
        <w:ind w:firstLine="354"/>
        <w:jc w:val="center"/>
        <w:rPr>
          <w:rFonts w:hint="eastAsia" w:asciiTheme="majorEastAsia" w:hAnsiTheme="majorEastAsia" w:eastAsiaTheme="majorEastAsia" w:cstheme="majorEastAsia"/>
          <w:b/>
          <w:bCs/>
          <w:color w:val="auto"/>
          <w:sz w:val="36"/>
          <w:szCs w:val="36"/>
          <w:highlight w:val="none"/>
          <w:lang w:val="zh-CN"/>
        </w:rPr>
      </w:pPr>
      <w:r>
        <w:rPr>
          <w:rFonts w:hint="eastAsia" w:asciiTheme="majorEastAsia" w:hAnsiTheme="majorEastAsia" w:eastAsiaTheme="majorEastAsia" w:cstheme="majorEastAsia"/>
          <w:b/>
          <w:bCs/>
          <w:color w:val="auto"/>
          <w:sz w:val="36"/>
          <w:szCs w:val="36"/>
          <w:highlight w:val="none"/>
          <w:lang w:val="zh-CN"/>
        </w:rPr>
        <w:t>厦门国贸城市服务集团股份有限公司</w:t>
      </w:r>
    </w:p>
    <w:p>
      <w:pPr>
        <w:pStyle w:val="26"/>
        <w:spacing w:line="360" w:lineRule="auto"/>
        <w:rPr>
          <w:rFonts w:hint="eastAsia" w:asciiTheme="majorEastAsia" w:hAnsiTheme="majorEastAsia" w:eastAsiaTheme="majorEastAsia" w:cstheme="majorEastAsia"/>
          <w:color w:val="auto"/>
          <w:sz w:val="36"/>
          <w:szCs w:val="36"/>
          <w:highlight w:val="none"/>
        </w:rPr>
      </w:pPr>
    </w:p>
    <w:p>
      <w:pPr>
        <w:spacing w:line="360" w:lineRule="auto"/>
        <w:ind w:firstLine="354"/>
        <w:jc w:val="center"/>
        <w:rPr>
          <w:rFonts w:hint="eastAsia" w:asciiTheme="majorEastAsia" w:hAnsiTheme="majorEastAsia" w:eastAsiaTheme="majorEastAsia" w:cstheme="majorEastAsia"/>
          <w:b/>
          <w:bCs/>
          <w:color w:val="auto"/>
          <w:sz w:val="36"/>
          <w:szCs w:val="36"/>
          <w:highlight w:val="none"/>
        </w:rPr>
      </w:pPr>
      <w:r>
        <w:rPr>
          <w:rFonts w:hint="eastAsia" w:asciiTheme="majorEastAsia" w:hAnsiTheme="majorEastAsia" w:eastAsiaTheme="majorEastAsia" w:cstheme="majorEastAsia"/>
          <w:b/>
          <w:color w:val="auto"/>
          <w:sz w:val="36"/>
          <w:szCs w:val="36"/>
          <w:highlight w:val="none"/>
        </w:rPr>
        <w:t>2024年</w:t>
      </w:r>
      <w:r>
        <w:rPr>
          <w:rFonts w:hint="eastAsia" w:asciiTheme="majorEastAsia" w:hAnsiTheme="majorEastAsia" w:eastAsiaTheme="majorEastAsia" w:cstheme="majorEastAsia"/>
          <w:b/>
          <w:color w:val="auto"/>
          <w:sz w:val="36"/>
          <w:szCs w:val="36"/>
          <w:highlight w:val="none"/>
          <w:lang w:val="en-US" w:eastAsia="zh-CN"/>
        </w:rPr>
        <w:t>11</w:t>
      </w:r>
      <w:r>
        <w:rPr>
          <w:rFonts w:hint="eastAsia" w:asciiTheme="majorEastAsia" w:hAnsiTheme="majorEastAsia" w:eastAsiaTheme="majorEastAsia" w:cstheme="majorEastAsia"/>
          <w:b/>
          <w:color w:val="auto"/>
          <w:sz w:val="36"/>
          <w:szCs w:val="36"/>
          <w:highlight w:val="none"/>
        </w:rPr>
        <w:t>月</w:t>
      </w:r>
    </w:p>
    <w:p>
      <w:pPr>
        <w:pStyle w:val="17"/>
        <w:shd w:val="clear" w:color="auto" w:fill="FFFFFF"/>
        <w:spacing w:line="360" w:lineRule="auto"/>
        <w:ind w:firstLine="540" w:firstLineChars="150"/>
        <w:jc w:val="center"/>
        <w:rPr>
          <w:rFonts w:hint="eastAsia" w:asciiTheme="majorEastAsia" w:hAnsiTheme="majorEastAsia" w:eastAsiaTheme="majorEastAsia" w:cstheme="majorEastAsia"/>
          <w:color w:val="auto"/>
          <w:sz w:val="36"/>
          <w:szCs w:val="36"/>
          <w:highlight w:val="none"/>
        </w:rPr>
      </w:pPr>
    </w:p>
    <w:p>
      <w:pPr>
        <w:pStyle w:val="17"/>
        <w:shd w:val="clear" w:color="auto" w:fill="FFFFFF"/>
        <w:spacing w:line="360" w:lineRule="auto"/>
        <w:ind w:firstLine="354"/>
        <w:rPr>
          <w:rFonts w:hint="eastAsia" w:asciiTheme="majorEastAsia" w:hAnsiTheme="majorEastAsia" w:eastAsiaTheme="majorEastAsia" w:cstheme="majorEastAsia"/>
          <w:color w:val="auto"/>
          <w:sz w:val="36"/>
          <w:szCs w:val="36"/>
          <w:highlight w:val="none"/>
        </w:rPr>
      </w:pPr>
    </w:p>
    <w:p>
      <w:pPr>
        <w:pStyle w:val="10"/>
        <w:spacing w:line="360" w:lineRule="auto"/>
        <w:ind w:firstLine="433"/>
        <w:jc w:val="center"/>
        <w:rPr>
          <w:rFonts w:hint="eastAsia" w:asciiTheme="majorEastAsia" w:hAnsiTheme="majorEastAsia" w:eastAsiaTheme="majorEastAsia" w:cstheme="majorEastAsia"/>
          <w:b/>
          <w:bCs/>
          <w:color w:val="auto"/>
          <w:sz w:val="32"/>
          <w:szCs w:val="32"/>
          <w:highlight w:val="none"/>
        </w:rPr>
      </w:pPr>
      <w:r>
        <w:rPr>
          <w:rFonts w:hint="eastAsia" w:asciiTheme="majorEastAsia" w:hAnsiTheme="majorEastAsia" w:eastAsiaTheme="majorEastAsia" w:cstheme="majorEastAsia"/>
          <w:b/>
          <w:bCs/>
          <w:color w:val="auto"/>
          <w:sz w:val="32"/>
          <w:szCs w:val="32"/>
          <w:highlight w:val="none"/>
        </w:rPr>
        <w:t>目    录</w:t>
      </w:r>
      <w:bookmarkEnd w:id="0"/>
      <w:bookmarkEnd w:id="1"/>
      <w:bookmarkEnd w:id="2"/>
      <w:bookmarkEnd w:id="3"/>
      <w:bookmarkEnd w:id="4"/>
    </w:p>
    <w:p>
      <w:pPr>
        <w:pStyle w:val="14"/>
        <w:tabs>
          <w:tab w:val="right" w:leader="dot" w:pos="9639"/>
        </w:tabs>
        <w:rPr>
          <w:color w:val="auto"/>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TOC \o "1-3" \h \z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_Toc25645 </w:instrText>
      </w:r>
      <w:r>
        <w:rPr>
          <w:rFonts w:hint="eastAsia" w:ascii="宋体" w:hAnsi="宋体" w:eastAsia="宋体" w:cs="宋体"/>
          <w:color w:val="auto"/>
          <w:szCs w:val="28"/>
          <w:highlight w:val="none"/>
        </w:rPr>
        <w:fldChar w:fldCharType="separate"/>
      </w:r>
      <w:r>
        <w:rPr>
          <w:rFonts w:hint="eastAsia" w:asciiTheme="majorEastAsia" w:hAnsiTheme="majorEastAsia" w:eastAsiaTheme="majorEastAsia" w:cstheme="majorEastAsia"/>
          <w:bCs w:val="0"/>
          <w:color w:val="auto"/>
          <w:kern w:val="0"/>
          <w:szCs w:val="32"/>
          <w:highlight w:val="none"/>
        </w:rPr>
        <w:t>第一章　招标公</w:t>
      </w:r>
      <w:r>
        <w:rPr>
          <w:rFonts w:hint="eastAsia" w:asciiTheme="majorEastAsia" w:hAnsiTheme="majorEastAsia" w:eastAsiaTheme="majorEastAsia" w:cstheme="majorEastAsia"/>
          <w:bCs w:val="0"/>
          <w:color w:val="auto"/>
          <w:kern w:val="0"/>
          <w:szCs w:val="32"/>
          <w:highlight w:val="none"/>
          <w:lang w:val="en-US" w:eastAsia="zh-CN"/>
        </w:rPr>
        <w:t>告</w:t>
      </w:r>
      <w:r>
        <w:rPr>
          <w:color w:val="auto"/>
          <w:highlight w:val="none"/>
        </w:rPr>
        <w:tab/>
      </w:r>
      <w:r>
        <w:rPr>
          <w:color w:val="auto"/>
          <w:highlight w:val="none"/>
        </w:rPr>
        <w:fldChar w:fldCharType="begin"/>
      </w:r>
      <w:r>
        <w:rPr>
          <w:color w:val="auto"/>
          <w:highlight w:val="none"/>
        </w:rPr>
        <w:instrText xml:space="preserve"> PAGEREF _Toc25645 \h </w:instrText>
      </w:r>
      <w:r>
        <w:rPr>
          <w:color w:val="auto"/>
          <w:highlight w:val="none"/>
        </w:rPr>
        <w:fldChar w:fldCharType="separate"/>
      </w:r>
      <w:r>
        <w:rPr>
          <w:color w:val="auto"/>
          <w:highlight w:val="none"/>
        </w:rPr>
        <w:t>- 1 -</w:t>
      </w:r>
      <w:r>
        <w:rPr>
          <w:color w:val="auto"/>
          <w:highlight w:val="none"/>
        </w:rPr>
        <w:fldChar w:fldCharType="end"/>
      </w:r>
      <w:r>
        <w:rPr>
          <w:rFonts w:hint="eastAsia" w:ascii="宋体" w:hAnsi="宋体" w:eastAsia="宋体" w:cs="宋体"/>
          <w:color w:val="auto"/>
          <w:szCs w:val="28"/>
          <w:highlight w:val="none"/>
        </w:rPr>
        <w:fldChar w:fldCharType="end"/>
      </w:r>
    </w:p>
    <w:p>
      <w:pPr>
        <w:pStyle w:val="14"/>
        <w:tabs>
          <w:tab w:val="right" w:leader="dot" w:pos="9639"/>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_Toc13797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rPr>
        <w:t>附：招标项目一览表</w:t>
      </w:r>
      <w:r>
        <w:rPr>
          <w:color w:val="auto"/>
          <w:highlight w:val="none"/>
        </w:rPr>
        <w:tab/>
      </w:r>
      <w:r>
        <w:rPr>
          <w:color w:val="auto"/>
          <w:highlight w:val="none"/>
        </w:rPr>
        <w:fldChar w:fldCharType="begin"/>
      </w:r>
      <w:r>
        <w:rPr>
          <w:color w:val="auto"/>
          <w:highlight w:val="none"/>
        </w:rPr>
        <w:instrText xml:space="preserve"> PAGEREF _Toc13797 \h </w:instrText>
      </w:r>
      <w:r>
        <w:rPr>
          <w:color w:val="auto"/>
          <w:highlight w:val="none"/>
        </w:rPr>
        <w:fldChar w:fldCharType="separate"/>
      </w:r>
      <w:r>
        <w:rPr>
          <w:color w:val="auto"/>
          <w:highlight w:val="none"/>
        </w:rPr>
        <w:t>- 2 -</w:t>
      </w:r>
      <w:r>
        <w:rPr>
          <w:color w:val="auto"/>
          <w:highlight w:val="none"/>
        </w:rPr>
        <w:fldChar w:fldCharType="end"/>
      </w:r>
      <w:r>
        <w:rPr>
          <w:rFonts w:hint="eastAsia" w:ascii="宋体" w:hAnsi="宋体" w:eastAsia="宋体" w:cs="宋体"/>
          <w:color w:val="auto"/>
          <w:szCs w:val="28"/>
          <w:highlight w:val="none"/>
        </w:rPr>
        <w:fldChar w:fldCharType="end"/>
      </w:r>
    </w:p>
    <w:p>
      <w:pPr>
        <w:pStyle w:val="14"/>
        <w:tabs>
          <w:tab w:val="right" w:leader="dot" w:pos="9639"/>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_Toc2804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kern w:val="0"/>
          <w:szCs w:val="28"/>
          <w:highlight w:val="none"/>
        </w:rPr>
        <w:t>第二章　投标人须知</w:t>
      </w:r>
      <w:r>
        <w:rPr>
          <w:color w:val="auto"/>
          <w:highlight w:val="none"/>
        </w:rPr>
        <w:tab/>
      </w:r>
      <w:r>
        <w:rPr>
          <w:color w:val="auto"/>
          <w:highlight w:val="none"/>
        </w:rPr>
        <w:fldChar w:fldCharType="begin"/>
      </w:r>
      <w:r>
        <w:rPr>
          <w:color w:val="auto"/>
          <w:highlight w:val="none"/>
        </w:rPr>
        <w:instrText xml:space="preserve"> PAGEREF _Toc2804 \h </w:instrText>
      </w:r>
      <w:r>
        <w:rPr>
          <w:color w:val="auto"/>
          <w:highlight w:val="none"/>
        </w:rPr>
        <w:fldChar w:fldCharType="separate"/>
      </w:r>
      <w:r>
        <w:rPr>
          <w:color w:val="auto"/>
          <w:highlight w:val="none"/>
        </w:rPr>
        <w:t>- 3 -</w:t>
      </w:r>
      <w:r>
        <w:rPr>
          <w:color w:val="auto"/>
          <w:highlight w:val="none"/>
        </w:rPr>
        <w:fldChar w:fldCharType="end"/>
      </w:r>
      <w:r>
        <w:rPr>
          <w:rFonts w:hint="eastAsia" w:ascii="宋体" w:hAnsi="宋体" w:eastAsia="宋体" w:cs="宋体"/>
          <w:color w:val="auto"/>
          <w:szCs w:val="28"/>
          <w:highlight w:val="none"/>
        </w:rPr>
        <w:fldChar w:fldCharType="end"/>
      </w:r>
    </w:p>
    <w:p>
      <w:pPr>
        <w:pStyle w:val="15"/>
        <w:tabs>
          <w:tab w:val="right" w:leader="dot" w:pos="9639"/>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_Toc17363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rPr>
        <w:t>第一节  说  明</w:t>
      </w:r>
      <w:r>
        <w:rPr>
          <w:color w:val="auto"/>
          <w:highlight w:val="none"/>
        </w:rPr>
        <w:tab/>
      </w:r>
      <w:r>
        <w:rPr>
          <w:color w:val="auto"/>
          <w:highlight w:val="none"/>
        </w:rPr>
        <w:fldChar w:fldCharType="begin"/>
      </w:r>
      <w:r>
        <w:rPr>
          <w:color w:val="auto"/>
          <w:highlight w:val="none"/>
        </w:rPr>
        <w:instrText xml:space="preserve"> PAGEREF _Toc17363 \h </w:instrText>
      </w:r>
      <w:r>
        <w:rPr>
          <w:color w:val="auto"/>
          <w:highlight w:val="none"/>
        </w:rPr>
        <w:fldChar w:fldCharType="separate"/>
      </w:r>
      <w:r>
        <w:rPr>
          <w:color w:val="auto"/>
          <w:highlight w:val="none"/>
        </w:rPr>
        <w:t>- 5 -</w:t>
      </w:r>
      <w:r>
        <w:rPr>
          <w:color w:val="auto"/>
          <w:highlight w:val="none"/>
        </w:rPr>
        <w:fldChar w:fldCharType="end"/>
      </w:r>
      <w:r>
        <w:rPr>
          <w:rFonts w:hint="eastAsia" w:ascii="宋体" w:hAnsi="宋体" w:eastAsia="宋体" w:cs="宋体"/>
          <w:color w:val="auto"/>
          <w:szCs w:val="28"/>
          <w:highlight w:val="none"/>
        </w:rPr>
        <w:fldChar w:fldCharType="end"/>
      </w:r>
    </w:p>
    <w:p>
      <w:pPr>
        <w:pStyle w:val="9"/>
        <w:tabs>
          <w:tab w:val="right" w:leader="dot" w:pos="9639"/>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_Toc27900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rPr>
        <w:t>1. 适用范围</w:t>
      </w:r>
      <w:r>
        <w:rPr>
          <w:color w:val="auto"/>
          <w:highlight w:val="none"/>
        </w:rPr>
        <w:tab/>
      </w:r>
      <w:r>
        <w:rPr>
          <w:color w:val="auto"/>
          <w:highlight w:val="none"/>
        </w:rPr>
        <w:fldChar w:fldCharType="begin"/>
      </w:r>
      <w:r>
        <w:rPr>
          <w:color w:val="auto"/>
          <w:highlight w:val="none"/>
        </w:rPr>
        <w:instrText xml:space="preserve"> PAGEREF _Toc27900 \h </w:instrText>
      </w:r>
      <w:r>
        <w:rPr>
          <w:color w:val="auto"/>
          <w:highlight w:val="none"/>
        </w:rPr>
        <w:fldChar w:fldCharType="separate"/>
      </w:r>
      <w:r>
        <w:rPr>
          <w:color w:val="auto"/>
          <w:highlight w:val="none"/>
        </w:rPr>
        <w:t>- 5 -</w:t>
      </w:r>
      <w:r>
        <w:rPr>
          <w:color w:val="auto"/>
          <w:highlight w:val="none"/>
        </w:rPr>
        <w:fldChar w:fldCharType="end"/>
      </w:r>
      <w:r>
        <w:rPr>
          <w:rFonts w:hint="eastAsia" w:ascii="宋体" w:hAnsi="宋体" w:eastAsia="宋体" w:cs="宋体"/>
          <w:color w:val="auto"/>
          <w:szCs w:val="28"/>
          <w:highlight w:val="none"/>
        </w:rPr>
        <w:fldChar w:fldCharType="end"/>
      </w:r>
    </w:p>
    <w:p>
      <w:pPr>
        <w:pStyle w:val="9"/>
        <w:tabs>
          <w:tab w:val="right" w:leader="dot" w:pos="9639"/>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_Toc16993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rPr>
        <w:t>2. 定义</w:t>
      </w:r>
      <w:r>
        <w:rPr>
          <w:color w:val="auto"/>
          <w:highlight w:val="none"/>
        </w:rPr>
        <w:tab/>
      </w:r>
      <w:r>
        <w:rPr>
          <w:color w:val="auto"/>
          <w:highlight w:val="none"/>
        </w:rPr>
        <w:fldChar w:fldCharType="begin"/>
      </w:r>
      <w:r>
        <w:rPr>
          <w:color w:val="auto"/>
          <w:highlight w:val="none"/>
        </w:rPr>
        <w:instrText xml:space="preserve"> PAGEREF _Toc16993 \h </w:instrText>
      </w:r>
      <w:r>
        <w:rPr>
          <w:color w:val="auto"/>
          <w:highlight w:val="none"/>
        </w:rPr>
        <w:fldChar w:fldCharType="separate"/>
      </w:r>
      <w:r>
        <w:rPr>
          <w:color w:val="auto"/>
          <w:highlight w:val="none"/>
        </w:rPr>
        <w:t>- 5 -</w:t>
      </w:r>
      <w:r>
        <w:rPr>
          <w:color w:val="auto"/>
          <w:highlight w:val="none"/>
        </w:rPr>
        <w:fldChar w:fldCharType="end"/>
      </w:r>
      <w:r>
        <w:rPr>
          <w:rFonts w:hint="eastAsia" w:ascii="宋体" w:hAnsi="宋体" w:eastAsia="宋体" w:cs="宋体"/>
          <w:color w:val="auto"/>
          <w:szCs w:val="28"/>
          <w:highlight w:val="none"/>
        </w:rPr>
        <w:fldChar w:fldCharType="end"/>
      </w:r>
    </w:p>
    <w:p>
      <w:pPr>
        <w:pStyle w:val="9"/>
        <w:tabs>
          <w:tab w:val="right" w:leader="dot" w:pos="9639"/>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_Toc11011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rPr>
        <w:t>3. 合格的投标人</w:t>
      </w:r>
      <w:r>
        <w:rPr>
          <w:color w:val="auto"/>
          <w:highlight w:val="none"/>
        </w:rPr>
        <w:tab/>
      </w:r>
      <w:r>
        <w:rPr>
          <w:color w:val="auto"/>
          <w:highlight w:val="none"/>
        </w:rPr>
        <w:fldChar w:fldCharType="begin"/>
      </w:r>
      <w:r>
        <w:rPr>
          <w:color w:val="auto"/>
          <w:highlight w:val="none"/>
        </w:rPr>
        <w:instrText xml:space="preserve"> PAGEREF _Toc11011 \h </w:instrText>
      </w:r>
      <w:r>
        <w:rPr>
          <w:color w:val="auto"/>
          <w:highlight w:val="none"/>
        </w:rPr>
        <w:fldChar w:fldCharType="separate"/>
      </w:r>
      <w:r>
        <w:rPr>
          <w:color w:val="auto"/>
          <w:highlight w:val="none"/>
        </w:rPr>
        <w:t>- 6 -</w:t>
      </w:r>
      <w:r>
        <w:rPr>
          <w:color w:val="auto"/>
          <w:highlight w:val="none"/>
        </w:rPr>
        <w:fldChar w:fldCharType="end"/>
      </w:r>
      <w:r>
        <w:rPr>
          <w:rFonts w:hint="eastAsia" w:ascii="宋体" w:hAnsi="宋体" w:eastAsia="宋体" w:cs="宋体"/>
          <w:color w:val="auto"/>
          <w:szCs w:val="28"/>
          <w:highlight w:val="none"/>
        </w:rPr>
        <w:fldChar w:fldCharType="end"/>
      </w:r>
    </w:p>
    <w:p>
      <w:pPr>
        <w:pStyle w:val="9"/>
        <w:tabs>
          <w:tab w:val="right" w:leader="dot" w:pos="9639"/>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_Toc25695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rPr>
        <w:t>4. 投标费用</w:t>
      </w:r>
      <w:r>
        <w:rPr>
          <w:color w:val="auto"/>
          <w:highlight w:val="none"/>
        </w:rPr>
        <w:tab/>
      </w:r>
      <w:r>
        <w:rPr>
          <w:color w:val="auto"/>
          <w:highlight w:val="none"/>
        </w:rPr>
        <w:fldChar w:fldCharType="begin"/>
      </w:r>
      <w:r>
        <w:rPr>
          <w:color w:val="auto"/>
          <w:highlight w:val="none"/>
        </w:rPr>
        <w:instrText xml:space="preserve"> PAGEREF _Toc25695 \h </w:instrText>
      </w:r>
      <w:r>
        <w:rPr>
          <w:color w:val="auto"/>
          <w:highlight w:val="none"/>
        </w:rPr>
        <w:fldChar w:fldCharType="separate"/>
      </w:r>
      <w:r>
        <w:rPr>
          <w:color w:val="auto"/>
          <w:highlight w:val="none"/>
        </w:rPr>
        <w:t>- 6 -</w:t>
      </w:r>
      <w:r>
        <w:rPr>
          <w:color w:val="auto"/>
          <w:highlight w:val="none"/>
        </w:rPr>
        <w:fldChar w:fldCharType="end"/>
      </w:r>
      <w:r>
        <w:rPr>
          <w:rFonts w:hint="eastAsia" w:ascii="宋体" w:hAnsi="宋体" w:eastAsia="宋体" w:cs="宋体"/>
          <w:color w:val="auto"/>
          <w:szCs w:val="28"/>
          <w:highlight w:val="none"/>
        </w:rPr>
        <w:fldChar w:fldCharType="end"/>
      </w:r>
    </w:p>
    <w:p>
      <w:pPr>
        <w:pStyle w:val="15"/>
        <w:tabs>
          <w:tab w:val="right" w:leader="dot" w:pos="9639"/>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_Toc5495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rPr>
        <w:t>第二节  招标文件说明</w:t>
      </w:r>
      <w:r>
        <w:rPr>
          <w:color w:val="auto"/>
          <w:highlight w:val="none"/>
        </w:rPr>
        <w:tab/>
      </w:r>
      <w:r>
        <w:rPr>
          <w:color w:val="auto"/>
          <w:highlight w:val="none"/>
        </w:rPr>
        <w:fldChar w:fldCharType="begin"/>
      </w:r>
      <w:r>
        <w:rPr>
          <w:color w:val="auto"/>
          <w:highlight w:val="none"/>
        </w:rPr>
        <w:instrText xml:space="preserve"> PAGEREF _Toc5495 \h </w:instrText>
      </w:r>
      <w:r>
        <w:rPr>
          <w:color w:val="auto"/>
          <w:highlight w:val="none"/>
        </w:rPr>
        <w:fldChar w:fldCharType="separate"/>
      </w:r>
      <w:r>
        <w:rPr>
          <w:color w:val="auto"/>
          <w:highlight w:val="none"/>
        </w:rPr>
        <w:t>- 6 -</w:t>
      </w:r>
      <w:r>
        <w:rPr>
          <w:color w:val="auto"/>
          <w:highlight w:val="none"/>
        </w:rPr>
        <w:fldChar w:fldCharType="end"/>
      </w:r>
      <w:r>
        <w:rPr>
          <w:rFonts w:hint="eastAsia" w:ascii="宋体" w:hAnsi="宋体" w:eastAsia="宋体" w:cs="宋体"/>
          <w:color w:val="auto"/>
          <w:szCs w:val="28"/>
          <w:highlight w:val="none"/>
        </w:rPr>
        <w:fldChar w:fldCharType="end"/>
      </w:r>
    </w:p>
    <w:p>
      <w:pPr>
        <w:pStyle w:val="9"/>
        <w:tabs>
          <w:tab w:val="right" w:leader="dot" w:pos="9639"/>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_Toc1496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rPr>
        <w:t>5. 招标文件的组成</w:t>
      </w:r>
      <w:r>
        <w:rPr>
          <w:color w:val="auto"/>
          <w:highlight w:val="none"/>
        </w:rPr>
        <w:tab/>
      </w:r>
      <w:r>
        <w:rPr>
          <w:color w:val="auto"/>
          <w:highlight w:val="none"/>
        </w:rPr>
        <w:fldChar w:fldCharType="begin"/>
      </w:r>
      <w:r>
        <w:rPr>
          <w:color w:val="auto"/>
          <w:highlight w:val="none"/>
        </w:rPr>
        <w:instrText xml:space="preserve"> PAGEREF _Toc1496 \h </w:instrText>
      </w:r>
      <w:r>
        <w:rPr>
          <w:color w:val="auto"/>
          <w:highlight w:val="none"/>
        </w:rPr>
        <w:fldChar w:fldCharType="separate"/>
      </w:r>
      <w:r>
        <w:rPr>
          <w:color w:val="auto"/>
          <w:highlight w:val="none"/>
        </w:rPr>
        <w:t>- 6 -</w:t>
      </w:r>
      <w:r>
        <w:rPr>
          <w:color w:val="auto"/>
          <w:highlight w:val="none"/>
        </w:rPr>
        <w:fldChar w:fldCharType="end"/>
      </w:r>
      <w:r>
        <w:rPr>
          <w:rFonts w:hint="eastAsia" w:ascii="宋体" w:hAnsi="宋体" w:eastAsia="宋体" w:cs="宋体"/>
          <w:color w:val="auto"/>
          <w:szCs w:val="28"/>
          <w:highlight w:val="none"/>
        </w:rPr>
        <w:fldChar w:fldCharType="end"/>
      </w:r>
    </w:p>
    <w:p>
      <w:pPr>
        <w:pStyle w:val="9"/>
        <w:tabs>
          <w:tab w:val="right" w:leader="dot" w:pos="9639"/>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_Toc6185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rPr>
        <w:t>6. 招标文件的澄清</w:t>
      </w:r>
      <w:r>
        <w:rPr>
          <w:color w:val="auto"/>
          <w:highlight w:val="none"/>
        </w:rPr>
        <w:tab/>
      </w:r>
      <w:r>
        <w:rPr>
          <w:color w:val="auto"/>
          <w:highlight w:val="none"/>
        </w:rPr>
        <w:fldChar w:fldCharType="begin"/>
      </w:r>
      <w:r>
        <w:rPr>
          <w:color w:val="auto"/>
          <w:highlight w:val="none"/>
        </w:rPr>
        <w:instrText xml:space="preserve"> PAGEREF _Toc6185 \h </w:instrText>
      </w:r>
      <w:r>
        <w:rPr>
          <w:color w:val="auto"/>
          <w:highlight w:val="none"/>
        </w:rPr>
        <w:fldChar w:fldCharType="separate"/>
      </w:r>
      <w:r>
        <w:rPr>
          <w:color w:val="auto"/>
          <w:highlight w:val="none"/>
        </w:rPr>
        <w:t>- 6 -</w:t>
      </w:r>
      <w:r>
        <w:rPr>
          <w:color w:val="auto"/>
          <w:highlight w:val="none"/>
        </w:rPr>
        <w:fldChar w:fldCharType="end"/>
      </w:r>
      <w:r>
        <w:rPr>
          <w:rFonts w:hint="eastAsia" w:ascii="宋体" w:hAnsi="宋体" w:eastAsia="宋体" w:cs="宋体"/>
          <w:color w:val="auto"/>
          <w:szCs w:val="28"/>
          <w:highlight w:val="none"/>
        </w:rPr>
        <w:fldChar w:fldCharType="end"/>
      </w:r>
    </w:p>
    <w:p>
      <w:pPr>
        <w:pStyle w:val="9"/>
        <w:tabs>
          <w:tab w:val="right" w:leader="dot" w:pos="9639"/>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_Toc11143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rPr>
        <w:t>7. 招标文件的修改</w:t>
      </w:r>
      <w:r>
        <w:rPr>
          <w:color w:val="auto"/>
          <w:highlight w:val="none"/>
        </w:rPr>
        <w:tab/>
      </w:r>
      <w:r>
        <w:rPr>
          <w:color w:val="auto"/>
          <w:highlight w:val="none"/>
        </w:rPr>
        <w:fldChar w:fldCharType="begin"/>
      </w:r>
      <w:r>
        <w:rPr>
          <w:color w:val="auto"/>
          <w:highlight w:val="none"/>
        </w:rPr>
        <w:instrText xml:space="preserve"> PAGEREF _Toc11143 \h </w:instrText>
      </w:r>
      <w:r>
        <w:rPr>
          <w:color w:val="auto"/>
          <w:highlight w:val="none"/>
        </w:rPr>
        <w:fldChar w:fldCharType="separate"/>
      </w:r>
      <w:r>
        <w:rPr>
          <w:color w:val="auto"/>
          <w:highlight w:val="none"/>
        </w:rPr>
        <w:t>- 7 -</w:t>
      </w:r>
      <w:r>
        <w:rPr>
          <w:color w:val="auto"/>
          <w:highlight w:val="none"/>
        </w:rPr>
        <w:fldChar w:fldCharType="end"/>
      </w:r>
      <w:r>
        <w:rPr>
          <w:rFonts w:hint="eastAsia" w:ascii="宋体" w:hAnsi="宋体" w:eastAsia="宋体" w:cs="宋体"/>
          <w:color w:val="auto"/>
          <w:szCs w:val="28"/>
          <w:highlight w:val="none"/>
        </w:rPr>
        <w:fldChar w:fldCharType="end"/>
      </w:r>
    </w:p>
    <w:p>
      <w:pPr>
        <w:pStyle w:val="15"/>
        <w:tabs>
          <w:tab w:val="right" w:leader="dot" w:pos="9639"/>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_Toc29805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rPr>
        <w:t>第三节  投标文件的编写</w:t>
      </w:r>
      <w:r>
        <w:rPr>
          <w:color w:val="auto"/>
          <w:highlight w:val="none"/>
        </w:rPr>
        <w:tab/>
      </w:r>
      <w:r>
        <w:rPr>
          <w:color w:val="auto"/>
          <w:highlight w:val="none"/>
        </w:rPr>
        <w:fldChar w:fldCharType="begin"/>
      </w:r>
      <w:r>
        <w:rPr>
          <w:color w:val="auto"/>
          <w:highlight w:val="none"/>
        </w:rPr>
        <w:instrText xml:space="preserve"> PAGEREF _Toc29805 \h </w:instrText>
      </w:r>
      <w:r>
        <w:rPr>
          <w:color w:val="auto"/>
          <w:highlight w:val="none"/>
        </w:rPr>
        <w:fldChar w:fldCharType="separate"/>
      </w:r>
      <w:r>
        <w:rPr>
          <w:color w:val="auto"/>
          <w:highlight w:val="none"/>
        </w:rPr>
        <w:t>- 7 -</w:t>
      </w:r>
      <w:r>
        <w:rPr>
          <w:color w:val="auto"/>
          <w:highlight w:val="none"/>
        </w:rPr>
        <w:fldChar w:fldCharType="end"/>
      </w:r>
      <w:r>
        <w:rPr>
          <w:rFonts w:hint="eastAsia" w:ascii="宋体" w:hAnsi="宋体" w:eastAsia="宋体" w:cs="宋体"/>
          <w:color w:val="auto"/>
          <w:szCs w:val="28"/>
          <w:highlight w:val="none"/>
        </w:rPr>
        <w:fldChar w:fldCharType="end"/>
      </w:r>
    </w:p>
    <w:p>
      <w:pPr>
        <w:pStyle w:val="9"/>
        <w:tabs>
          <w:tab w:val="right" w:leader="dot" w:pos="9639"/>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_Toc10985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rPr>
        <w:t>8. 要求</w:t>
      </w:r>
      <w:r>
        <w:rPr>
          <w:color w:val="auto"/>
          <w:highlight w:val="none"/>
        </w:rPr>
        <w:tab/>
      </w:r>
      <w:r>
        <w:rPr>
          <w:color w:val="auto"/>
          <w:highlight w:val="none"/>
        </w:rPr>
        <w:fldChar w:fldCharType="begin"/>
      </w:r>
      <w:r>
        <w:rPr>
          <w:color w:val="auto"/>
          <w:highlight w:val="none"/>
        </w:rPr>
        <w:instrText xml:space="preserve"> PAGEREF _Toc10985 \h </w:instrText>
      </w:r>
      <w:r>
        <w:rPr>
          <w:color w:val="auto"/>
          <w:highlight w:val="none"/>
        </w:rPr>
        <w:fldChar w:fldCharType="separate"/>
      </w:r>
      <w:r>
        <w:rPr>
          <w:color w:val="auto"/>
          <w:highlight w:val="none"/>
        </w:rPr>
        <w:t>- 7 -</w:t>
      </w:r>
      <w:r>
        <w:rPr>
          <w:color w:val="auto"/>
          <w:highlight w:val="none"/>
        </w:rPr>
        <w:fldChar w:fldCharType="end"/>
      </w:r>
      <w:r>
        <w:rPr>
          <w:rFonts w:hint="eastAsia" w:ascii="宋体" w:hAnsi="宋体" w:eastAsia="宋体" w:cs="宋体"/>
          <w:color w:val="auto"/>
          <w:szCs w:val="28"/>
          <w:highlight w:val="none"/>
        </w:rPr>
        <w:fldChar w:fldCharType="end"/>
      </w:r>
    </w:p>
    <w:p>
      <w:pPr>
        <w:pStyle w:val="9"/>
        <w:tabs>
          <w:tab w:val="right" w:leader="dot" w:pos="9639"/>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_Toc17756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rPr>
        <w:t>9. 投标文件语言</w:t>
      </w:r>
      <w:r>
        <w:rPr>
          <w:color w:val="auto"/>
          <w:highlight w:val="none"/>
        </w:rPr>
        <w:tab/>
      </w:r>
      <w:r>
        <w:rPr>
          <w:color w:val="auto"/>
          <w:highlight w:val="none"/>
        </w:rPr>
        <w:fldChar w:fldCharType="begin"/>
      </w:r>
      <w:r>
        <w:rPr>
          <w:color w:val="auto"/>
          <w:highlight w:val="none"/>
        </w:rPr>
        <w:instrText xml:space="preserve"> PAGEREF _Toc17756 \h </w:instrText>
      </w:r>
      <w:r>
        <w:rPr>
          <w:color w:val="auto"/>
          <w:highlight w:val="none"/>
        </w:rPr>
        <w:fldChar w:fldCharType="separate"/>
      </w:r>
      <w:r>
        <w:rPr>
          <w:color w:val="auto"/>
          <w:highlight w:val="none"/>
        </w:rPr>
        <w:t>- 8 -</w:t>
      </w:r>
      <w:r>
        <w:rPr>
          <w:color w:val="auto"/>
          <w:highlight w:val="none"/>
        </w:rPr>
        <w:fldChar w:fldCharType="end"/>
      </w:r>
      <w:r>
        <w:rPr>
          <w:rFonts w:hint="eastAsia" w:ascii="宋体" w:hAnsi="宋体" w:eastAsia="宋体" w:cs="宋体"/>
          <w:color w:val="auto"/>
          <w:szCs w:val="28"/>
          <w:highlight w:val="none"/>
        </w:rPr>
        <w:fldChar w:fldCharType="end"/>
      </w:r>
    </w:p>
    <w:p>
      <w:pPr>
        <w:pStyle w:val="9"/>
        <w:tabs>
          <w:tab w:val="right" w:leader="dot" w:pos="9639"/>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_Toc10238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rPr>
        <w:t>10. 投标文件的组成</w:t>
      </w:r>
      <w:r>
        <w:rPr>
          <w:color w:val="auto"/>
          <w:highlight w:val="none"/>
        </w:rPr>
        <w:tab/>
      </w:r>
      <w:r>
        <w:rPr>
          <w:color w:val="auto"/>
          <w:highlight w:val="none"/>
        </w:rPr>
        <w:fldChar w:fldCharType="begin"/>
      </w:r>
      <w:r>
        <w:rPr>
          <w:color w:val="auto"/>
          <w:highlight w:val="none"/>
        </w:rPr>
        <w:instrText xml:space="preserve"> PAGEREF _Toc10238 \h </w:instrText>
      </w:r>
      <w:r>
        <w:rPr>
          <w:color w:val="auto"/>
          <w:highlight w:val="none"/>
        </w:rPr>
        <w:fldChar w:fldCharType="separate"/>
      </w:r>
      <w:r>
        <w:rPr>
          <w:color w:val="auto"/>
          <w:highlight w:val="none"/>
        </w:rPr>
        <w:t>- 8 -</w:t>
      </w:r>
      <w:r>
        <w:rPr>
          <w:color w:val="auto"/>
          <w:highlight w:val="none"/>
        </w:rPr>
        <w:fldChar w:fldCharType="end"/>
      </w:r>
      <w:r>
        <w:rPr>
          <w:rFonts w:hint="eastAsia" w:ascii="宋体" w:hAnsi="宋体" w:eastAsia="宋体" w:cs="宋体"/>
          <w:color w:val="auto"/>
          <w:szCs w:val="28"/>
          <w:highlight w:val="none"/>
        </w:rPr>
        <w:fldChar w:fldCharType="end"/>
      </w:r>
    </w:p>
    <w:p>
      <w:pPr>
        <w:pStyle w:val="9"/>
        <w:tabs>
          <w:tab w:val="right" w:leader="dot" w:pos="9639"/>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_Toc26393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rPr>
        <w:t>11. 投标有效期</w:t>
      </w:r>
      <w:r>
        <w:rPr>
          <w:color w:val="auto"/>
          <w:highlight w:val="none"/>
        </w:rPr>
        <w:tab/>
      </w:r>
      <w:r>
        <w:rPr>
          <w:color w:val="auto"/>
          <w:highlight w:val="none"/>
        </w:rPr>
        <w:fldChar w:fldCharType="begin"/>
      </w:r>
      <w:r>
        <w:rPr>
          <w:color w:val="auto"/>
          <w:highlight w:val="none"/>
        </w:rPr>
        <w:instrText xml:space="preserve"> PAGEREF _Toc26393 \h </w:instrText>
      </w:r>
      <w:r>
        <w:rPr>
          <w:color w:val="auto"/>
          <w:highlight w:val="none"/>
        </w:rPr>
        <w:fldChar w:fldCharType="separate"/>
      </w:r>
      <w:r>
        <w:rPr>
          <w:color w:val="auto"/>
          <w:highlight w:val="none"/>
        </w:rPr>
        <w:t>- 8 -</w:t>
      </w:r>
      <w:r>
        <w:rPr>
          <w:color w:val="auto"/>
          <w:highlight w:val="none"/>
        </w:rPr>
        <w:fldChar w:fldCharType="end"/>
      </w:r>
      <w:r>
        <w:rPr>
          <w:rFonts w:hint="eastAsia" w:ascii="宋体" w:hAnsi="宋体" w:eastAsia="宋体" w:cs="宋体"/>
          <w:color w:val="auto"/>
          <w:szCs w:val="28"/>
          <w:highlight w:val="none"/>
        </w:rPr>
        <w:fldChar w:fldCharType="end"/>
      </w:r>
    </w:p>
    <w:p>
      <w:pPr>
        <w:pStyle w:val="9"/>
        <w:tabs>
          <w:tab w:val="right" w:leader="dot" w:pos="9639"/>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_Toc15862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rPr>
        <w:t>12. 投标保证金</w:t>
      </w:r>
      <w:r>
        <w:rPr>
          <w:color w:val="auto"/>
          <w:highlight w:val="none"/>
        </w:rPr>
        <w:tab/>
      </w:r>
      <w:r>
        <w:rPr>
          <w:color w:val="auto"/>
          <w:highlight w:val="none"/>
        </w:rPr>
        <w:fldChar w:fldCharType="begin"/>
      </w:r>
      <w:r>
        <w:rPr>
          <w:color w:val="auto"/>
          <w:highlight w:val="none"/>
        </w:rPr>
        <w:instrText xml:space="preserve"> PAGEREF _Toc15862 \h </w:instrText>
      </w:r>
      <w:r>
        <w:rPr>
          <w:color w:val="auto"/>
          <w:highlight w:val="none"/>
        </w:rPr>
        <w:fldChar w:fldCharType="separate"/>
      </w:r>
      <w:r>
        <w:rPr>
          <w:color w:val="auto"/>
          <w:highlight w:val="none"/>
        </w:rPr>
        <w:t>- 8 -</w:t>
      </w:r>
      <w:r>
        <w:rPr>
          <w:color w:val="auto"/>
          <w:highlight w:val="none"/>
        </w:rPr>
        <w:fldChar w:fldCharType="end"/>
      </w:r>
      <w:r>
        <w:rPr>
          <w:rFonts w:hint="eastAsia" w:ascii="宋体" w:hAnsi="宋体" w:eastAsia="宋体" w:cs="宋体"/>
          <w:color w:val="auto"/>
          <w:szCs w:val="28"/>
          <w:highlight w:val="none"/>
        </w:rPr>
        <w:fldChar w:fldCharType="end"/>
      </w:r>
    </w:p>
    <w:p>
      <w:pPr>
        <w:pStyle w:val="9"/>
        <w:tabs>
          <w:tab w:val="right" w:leader="dot" w:pos="9639"/>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_Toc24900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rPr>
        <w:t>13. 投标文件的格式</w:t>
      </w:r>
      <w:r>
        <w:rPr>
          <w:color w:val="auto"/>
          <w:highlight w:val="none"/>
        </w:rPr>
        <w:tab/>
      </w:r>
      <w:r>
        <w:rPr>
          <w:color w:val="auto"/>
          <w:highlight w:val="none"/>
        </w:rPr>
        <w:fldChar w:fldCharType="begin"/>
      </w:r>
      <w:r>
        <w:rPr>
          <w:color w:val="auto"/>
          <w:highlight w:val="none"/>
        </w:rPr>
        <w:instrText xml:space="preserve"> PAGEREF _Toc24900 \h </w:instrText>
      </w:r>
      <w:r>
        <w:rPr>
          <w:color w:val="auto"/>
          <w:highlight w:val="none"/>
        </w:rPr>
        <w:fldChar w:fldCharType="separate"/>
      </w:r>
      <w:r>
        <w:rPr>
          <w:color w:val="auto"/>
          <w:highlight w:val="none"/>
        </w:rPr>
        <w:t>- 9 -</w:t>
      </w:r>
      <w:r>
        <w:rPr>
          <w:color w:val="auto"/>
          <w:highlight w:val="none"/>
        </w:rPr>
        <w:fldChar w:fldCharType="end"/>
      </w:r>
      <w:r>
        <w:rPr>
          <w:rFonts w:hint="eastAsia" w:ascii="宋体" w:hAnsi="宋体" w:eastAsia="宋体" w:cs="宋体"/>
          <w:color w:val="auto"/>
          <w:szCs w:val="28"/>
          <w:highlight w:val="none"/>
        </w:rPr>
        <w:fldChar w:fldCharType="end"/>
      </w:r>
    </w:p>
    <w:p>
      <w:pPr>
        <w:pStyle w:val="15"/>
        <w:tabs>
          <w:tab w:val="right" w:leader="dot" w:pos="9639"/>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_Toc4699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rPr>
        <w:t>第四节  投标文件的提交</w:t>
      </w:r>
      <w:r>
        <w:rPr>
          <w:color w:val="auto"/>
          <w:highlight w:val="none"/>
        </w:rPr>
        <w:tab/>
      </w:r>
      <w:r>
        <w:rPr>
          <w:color w:val="auto"/>
          <w:highlight w:val="none"/>
        </w:rPr>
        <w:fldChar w:fldCharType="begin"/>
      </w:r>
      <w:r>
        <w:rPr>
          <w:color w:val="auto"/>
          <w:highlight w:val="none"/>
        </w:rPr>
        <w:instrText xml:space="preserve"> PAGEREF _Toc4699 \h </w:instrText>
      </w:r>
      <w:r>
        <w:rPr>
          <w:color w:val="auto"/>
          <w:highlight w:val="none"/>
        </w:rPr>
        <w:fldChar w:fldCharType="separate"/>
      </w:r>
      <w:r>
        <w:rPr>
          <w:color w:val="auto"/>
          <w:highlight w:val="none"/>
        </w:rPr>
        <w:t>- 10 -</w:t>
      </w:r>
      <w:r>
        <w:rPr>
          <w:color w:val="auto"/>
          <w:highlight w:val="none"/>
        </w:rPr>
        <w:fldChar w:fldCharType="end"/>
      </w:r>
      <w:r>
        <w:rPr>
          <w:rFonts w:hint="eastAsia" w:ascii="宋体" w:hAnsi="宋体" w:eastAsia="宋体" w:cs="宋体"/>
          <w:color w:val="auto"/>
          <w:szCs w:val="28"/>
          <w:highlight w:val="none"/>
        </w:rPr>
        <w:fldChar w:fldCharType="end"/>
      </w:r>
    </w:p>
    <w:p>
      <w:pPr>
        <w:pStyle w:val="9"/>
        <w:tabs>
          <w:tab w:val="right" w:leader="dot" w:pos="9639"/>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_Toc13825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rPr>
        <w:t>14. 投标文件的密封、标记和递交</w:t>
      </w:r>
      <w:r>
        <w:rPr>
          <w:color w:val="auto"/>
          <w:highlight w:val="none"/>
        </w:rPr>
        <w:tab/>
      </w:r>
      <w:r>
        <w:rPr>
          <w:color w:val="auto"/>
          <w:highlight w:val="none"/>
        </w:rPr>
        <w:fldChar w:fldCharType="begin"/>
      </w:r>
      <w:r>
        <w:rPr>
          <w:color w:val="auto"/>
          <w:highlight w:val="none"/>
        </w:rPr>
        <w:instrText xml:space="preserve"> PAGEREF _Toc13825 \h </w:instrText>
      </w:r>
      <w:r>
        <w:rPr>
          <w:color w:val="auto"/>
          <w:highlight w:val="none"/>
        </w:rPr>
        <w:fldChar w:fldCharType="separate"/>
      </w:r>
      <w:r>
        <w:rPr>
          <w:color w:val="auto"/>
          <w:highlight w:val="none"/>
        </w:rPr>
        <w:t>- 10 -</w:t>
      </w:r>
      <w:r>
        <w:rPr>
          <w:color w:val="auto"/>
          <w:highlight w:val="none"/>
        </w:rPr>
        <w:fldChar w:fldCharType="end"/>
      </w:r>
      <w:r>
        <w:rPr>
          <w:rFonts w:hint="eastAsia" w:ascii="宋体" w:hAnsi="宋体" w:eastAsia="宋体" w:cs="宋体"/>
          <w:color w:val="auto"/>
          <w:szCs w:val="28"/>
          <w:highlight w:val="none"/>
        </w:rPr>
        <w:fldChar w:fldCharType="end"/>
      </w:r>
    </w:p>
    <w:p>
      <w:pPr>
        <w:pStyle w:val="15"/>
        <w:tabs>
          <w:tab w:val="right" w:leader="dot" w:pos="9639"/>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_Toc20090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rPr>
        <w:t>第五节  投标文件的评估和比较</w:t>
      </w:r>
      <w:r>
        <w:rPr>
          <w:color w:val="auto"/>
          <w:highlight w:val="none"/>
        </w:rPr>
        <w:tab/>
      </w:r>
      <w:r>
        <w:rPr>
          <w:color w:val="auto"/>
          <w:highlight w:val="none"/>
        </w:rPr>
        <w:fldChar w:fldCharType="begin"/>
      </w:r>
      <w:r>
        <w:rPr>
          <w:color w:val="auto"/>
          <w:highlight w:val="none"/>
        </w:rPr>
        <w:instrText xml:space="preserve"> PAGEREF _Toc20090 \h </w:instrText>
      </w:r>
      <w:r>
        <w:rPr>
          <w:color w:val="auto"/>
          <w:highlight w:val="none"/>
        </w:rPr>
        <w:fldChar w:fldCharType="separate"/>
      </w:r>
      <w:r>
        <w:rPr>
          <w:color w:val="auto"/>
          <w:highlight w:val="none"/>
        </w:rPr>
        <w:t>- 11 -</w:t>
      </w:r>
      <w:r>
        <w:rPr>
          <w:color w:val="auto"/>
          <w:highlight w:val="none"/>
        </w:rPr>
        <w:fldChar w:fldCharType="end"/>
      </w:r>
      <w:r>
        <w:rPr>
          <w:rFonts w:hint="eastAsia" w:ascii="宋体" w:hAnsi="宋体" w:eastAsia="宋体" w:cs="宋体"/>
          <w:color w:val="auto"/>
          <w:szCs w:val="28"/>
          <w:highlight w:val="none"/>
        </w:rPr>
        <w:fldChar w:fldCharType="end"/>
      </w:r>
    </w:p>
    <w:p>
      <w:pPr>
        <w:pStyle w:val="9"/>
        <w:tabs>
          <w:tab w:val="right" w:leader="dot" w:pos="9639"/>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_Toc16960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rPr>
        <w:t>15．开标、评标时间</w:t>
      </w:r>
      <w:r>
        <w:rPr>
          <w:color w:val="auto"/>
          <w:highlight w:val="none"/>
        </w:rPr>
        <w:tab/>
      </w:r>
      <w:r>
        <w:rPr>
          <w:color w:val="auto"/>
          <w:highlight w:val="none"/>
        </w:rPr>
        <w:fldChar w:fldCharType="begin"/>
      </w:r>
      <w:r>
        <w:rPr>
          <w:color w:val="auto"/>
          <w:highlight w:val="none"/>
        </w:rPr>
        <w:instrText xml:space="preserve"> PAGEREF _Toc16960 \h </w:instrText>
      </w:r>
      <w:r>
        <w:rPr>
          <w:color w:val="auto"/>
          <w:highlight w:val="none"/>
        </w:rPr>
        <w:fldChar w:fldCharType="separate"/>
      </w:r>
      <w:r>
        <w:rPr>
          <w:color w:val="auto"/>
          <w:highlight w:val="none"/>
        </w:rPr>
        <w:t>- 11 -</w:t>
      </w:r>
      <w:r>
        <w:rPr>
          <w:color w:val="auto"/>
          <w:highlight w:val="none"/>
        </w:rPr>
        <w:fldChar w:fldCharType="end"/>
      </w:r>
      <w:r>
        <w:rPr>
          <w:rFonts w:hint="eastAsia" w:ascii="宋体" w:hAnsi="宋体" w:eastAsia="宋体" w:cs="宋体"/>
          <w:color w:val="auto"/>
          <w:szCs w:val="28"/>
          <w:highlight w:val="none"/>
        </w:rPr>
        <w:fldChar w:fldCharType="end"/>
      </w:r>
    </w:p>
    <w:p>
      <w:pPr>
        <w:pStyle w:val="9"/>
        <w:tabs>
          <w:tab w:val="right" w:leader="dot" w:pos="9639"/>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_Toc6418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rPr>
        <w:t>16．评标委员会</w:t>
      </w:r>
      <w:r>
        <w:rPr>
          <w:color w:val="auto"/>
          <w:highlight w:val="none"/>
        </w:rPr>
        <w:tab/>
      </w:r>
      <w:r>
        <w:rPr>
          <w:color w:val="auto"/>
          <w:highlight w:val="none"/>
        </w:rPr>
        <w:fldChar w:fldCharType="begin"/>
      </w:r>
      <w:r>
        <w:rPr>
          <w:color w:val="auto"/>
          <w:highlight w:val="none"/>
        </w:rPr>
        <w:instrText xml:space="preserve"> PAGEREF _Toc6418 \h </w:instrText>
      </w:r>
      <w:r>
        <w:rPr>
          <w:color w:val="auto"/>
          <w:highlight w:val="none"/>
        </w:rPr>
        <w:fldChar w:fldCharType="separate"/>
      </w:r>
      <w:r>
        <w:rPr>
          <w:color w:val="auto"/>
          <w:highlight w:val="none"/>
        </w:rPr>
        <w:t>- 11 -</w:t>
      </w:r>
      <w:r>
        <w:rPr>
          <w:color w:val="auto"/>
          <w:highlight w:val="none"/>
        </w:rPr>
        <w:fldChar w:fldCharType="end"/>
      </w:r>
      <w:r>
        <w:rPr>
          <w:rFonts w:hint="eastAsia" w:ascii="宋体" w:hAnsi="宋体" w:eastAsia="宋体" w:cs="宋体"/>
          <w:color w:val="auto"/>
          <w:szCs w:val="28"/>
          <w:highlight w:val="none"/>
        </w:rPr>
        <w:fldChar w:fldCharType="end"/>
      </w:r>
    </w:p>
    <w:p>
      <w:pPr>
        <w:pStyle w:val="9"/>
        <w:tabs>
          <w:tab w:val="right" w:leader="dot" w:pos="9639"/>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_Toc287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rPr>
        <w:t>17. 投标文件的初审</w:t>
      </w:r>
      <w:r>
        <w:rPr>
          <w:color w:val="auto"/>
          <w:highlight w:val="none"/>
        </w:rPr>
        <w:tab/>
      </w:r>
      <w:r>
        <w:rPr>
          <w:color w:val="auto"/>
          <w:highlight w:val="none"/>
        </w:rPr>
        <w:fldChar w:fldCharType="begin"/>
      </w:r>
      <w:r>
        <w:rPr>
          <w:color w:val="auto"/>
          <w:highlight w:val="none"/>
        </w:rPr>
        <w:instrText xml:space="preserve"> PAGEREF _Toc287 \h </w:instrText>
      </w:r>
      <w:r>
        <w:rPr>
          <w:color w:val="auto"/>
          <w:highlight w:val="none"/>
        </w:rPr>
        <w:fldChar w:fldCharType="separate"/>
      </w:r>
      <w:r>
        <w:rPr>
          <w:color w:val="auto"/>
          <w:highlight w:val="none"/>
        </w:rPr>
        <w:t>- 11 -</w:t>
      </w:r>
      <w:r>
        <w:rPr>
          <w:color w:val="auto"/>
          <w:highlight w:val="none"/>
        </w:rPr>
        <w:fldChar w:fldCharType="end"/>
      </w:r>
      <w:r>
        <w:rPr>
          <w:rFonts w:hint="eastAsia" w:ascii="宋体" w:hAnsi="宋体" w:eastAsia="宋体" w:cs="宋体"/>
          <w:color w:val="auto"/>
          <w:szCs w:val="28"/>
          <w:highlight w:val="none"/>
        </w:rPr>
        <w:fldChar w:fldCharType="end"/>
      </w:r>
    </w:p>
    <w:p>
      <w:pPr>
        <w:pStyle w:val="9"/>
        <w:tabs>
          <w:tab w:val="right" w:leader="dot" w:pos="9639"/>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_Toc15004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rPr>
        <w:t>18.评标办法</w:t>
      </w:r>
      <w:r>
        <w:rPr>
          <w:color w:val="auto"/>
          <w:highlight w:val="none"/>
        </w:rPr>
        <w:tab/>
      </w:r>
      <w:r>
        <w:rPr>
          <w:color w:val="auto"/>
          <w:highlight w:val="none"/>
        </w:rPr>
        <w:fldChar w:fldCharType="begin"/>
      </w:r>
      <w:r>
        <w:rPr>
          <w:color w:val="auto"/>
          <w:highlight w:val="none"/>
        </w:rPr>
        <w:instrText xml:space="preserve"> PAGEREF _Toc15004 \h </w:instrText>
      </w:r>
      <w:r>
        <w:rPr>
          <w:color w:val="auto"/>
          <w:highlight w:val="none"/>
        </w:rPr>
        <w:fldChar w:fldCharType="separate"/>
      </w:r>
      <w:r>
        <w:rPr>
          <w:color w:val="auto"/>
          <w:highlight w:val="none"/>
        </w:rPr>
        <w:t>- 14 -</w:t>
      </w:r>
      <w:r>
        <w:rPr>
          <w:color w:val="auto"/>
          <w:highlight w:val="none"/>
        </w:rPr>
        <w:fldChar w:fldCharType="end"/>
      </w:r>
      <w:r>
        <w:rPr>
          <w:rFonts w:hint="eastAsia" w:ascii="宋体" w:hAnsi="宋体" w:eastAsia="宋体" w:cs="宋体"/>
          <w:color w:val="auto"/>
          <w:szCs w:val="28"/>
          <w:highlight w:val="none"/>
        </w:rPr>
        <w:fldChar w:fldCharType="end"/>
      </w:r>
    </w:p>
    <w:p>
      <w:pPr>
        <w:pStyle w:val="9"/>
        <w:tabs>
          <w:tab w:val="right" w:leader="dot" w:pos="9639"/>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_Toc21418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rPr>
        <w:t>19. 投标文件的澄清</w:t>
      </w:r>
      <w:r>
        <w:rPr>
          <w:color w:val="auto"/>
          <w:highlight w:val="none"/>
        </w:rPr>
        <w:tab/>
      </w:r>
      <w:r>
        <w:rPr>
          <w:color w:val="auto"/>
          <w:highlight w:val="none"/>
        </w:rPr>
        <w:fldChar w:fldCharType="begin"/>
      </w:r>
      <w:r>
        <w:rPr>
          <w:color w:val="auto"/>
          <w:highlight w:val="none"/>
        </w:rPr>
        <w:instrText xml:space="preserve"> PAGEREF _Toc21418 \h </w:instrText>
      </w:r>
      <w:r>
        <w:rPr>
          <w:color w:val="auto"/>
          <w:highlight w:val="none"/>
        </w:rPr>
        <w:fldChar w:fldCharType="separate"/>
      </w:r>
      <w:r>
        <w:rPr>
          <w:color w:val="auto"/>
          <w:highlight w:val="none"/>
        </w:rPr>
        <w:t>- 23 -</w:t>
      </w:r>
      <w:r>
        <w:rPr>
          <w:color w:val="auto"/>
          <w:highlight w:val="none"/>
        </w:rPr>
        <w:fldChar w:fldCharType="end"/>
      </w:r>
      <w:r>
        <w:rPr>
          <w:rFonts w:hint="eastAsia" w:ascii="宋体" w:hAnsi="宋体" w:eastAsia="宋体" w:cs="宋体"/>
          <w:color w:val="auto"/>
          <w:szCs w:val="28"/>
          <w:highlight w:val="none"/>
        </w:rPr>
        <w:fldChar w:fldCharType="end"/>
      </w:r>
    </w:p>
    <w:p>
      <w:pPr>
        <w:pStyle w:val="9"/>
        <w:tabs>
          <w:tab w:val="right" w:leader="dot" w:pos="9639"/>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_Toc10403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rPr>
        <w:t>20. 比较与评价</w:t>
      </w:r>
      <w:r>
        <w:rPr>
          <w:color w:val="auto"/>
          <w:highlight w:val="none"/>
        </w:rPr>
        <w:tab/>
      </w:r>
      <w:r>
        <w:rPr>
          <w:color w:val="auto"/>
          <w:highlight w:val="none"/>
        </w:rPr>
        <w:fldChar w:fldCharType="begin"/>
      </w:r>
      <w:r>
        <w:rPr>
          <w:color w:val="auto"/>
          <w:highlight w:val="none"/>
        </w:rPr>
        <w:instrText xml:space="preserve"> PAGEREF _Toc10403 \h </w:instrText>
      </w:r>
      <w:r>
        <w:rPr>
          <w:color w:val="auto"/>
          <w:highlight w:val="none"/>
        </w:rPr>
        <w:fldChar w:fldCharType="separate"/>
      </w:r>
      <w:r>
        <w:rPr>
          <w:color w:val="auto"/>
          <w:highlight w:val="none"/>
        </w:rPr>
        <w:t>- 23 -</w:t>
      </w:r>
      <w:r>
        <w:rPr>
          <w:color w:val="auto"/>
          <w:highlight w:val="none"/>
        </w:rPr>
        <w:fldChar w:fldCharType="end"/>
      </w:r>
      <w:r>
        <w:rPr>
          <w:rFonts w:hint="eastAsia" w:ascii="宋体" w:hAnsi="宋体" w:eastAsia="宋体" w:cs="宋体"/>
          <w:color w:val="auto"/>
          <w:szCs w:val="28"/>
          <w:highlight w:val="none"/>
        </w:rPr>
        <w:fldChar w:fldCharType="end"/>
      </w:r>
    </w:p>
    <w:p>
      <w:pPr>
        <w:pStyle w:val="15"/>
        <w:tabs>
          <w:tab w:val="right" w:leader="dot" w:pos="9639"/>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_Toc26716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rPr>
        <w:t>第六节 定标与签订合同</w:t>
      </w:r>
      <w:r>
        <w:rPr>
          <w:color w:val="auto"/>
          <w:highlight w:val="none"/>
        </w:rPr>
        <w:tab/>
      </w:r>
      <w:r>
        <w:rPr>
          <w:color w:val="auto"/>
          <w:highlight w:val="none"/>
        </w:rPr>
        <w:fldChar w:fldCharType="begin"/>
      </w:r>
      <w:r>
        <w:rPr>
          <w:color w:val="auto"/>
          <w:highlight w:val="none"/>
        </w:rPr>
        <w:instrText xml:space="preserve"> PAGEREF _Toc26716 \h </w:instrText>
      </w:r>
      <w:r>
        <w:rPr>
          <w:color w:val="auto"/>
          <w:highlight w:val="none"/>
        </w:rPr>
        <w:fldChar w:fldCharType="separate"/>
      </w:r>
      <w:r>
        <w:rPr>
          <w:color w:val="auto"/>
          <w:highlight w:val="none"/>
        </w:rPr>
        <w:t>- 24 -</w:t>
      </w:r>
      <w:r>
        <w:rPr>
          <w:color w:val="auto"/>
          <w:highlight w:val="none"/>
        </w:rPr>
        <w:fldChar w:fldCharType="end"/>
      </w:r>
      <w:r>
        <w:rPr>
          <w:rFonts w:hint="eastAsia" w:ascii="宋体" w:hAnsi="宋体" w:eastAsia="宋体" w:cs="宋体"/>
          <w:color w:val="auto"/>
          <w:szCs w:val="28"/>
          <w:highlight w:val="none"/>
        </w:rPr>
        <w:fldChar w:fldCharType="end"/>
      </w:r>
    </w:p>
    <w:p>
      <w:pPr>
        <w:pStyle w:val="9"/>
        <w:tabs>
          <w:tab w:val="right" w:leader="dot" w:pos="9639"/>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_Toc1041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rPr>
        <w:t>21. 定标准则</w:t>
      </w:r>
      <w:r>
        <w:rPr>
          <w:color w:val="auto"/>
          <w:highlight w:val="none"/>
        </w:rPr>
        <w:tab/>
      </w:r>
      <w:r>
        <w:rPr>
          <w:color w:val="auto"/>
          <w:highlight w:val="none"/>
        </w:rPr>
        <w:fldChar w:fldCharType="begin"/>
      </w:r>
      <w:r>
        <w:rPr>
          <w:color w:val="auto"/>
          <w:highlight w:val="none"/>
        </w:rPr>
        <w:instrText xml:space="preserve"> PAGEREF _Toc1041 \h </w:instrText>
      </w:r>
      <w:r>
        <w:rPr>
          <w:color w:val="auto"/>
          <w:highlight w:val="none"/>
        </w:rPr>
        <w:fldChar w:fldCharType="separate"/>
      </w:r>
      <w:r>
        <w:rPr>
          <w:color w:val="auto"/>
          <w:highlight w:val="none"/>
        </w:rPr>
        <w:t>- 24 -</w:t>
      </w:r>
      <w:r>
        <w:rPr>
          <w:color w:val="auto"/>
          <w:highlight w:val="none"/>
        </w:rPr>
        <w:fldChar w:fldCharType="end"/>
      </w:r>
      <w:r>
        <w:rPr>
          <w:rFonts w:hint="eastAsia" w:ascii="宋体" w:hAnsi="宋体" w:eastAsia="宋体" w:cs="宋体"/>
          <w:color w:val="auto"/>
          <w:szCs w:val="28"/>
          <w:highlight w:val="none"/>
        </w:rPr>
        <w:fldChar w:fldCharType="end"/>
      </w:r>
    </w:p>
    <w:p>
      <w:pPr>
        <w:pStyle w:val="9"/>
        <w:tabs>
          <w:tab w:val="right" w:leader="dot" w:pos="9639"/>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_Toc7336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rPr>
        <w:t>22. 中标通知</w:t>
      </w:r>
      <w:r>
        <w:rPr>
          <w:color w:val="auto"/>
          <w:highlight w:val="none"/>
        </w:rPr>
        <w:tab/>
      </w:r>
      <w:r>
        <w:rPr>
          <w:color w:val="auto"/>
          <w:highlight w:val="none"/>
        </w:rPr>
        <w:fldChar w:fldCharType="begin"/>
      </w:r>
      <w:r>
        <w:rPr>
          <w:color w:val="auto"/>
          <w:highlight w:val="none"/>
        </w:rPr>
        <w:instrText xml:space="preserve"> PAGEREF _Toc7336 \h </w:instrText>
      </w:r>
      <w:r>
        <w:rPr>
          <w:color w:val="auto"/>
          <w:highlight w:val="none"/>
        </w:rPr>
        <w:fldChar w:fldCharType="separate"/>
      </w:r>
      <w:r>
        <w:rPr>
          <w:color w:val="auto"/>
          <w:highlight w:val="none"/>
        </w:rPr>
        <w:t>- 24 -</w:t>
      </w:r>
      <w:r>
        <w:rPr>
          <w:color w:val="auto"/>
          <w:highlight w:val="none"/>
        </w:rPr>
        <w:fldChar w:fldCharType="end"/>
      </w:r>
      <w:r>
        <w:rPr>
          <w:rFonts w:hint="eastAsia" w:ascii="宋体" w:hAnsi="宋体" w:eastAsia="宋体" w:cs="宋体"/>
          <w:color w:val="auto"/>
          <w:szCs w:val="28"/>
          <w:highlight w:val="none"/>
        </w:rPr>
        <w:fldChar w:fldCharType="end"/>
      </w:r>
    </w:p>
    <w:p>
      <w:pPr>
        <w:pStyle w:val="9"/>
        <w:tabs>
          <w:tab w:val="right" w:leader="dot" w:pos="9639"/>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_Toc29933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rPr>
        <w:t>23. 签订合同</w:t>
      </w:r>
      <w:r>
        <w:rPr>
          <w:color w:val="auto"/>
          <w:highlight w:val="none"/>
        </w:rPr>
        <w:tab/>
      </w:r>
      <w:r>
        <w:rPr>
          <w:color w:val="auto"/>
          <w:highlight w:val="none"/>
        </w:rPr>
        <w:fldChar w:fldCharType="begin"/>
      </w:r>
      <w:r>
        <w:rPr>
          <w:color w:val="auto"/>
          <w:highlight w:val="none"/>
        </w:rPr>
        <w:instrText xml:space="preserve"> PAGEREF _Toc29933 \h </w:instrText>
      </w:r>
      <w:r>
        <w:rPr>
          <w:color w:val="auto"/>
          <w:highlight w:val="none"/>
        </w:rPr>
        <w:fldChar w:fldCharType="separate"/>
      </w:r>
      <w:r>
        <w:rPr>
          <w:color w:val="auto"/>
          <w:highlight w:val="none"/>
        </w:rPr>
        <w:t>- 24 -</w:t>
      </w:r>
      <w:r>
        <w:rPr>
          <w:color w:val="auto"/>
          <w:highlight w:val="none"/>
        </w:rPr>
        <w:fldChar w:fldCharType="end"/>
      </w:r>
      <w:r>
        <w:rPr>
          <w:rFonts w:hint="eastAsia" w:ascii="宋体" w:hAnsi="宋体" w:eastAsia="宋体" w:cs="宋体"/>
          <w:color w:val="auto"/>
          <w:szCs w:val="28"/>
          <w:highlight w:val="none"/>
        </w:rPr>
        <w:fldChar w:fldCharType="end"/>
      </w:r>
    </w:p>
    <w:p>
      <w:pPr>
        <w:pStyle w:val="14"/>
        <w:tabs>
          <w:tab w:val="right" w:leader="dot" w:pos="9639"/>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_Toc5746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32"/>
          <w:highlight w:val="none"/>
        </w:rPr>
        <w:t>第三章　招标内容及要求</w:t>
      </w:r>
      <w:r>
        <w:rPr>
          <w:color w:val="auto"/>
          <w:highlight w:val="none"/>
        </w:rPr>
        <w:tab/>
      </w:r>
      <w:r>
        <w:rPr>
          <w:color w:val="auto"/>
          <w:highlight w:val="none"/>
        </w:rPr>
        <w:fldChar w:fldCharType="begin"/>
      </w:r>
      <w:r>
        <w:rPr>
          <w:color w:val="auto"/>
          <w:highlight w:val="none"/>
        </w:rPr>
        <w:instrText xml:space="preserve"> PAGEREF _Toc5746 \h </w:instrText>
      </w:r>
      <w:r>
        <w:rPr>
          <w:color w:val="auto"/>
          <w:highlight w:val="none"/>
        </w:rPr>
        <w:fldChar w:fldCharType="separate"/>
      </w:r>
      <w:r>
        <w:rPr>
          <w:color w:val="auto"/>
          <w:highlight w:val="none"/>
        </w:rPr>
        <w:t>- 25 -</w:t>
      </w:r>
      <w:r>
        <w:rPr>
          <w:color w:val="auto"/>
          <w:highlight w:val="none"/>
        </w:rPr>
        <w:fldChar w:fldCharType="end"/>
      </w:r>
      <w:r>
        <w:rPr>
          <w:rFonts w:hint="eastAsia" w:ascii="宋体" w:hAnsi="宋体" w:eastAsia="宋体" w:cs="宋体"/>
          <w:color w:val="auto"/>
          <w:szCs w:val="28"/>
          <w:highlight w:val="none"/>
        </w:rPr>
        <w:fldChar w:fldCharType="end"/>
      </w:r>
    </w:p>
    <w:p>
      <w:pPr>
        <w:pStyle w:val="15"/>
        <w:tabs>
          <w:tab w:val="right" w:leader="dot" w:pos="9639"/>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_Toc16790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rPr>
        <w:t>第一节 招标项目需求</w:t>
      </w:r>
      <w:r>
        <w:rPr>
          <w:color w:val="auto"/>
          <w:highlight w:val="none"/>
        </w:rPr>
        <w:tab/>
      </w:r>
      <w:r>
        <w:rPr>
          <w:color w:val="auto"/>
          <w:highlight w:val="none"/>
        </w:rPr>
        <w:fldChar w:fldCharType="begin"/>
      </w:r>
      <w:r>
        <w:rPr>
          <w:color w:val="auto"/>
          <w:highlight w:val="none"/>
        </w:rPr>
        <w:instrText xml:space="preserve"> PAGEREF _Toc16790 \h </w:instrText>
      </w:r>
      <w:r>
        <w:rPr>
          <w:color w:val="auto"/>
          <w:highlight w:val="none"/>
        </w:rPr>
        <w:fldChar w:fldCharType="separate"/>
      </w:r>
      <w:r>
        <w:rPr>
          <w:color w:val="auto"/>
          <w:highlight w:val="none"/>
        </w:rPr>
        <w:t>- 25 -</w:t>
      </w:r>
      <w:r>
        <w:rPr>
          <w:color w:val="auto"/>
          <w:highlight w:val="none"/>
        </w:rPr>
        <w:fldChar w:fldCharType="end"/>
      </w:r>
      <w:r>
        <w:rPr>
          <w:rFonts w:hint="eastAsia" w:ascii="宋体" w:hAnsi="宋体" w:eastAsia="宋体" w:cs="宋体"/>
          <w:color w:val="auto"/>
          <w:szCs w:val="28"/>
          <w:highlight w:val="none"/>
        </w:rPr>
        <w:fldChar w:fldCharType="end"/>
      </w:r>
    </w:p>
    <w:p>
      <w:pPr>
        <w:pStyle w:val="15"/>
        <w:tabs>
          <w:tab w:val="right" w:leader="dot" w:pos="9639"/>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_Toc9470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rPr>
        <w:t>第二节 商务技术响应要求</w:t>
      </w:r>
      <w:r>
        <w:rPr>
          <w:color w:val="auto"/>
          <w:highlight w:val="none"/>
        </w:rPr>
        <w:tab/>
      </w:r>
      <w:r>
        <w:rPr>
          <w:color w:val="auto"/>
          <w:highlight w:val="none"/>
        </w:rPr>
        <w:fldChar w:fldCharType="begin"/>
      </w:r>
      <w:r>
        <w:rPr>
          <w:color w:val="auto"/>
          <w:highlight w:val="none"/>
        </w:rPr>
        <w:instrText xml:space="preserve"> PAGEREF _Toc9470 \h </w:instrText>
      </w:r>
      <w:r>
        <w:rPr>
          <w:color w:val="auto"/>
          <w:highlight w:val="none"/>
        </w:rPr>
        <w:fldChar w:fldCharType="separate"/>
      </w:r>
      <w:r>
        <w:rPr>
          <w:color w:val="auto"/>
          <w:highlight w:val="none"/>
        </w:rPr>
        <w:t>- 29 -</w:t>
      </w:r>
      <w:r>
        <w:rPr>
          <w:color w:val="auto"/>
          <w:highlight w:val="none"/>
        </w:rPr>
        <w:fldChar w:fldCharType="end"/>
      </w:r>
      <w:r>
        <w:rPr>
          <w:rFonts w:hint="eastAsia" w:ascii="宋体" w:hAnsi="宋体" w:eastAsia="宋体" w:cs="宋体"/>
          <w:color w:val="auto"/>
          <w:szCs w:val="28"/>
          <w:highlight w:val="none"/>
        </w:rPr>
        <w:fldChar w:fldCharType="end"/>
      </w:r>
    </w:p>
    <w:p>
      <w:pPr>
        <w:pStyle w:val="15"/>
        <w:tabs>
          <w:tab w:val="right" w:leader="dot" w:pos="9639"/>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_Toc20603 </w:instrText>
      </w:r>
      <w:r>
        <w:rPr>
          <w:rFonts w:hint="eastAsia" w:ascii="宋体" w:hAnsi="宋体" w:eastAsia="宋体" w:cs="宋体"/>
          <w:color w:val="auto"/>
          <w:szCs w:val="28"/>
          <w:highlight w:val="none"/>
        </w:rPr>
        <w:fldChar w:fldCharType="separate"/>
      </w:r>
      <w:r>
        <w:rPr>
          <w:rFonts w:hint="eastAsia" w:ascii="宋体" w:hAnsi="宋体" w:eastAsia="宋体" w:cs="宋体"/>
          <w:color w:val="auto"/>
          <w:szCs w:val="28"/>
          <w:highlight w:val="none"/>
        </w:rPr>
        <w:t>第三节 报价要求</w:t>
      </w:r>
      <w:r>
        <w:rPr>
          <w:color w:val="auto"/>
          <w:highlight w:val="none"/>
        </w:rPr>
        <w:tab/>
      </w:r>
      <w:r>
        <w:rPr>
          <w:color w:val="auto"/>
          <w:highlight w:val="none"/>
        </w:rPr>
        <w:fldChar w:fldCharType="begin"/>
      </w:r>
      <w:r>
        <w:rPr>
          <w:color w:val="auto"/>
          <w:highlight w:val="none"/>
        </w:rPr>
        <w:instrText xml:space="preserve"> PAGEREF _Toc20603 \h </w:instrText>
      </w:r>
      <w:r>
        <w:rPr>
          <w:color w:val="auto"/>
          <w:highlight w:val="none"/>
        </w:rPr>
        <w:fldChar w:fldCharType="separate"/>
      </w:r>
      <w:r>
        <w:rPr>
          <w:color w:val="auto"/>
          <w:highlight w:val="none"/>
        </w:rPr>
        <w:t>- 30 -</w:t>
      </w:r>
      <w:r>
        <w:rPr>
          <w:color w:val="auto"/>
          <w:highlight w:val="none"/>
        </w:rPr>
        <w:fldChar w:fldCharType="end"/>
      </w:r>
      <w:r>
        <w:rPr>
          <w:rFonts w:hint="eastAsia" w:ascii="宋体" w:hAnsi="宋体" w:eastAsia="宋体" w:cs="宋体"/>
          <w:color w:val="auto"/>
          <w:szCs w:val="28"/>
          <w:highlight w:val="none"/>
        </w:rPr>
        <w:fldChar w:fldCharType="end"/>
      </w:r>
    </w:p>
    <w:p>
      <w:pPr>
        <w:pStyle w:val="14"/>
        <w:tabs>
          <w:tab w:val="right" w:leader="dot" w:pos="9639"/>
        </w:tabs>
        <w:rPr>
          <w:color w:val="auto"/>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color w:val="auto"/>
          <w:szCs w:val="28"/>
          <w:highlight w:val="none"/>
        </w:rPr>
        <w:instrText xml:space="preserve"> HYPERLINK \l _Toc82 </w:instrText>
      </w:r>
      <w:r>
        <w:rPr>
          <w:rFonts w:hint="eastAsia" w:ascii="宋体" w:hAnsi="宋体" w:eastAsia="宋体" w:cs="宋体"/>
          <w:color w:val="auto"/>
          <w:szCs w:val="28"/>
          <w:highlight w:val="none"/>
        </w:rPr>
        <w:fldChar w:fldCharType="separate"/>
      </w:r>
      <w:r>
        <w:rPr>
          <w:rFonts w:hint="eastAsia" w:asciiTheme="majorEastAsia" w:hAnsiTheme="majorEastAsia" w:eastAsiaTheme="majorEastAsia" w:cstheme="majorEastAsia"/>
          <w:color w:val="auto"/>
          <w:highlight w:val="none"/>
        </w:rPr>
        <w:t>第四章  投标文件格式</w:t>
      </w:r>
      <w:r>
        <w:rPr>
          <w:color w:val="auto"/>
          <w:highlight w:val="none"/>
        </w:rPr>
        <w:tab/>
      </w:r>
      <w:r>
        <w:rPr>
          <w:color w:val="auto"/>
          <w:highlight w:val="none"/>
        </w:rPr>
        <w:fldChar w:fldCharType="begin"/>
      </w:r>
      <w:r>
        <w:rPr>
          <w:color w:val="auto"/>
          <w:highlight w:val="none"/>
        </w:rPr>
        <w:instrText xml:space="preserve"> PAGEREF _Toc82 \h </w:instrText>
      </w:r>
      <w:r>
        <w:rPr>
          <w:color w:val="auto"/>
          <w:highlight w:val="none"/>
        </w:rPr>
        <w:fldChar w:fldCharType="separate"/>
      </w:r>
      <w:r>
        <w:rPr>
          <w:color w:val="auto"/>
          <w:highlight w:val="none"/>
        </w:rPr>
        <w:t>- 32 -</w:t>
      </w:r>
      <w:r>
        <w:rPr>
          <w:color w:val="auto"/>
          <w:highlight w:val="none"/>
        </w:rPr>
        <w:fldChar w:fldCharType="end"/>
      </w:r>
      <w:r>
        <w:rPr>
          <w:rFonts w:hint="eastAsia" w:ascii="宋体" w:hAnsi="宋体" w:eastAsia="宋体" w:cs="宋体"/>
          <w:color w:val="auto"/>
          <w:szCs w:val="28"/>
          <w:highlight w:val="none"/>
        </w:rPr>
        <w:fldChar w:fldCharType="end"/>
      </w:r>
    </w:p>
    <w:p>
      <w:pPr>
        <w:pStyle w:val="14"/>
        <w:tabs>
          <w:tab w:val="right" w:leader="dot" w:pos="9061"/>
        </w:tabs>
        <w:spacing w:before="0" w:after="0" w:line="360" w:lineRule="auto"/>
        <w:ind w:firstLine="235"/>
        <w:rPr>
          <w:rFonts w:hint="eastAsia" w:asciiTheme="majorEastAsia" w:hAnsiTheme="majorEastAsia" w:eastAsiaTheme="majorEastAsia" w:cstheme="majorEastAsia"/>
          <w:bCs w:val="0"/>
          <w:color w:val="auto"/>
          <w:kern w:val="0"/>
          <w:szCs w:val="32"/>
          <w:highlight w:val="none"/>
        </w:rPr>
        <w:sectPr>
          <w:pgSz w:w="11907" w:h="16840"/>
          <w:pgMar w:top="1134" w:right="1134" w:bottom="1134" w:left="1134" w:header="857" w:footer="998" w:gutter="0"/>
          <w:cols w:space="0" w:num="1"/>
          <w:docGrid w:linePitch="286" w:charSpace="0"/>
        </w:sectPr>
      </w:pPr>
      <w:r>
        <w:rPr>
          <w:rFonts w:hint="eastAsia" w:ascii="宋体" w:hAnsi="宋体" w:eastAsia="宋体" w:cs="宋体"/>
          <w:color w:val="auto"/>
          <w:sz w:val="28"/>
          <w:szCs w:val="28"/>
          <w:highlight w:val="none"/>
        </w:rPr>
        <w:fldChar w:fldCharType="end"/>
      </w:r>
      <w:bookmarkStart w:id="8" w:name="_Toc51489303"/>
    </w:p>
    <w:p>
      <w:pPr>
        <w:pStyle w:val="2"/>
        <w:keepNext w:val="0"/>
        <w:keepLines w:val="0"/>
        <w:spacing w:before="120" w:beforeLines="50" w:after="240" w:afterLines="100" w:line="360" w:lineRule="auto"/>
        <w:ind w:firstLine="314"/>
        <w:jc w:val="center"/>
        <w:rPr>
          <w:rFonts w:hint="eastAsia" w:asciiTheme="majorEastAsia" w:hAnsiTheme="majorEastAsia" w:eastAsiaTheme="majorEastAsia" w:cstheme="majorEastAsia"/>
          <w:color w:val="auto"/>
          <w:szCs w:val="32"/>
          <w:highlight w:val="none"/>
        </w:rPr>
      </w:pPr>
      <w:bookmarkStart w:id="9" w:name="_Toc31121"/>
      <w:bookmarkStart w:id="10" w:name="_Toc10405"/>
      <w:bookmarkStart w:id="11" w:name="_Toc12760"/>
      <w:bookmarkStart w:id="12" w:name="_Toc3518"/>
      <w:bookmarkStart w:id="13" w:name="_Toc26070"/>
      <w:bookmarkStart w:id="14" w:name="_Toc23636"/>
      <w:bookmarkStart w:id="15" w:name="_Toc25645"/>
      <w:bookmarkStart w:id="16" w:name="_Toc13181"/>
      <w:bookmarkStart w:id="17" w:name="_Toc6214"/>
      <w:bookmarkStart w:id="18" w:name="_Toc12074"/>
      <w:r>
        <w:rPr>
          <w:rFonts w:hint="eastAsia" w:asciiTheme="majorEastAsia" w:hAnsiTheme="majorEastAsia" w:eastAsiaTheme="majorEastAsia" w:cstheme="majorEastAsia"/>
          <w:bCs w:val="0"/>
          <w:color w:val="auto"/>
          <w:kern w:val="0"/>
          <w:szCs w:val="32"/>
          <w:highlight w:val="none"/>
        </w:rPr>
        <w:t>第一章　</w:t>
      </w:r>
      <w:bookmarkEnd w:id="9"/>
      <w:bookmarkEnd w:id="10"/>
      <w:bookmarkEnd w:id="11"/>
      <w:bookmarkEnd w:id="12"/>
      <w:bookmarkEnd w:id="13"/>
      <w:r>
        <w:rPr>
          <w:rFonts w:hint="eastAsia" w:asciiTheme="majorEastAsia" w:hAnsiTheme="majorEastAsia" w:eastAsiaTheme="majorEastAsia" w:cstheme="majorEastAsia"/>
          <w:bCs w:val="0"/>
          <w:color w:val="auto"/>
          <w:kern w:val="0"/>
          <w:szCs w:val="32"/>
          <w:highlight w:val="none"/>
        </w:rPr>
        <w:t>招标公</w:t>
      </w:r>
      <w:r>
        <w:rPr>
          <w:rFonts w:hint="eastAsia" w:asciiTheme="majorEastAsia" w:hAnsiTheme="majorEastAsia" w:eastAsiaTheme="majorEastAsia" w:cstheme="majorEastAsia"/>
          <w:bCs w:val="0"/>
          <w:color w:val="auto"/>
          <w:kern w:val="0"/>
          <w:szCs w:val="32"/>
          <w:highlight w:val="none"/>
          <w:lang w:val="en-US" w:eastAsia="zh-CN"/>
        </w:rPr>
        <w:t>告</w:t>
      </w:r>
      <w:bookmarkEnd w:id="14"/>
      <w:bookmarkEnd w:id="15"/>
      <w:bookmarkEnd w:id="16"/>
      <w:bookmarkEnd w:id="17"/>
      <w:bookmarkEnd w:id="18"/>
    </w:p>
    <w:p>
      <w:pPr>
        <w:pStyle w:val="17"/>
        <w:shd w:val="clear" w:color="auto" w:fill="FFFFFF"/>
        <w:spacing w:after="120" w:afterLines="50" w:line="360" w:lineRule="auto"/>
        <w:ind w:firstLine="560" w:firstLineChars="200"/>
        <w:rPr>
          <w:rFonts w:hint="eastAsia" w:asciiTheme="majorEastAsia" w:hAnsiTheme="majorEastAsia" w:eastAsiaTheme="majorEastAsia" w:cstheme="majorEastAsia"/>
          <w:color w:val="auto"/>
          <w:kern w:val="0"/>
          <w:sz w:val="28"/>
          <w:szCs w:val="28"/>
          <w:highlight w:val="none"/>
        </w:rPr>
      </w:pPr>
      <w:r>
        <w:rPr>
          <w:rFonts w:hint="eastAsia" w:asciiTheme="majorEastAsia" w:hAnsiTheme="majorEastAsia" w:eastAsiaTheme="majorEastAsia" w:cstheme="majorEastAsia"/>
          <w:color w:val="auto"/>
          <w:kern w:val="0"/>
          <w:sz w:val="28"/>
          <w:szCs w:val="28"/>
          <w:highlight w:val="none"/>
        </w:rPr>
        <w:t>厦门国贸城市服务集团股份有限公司为保证管辖项目</w:t>
      </w:r>
      <w:r>
        <w:rPr>
          <w:rFonts w:hint="eastAsia" w:asciiTheme="majorEastAsia" w:hAnsiTheme="majorEastAsia" w:eastAsiaTheme="majorEastAsia" w:cstheme="majorEastAsia"/>
          <w:color w:val="auto"/>
          <w:kern w:val="0"/>
          <w:sz w:val="28"/>
          <w:szCs w:val="28"/>
          <w:highlight w:val="none"/>
          <w:lang w:eastAsia="zh-CN"/>
        </w:rPr>
        <w:t>上海国贸璟上</w:t>
      </w:r>
      <w:r>
        <w:rPr>
          <w:rFonts w:hint="eastAsia" w:asciiTheme="majorEastAsia" w:hAnsiTheme="majorEastAsia" w:eastAsiaTheme="majorEastAsia" w:cstheme="majorEastAsia"/>
          <w:color w:val="auto"/>
          <w:kern w:val="0"/>
          <w:sz w:val="28"/>
          <w:szCs w:val="28"/>
          <w:highlight w:val="none"/>
        </w:rPr>
        <w:t>的整体形象，进一步做好安保管理与服务，落实各项生产安全和消防安全防范措施，现</w:t>
      </w:r>
      <w:r>
        <w:rPr>
          <w:rFonts w:hint="eastAsia" w:asciiTheme="majorEastAsia" w:hAnsiTheme="majorEastAsia" w:eastAsiaTheme="majorEastAsia" w:cstheme="majorEastAsia"/>
          <w:color w:val="auto"/>
          <w:sz w:val="28"/>
          <w:szCs w:val="28"/>
          <w:highlight w:val="none"/>
        </w:rPr>
        <w:t>对此项目保安服务进行公开招标</w:t>
      </w:r>
      <w:r>
        <w:rPr>
          <w:rFonts w:hint="eastAsia" w:asciiTheme="majorEastAsia" w:hAnsiTheme="majorEastAsia" w:eastAsiaTheme="majorEastAsia" w:cstheme="majorEastAsia"/>
          <w:color w:val="auto"/>
          <w:kern w:val="0"/>
          <w:sz w:val="28"/>
          <w:szCs w:val="28"/>
          <w:highlight w:val="none"/>
        </w:rPr>
        <w:t>，</w:t>
      </w:r>
      <w:r>
        <w:rPr>
          <w:rFonts w:hint="eastAsia" w:asciiTheme="majorEastAsia" w:hAnsiTheme="majorEastAsia" w:eastAsiaTheme="majorEastAsia" w:cstheme="majorEastAsia"/>
          <w:bCs w:val="0"/>
          <w:color w:val="auto"/>
          <w:kern w:val="0"/>
          <w:sz w:val="28"/>
          <w:szCs w:val="28"/>
          <w:highlight w:val="none"/>
          <w:lang w:val="zh-CN"/>
        </w:rPr>
        <w:t>欢迎符合资格、专业的公司参加投标。</w:t>
      </w:r>
    </w:p>
    <w:p>
      <w:pPr>
        <w:pStyle w:val="17"/>
        <w:shd w:val="clear" w:color="auto" w:fill="FFFFFF"/>
        <w:spacing w:after="120" w:afterLines="50" w:line="360" w:lineRule="auto"/>
        <w:ind w:firstLine="560" w:firstLineChars="200"/>
        <w:rPr>
          <w:rFonts w:hint="eastAsia" w:asciiTheme="majorEastAsia" w:hAnsiTheme="majorEastAsia" w:eastAsiaTheme="majorEastAsia" w:cstheme="majorEastAsia"/>
          <w:color w:val="auto"/>
          <w:kern w:val="0"/>
          <w:sz w:val="28"/>
          <w:szCs w:val="28"/>
          <w:highlight w:val="none"/>
        </w:rPr>
      </w:pPr>
      <w:r>
        <w:rPr>
          <w:rFonts w:hint="eastAsia" w:asciiTheme="majorEastAsia" w:hAnsiTheme="majorEastAsia" w:eastAsiaTheme="majorEastAsia" w:cstheme="majorEastAsia"/>
          <w:color w:val="auto"/>
          <w:kern w:val="0"/>
          <w:sz w:val="28"/>
          <w:szCs w:val="28"/>
          <w:highlight w:val="none"/>
        </w:rPr>
        <w:t>若有意参加此次招标，请自行在本网站下载招标文件，此次招标的截标时间为2024年</w:t>
      </w:r>
      <w:r>
        <w:rPr>
          <w:rFonts w:hint="eastAsia" w:asciiTheme="majorEastAsia" w:hAnsiTheme="majorEastAsia" w:eastAsiaTheme="majorEastAsia" w:cstheme="majorEastAsia"/>
          <w:color w:val="auto"/>
          <w:kern w:val="0"/>
          <w:sz w:val="28"/>
          <w:szCs w:val="28"/>
          <w:highlight w:val="none"/>
          <w:lang w:val="en-US" w:eastAsia="zh-CN"/>
        </w:rPr>
        <w:t>11</w:t>
      </w:r>
      <w:r>
        <w:rPr>
          <w:rFonts w:hint="eastAsia" w:asciiTheme="majorEastAsia" w:hAnsiTheme="majorEastAsia" w:eastAsiaTheme="majorEastAsia" w:cstheme="majorEastAsia"/>
          <w:color w:val="auto"/>
          <w:kern w:val="0"/>
          <w:sz w:val="28"/>
          <w:szCs w:val="28"/>
          <w:highlight w:val="none"/>
        </w:rPr>
        <w:t>月</w:t>
      </w:r>
      <w:r>
        <w:rPr>
          <w:rFonts w:hint="eastAsia" w:asciiTheme="majorEastAsia" w:hAnsiTheme="majorEastAsia" w:eastAsiaTheme="majorEastAsia" w:cstheme="majorEastAsia"/>
          <w:color w:val="auto"/>
          <w:kern w:val="0"/>
          <w:sz w:val="28"/>
          <w:szCs w:val="28"/>
          <w:highlight w:val="none"/>
          <w:lang w:val="en-US" w:eastAsia="zh-CN"/>
        </w:rPr>
        <w:t>26</w:t>
      </w:r>
      <w:r>
        <w:rPr>
          <w:rFonts w:hint="eastAsia" w:asciiTheme="majorEastAsia" w:hAnsiTheme="majorEastAsia" w:eastAsiaTheme="majorEastAsia" w:cstheme="majorEastAsia"/>
          <w:color w:val="auto"/>
          <w:kern w:val="0"/>
          <w:sz w:val="28"/>
          <w:szCs w:val="28"/>
          <w:highlight w:val="none"/>
        </w:rPr>
        <w:t>日17时</w:t>
      </w:r>
      <w:r>
        <w:rPr>
          <w:rFonts w:hint="eastAsia" w:asciiTheme="majorEastAsia" w:hAnsiTheme="majorEastAsia" w:eastAsiaTheme="majorEastAsia" w:cstheme="majorEastAsia"/>
          <w:color w:val="auto"/>
          <w:kern w:val="0"/>
          <w:sz w:val="28"/>
          <w:szCs w:val="28"/>
          <w:highlight w:val="none"/>
          <w:lang w:val="en-US" w:eastAsia="zh-CN"/>
        </w:rPr>
        <w:t>30分</w:t>
      </w:r>
      <w:r>
        <w:rPr>
          <w:rFonts w:hint="eastAsia" w:asciiTheme="majorEastAsia" w:hAnsiTheme="majorEastAsia" w:eastAsiaTheme="majorEastAsia" w:cstheme="majorEastAsia"/>
          <w:color w:val="auto"/>
          <w:kern w:val="0"/>
          <w:sz w:val="28"/>
          <w:szCs w:val="28"/>
          <w:highlight w:val="none"/>
        </w:rPr>
        <w:t>，投标人需在2024年1</w:t>
      </w:r>
      <w:r>
        <w:rPr>
          <w:rFonts w:hint="eastAsia" w:asciiTheme="majorEastAsia" w:hAnsiTheme="majorEastAsia" w:eastAsiaTheme="majorEastAsia" w:cstheme="majorEastAsia"/>
          <w:color w:val="auto"/>
          <w:kern w:val="0"/>
          <w:sz w:val="28"/>
          <w:szCs w:val="28"/>
          <w:highlight w:val="none"/>
          <w:lang w:val="en-US" w:eastAsia="zh-CN"/>
        </w:rPr>
        <w:t>1</w:t>
      </w:r>
      <w:r>
        <w:rPr>
          <w:rFonts w:hint="eastAsia" w:asciiTheme="majorEastAsia" w:hAnsiTheme="majorEastAsia" w:eastAsiaTheme="majorEastAsia" w:cstheme="majorEastAsia"/>
          <w:color w:val="auto"/>
          <w:kern w:val="0"/>
          <w:sz w:val="28"/>
          <w:szCs w:val="28"/>
          <w:highlight w:val="none"/>
        </w:rPr>
        <w:t>月</w:t>
      </w:r>
      <w:r>
        <w:rPr>
          <w:rFonts w:hint="eastAsia" w:asciiTheme="majorEastAsia" w:hAnsiTheme="majorEastAsia" w:eastAsiaTheme="majorEastAsia" w:cstheme="majorEastAsia"/>
          <w:color w:val="auto"/>
          <w:kern w:val="0"/>
          <w:sz w:val="28"/>
          <w:szCs w:val="28"/>
          <w:highlight w:val="none"/>
          <w:lang w:val="en-US" w:eastAsia="zh-CN"/>
        </w:rPr>
        <w:t>26</w:t>
      </w:r>
      <w:r>
        <w:rPr>
          <w:rFonts w:hint="eastAsia" w:asciiTheme="majorEastAsia" w:hAnsiTheme="majorEastAsia" w:eastAsiaTheme="majorEastAsia" w:cstheme="majorEastAsia"/>
          <w:color w:val="auto"/>
          <w:kern w:val="0"/>
          <w:sz w:val="28"/>
          <w:szCs w:val="28"/>
          <w:highlight w:val="none"/>
        </w:rPr>
        <w:t>日17时</w:t>
      </w:r>
      <w:r>
        <w:rPr>
          <w:rFonts w:hint="eastAsia" w:asciiTheme="majorEastAsia" w:hAnsiTheme="majorEastAsia" w:eastAsiaTheme="majorEastAsia" w:cstheme="majorEastAsia"/>
          <w:color w:val="auto"/>
          <w:kern w:val="0"/>
          <w:sz w:val="28"/>
          <w:szCs w:val="28"/>
          <w:highlight w:val="none"/>
          <w:lang w:val="en-US" w:eastAsia="zh-CN"/>
        </w:rPr>
        <w:t>30分</w:t>
      </w:r>
      <w:r>
        <w:rPr>
          <w:rFonts w:hint="eastAsia" w:asciiTheme="majorEastAsia" w:hAnsiTheme="majorEastAsia" w:eastAsiaTheme="majorEastAsia" w:cstheme="majorEastAsia"/>
          <w:color w:val="auto"/>
          <w:kern w:val="0"/>
          <w:sz w:val="28"/>
          <w:szCs w:val="28"/>
          <w:highlight w:val="none"/>
        </w:rPr>
        <w:t>前将投标文件正本一份，副本一份，电子版一份（U盘介质）提交到招标人处，在此时点之后送达的投标文件恕不接受。</w:t>
      </w:r>
    </w:p>
    <w:p>
      <w:pPr>
        <w:spacing w:line="360" w:lineRule="auto"/>
        <w:ind w:firstLine="0" w:firstLineChars="0"/>
        <w:rPr>
          <w:rFonts w:hint="eastAsia" w:asciiTheme="majorEastAsia" w:hAnsiTheme="majorEastAsia" w:eastAsiaTheme="majorEastAsia" w:cstheme="majorEastAsia"/>
          <w:color w:val="auto"/>
          <w:kern w:val="0"/>
          <w:sz w:val="28"/>
          <w:szCs w:val="28"/>
          <w:highlight w:val="none"/>
        </w:rPr>
      </w:pPr>
    </w:p>
    <w:p>
      <w:pPr>
        <w:spacing w:line="360" w:lineRule="auto"/>
        <w:ind w:firstLine="562" w:firstLineChars="200"/>
        <w:rPr>
          <w:rFonts w:hint="eastAsia" w:asciiTheme="majorEastAsia" w:hAnsiTheme="majorEastAsia" w:eastAsiaTheme="majorEastAsia" w:cstheme="majorEastAsia"/>
          <w:color w:val="auto"/>
          <w:kern w:val="0"/>
          <w:sz w:val="28"/>
          <w:szCs w:val="28"/>
          <w:highlight w:val="none"/>
        </w:rPr>
      </w:pPr>
      <w:r>
        <w:rPr>
          <w:rFonts w:hint="eastAsia" w:asciiTheme="majorEastAsia" w:hAnsiTheme="majorEastAsia" w:eastAsiaTheme="majorEastAsia" w:cstheme="majorEastAsia"/>
          <w:b/>
          <w:bCs/>
          <w:color w:val="auto"/>
          <w:kern w:val="0"/>
          <w:sz w:val="28"/>
          <w:szCs w:val="28"/>
          <w:highlight w:val="none"/>
        </w:rPr>
        <w:t>招标人：</w:t>
      </w:r>
      <w:r>
        <w:rPr>
          <w:rFonts w:hint="eastAsia" w:asciiTheme="majorEastAsia" w:hAnsiTheme="majorEastAsia" w:eastAsiaTheme="majorEastAsia" w:cstheme="majorEastAsia"/>
          <w:color w:val="auto"/>
          <w:kern w:val="0"/>
          <w:sz w:val="28"/>
          <w:szCs w:val="28"/>
          <w:highlight w:val="none"/>
        </w:rPr>
        <w:t>厦门国贸城市服务集团股份有限公司</w:t>
      </w:r>
    </w:p>
    <w:p>
      <w:pPr>
        <w:spacing w:line="360" w:lineRule="auto"/>
        <w:ind w:firstLine="562" w:firstLineChars="200"/>
        <w:rPr>
          <w:rFonts w:hint="eastAsia" w:asciiTheme="majorEastAsia" w:hAnsiTheme="majorEastAsia" w:eastAsiaTheme="majorEastAsia" w:cstheme="majorEastAsia"/>
          <w:color w:val="auto"/>
          <w:kern w:val="0"/>
          <w:sz w:val="28"/>
          <w:szCs w:val="28"/>
          <w:highlight w:val="none"/>
        </w:rPr>
      </w:pPr>
      <w:r>
        <w:rPr>
          <w:rFonts w:hint="eastAsia" w:asciiTheme="majorEastAsia" w:hAnsiTheme="majorEastAsia" w:eastAsiaTheme="majorEastAsia" w:cstheme="majorEastAsia"/>
          <w:b/>
          <w:bCs/>
          <w:color w:val="auto"/>
          <w:kern w:val="0"/>
          <w:sz w:val="28"/>
          <w:szCs w:val="28"/>
          <w:highlight w:val="none"/>
        </w:rPr>
        <w:t>联系地址：</w:t>
      </w:r>
      <w:r>
        <w:rPr>
          <w:rFonts w:hint="eastAsia" w:asciiTheme="majorEastAsia" w:hAnsiTheme="majorEastAsia" w:eastAsiaTheme="majorEastAsia" w:cstheme="majorEastAsia"/>
          <w:color w:val="auto"/>
          <w:kern w:val="0"/>
          <w:sz w:val="28"/>
          <w:szCs w:val="28"/>
          <w:highlight w:val="none"/>
        </w:rPr>
        <w:t>厦门市思明区体育路41号顺承大厦6楼</w:t>
      </w:r>
    </w:p>
    <w:p>
      <w:pPr>
        <w:spacing w:line="360" w:lineRule="auto"/>
        <w:ind w:firstLine="562" w:firstLineChars="200"/>
        <w:rPr>
          <w:rFonts w:hint="eastAsia" w:asciiTheme="majorEastAsia" w:hAnsiTheme="majorEastAsia" w:eastAsiaTheme="majorEastAsia" w:cstheme="majorEastAsia"/>
          <w:color w:val="auto"/>
          <w:kern w:val="0"/>
          <w:sz w:val="28"/>
          <w:szCs w:val="28"/>
          <w:highlight w:val="none"/>
        </w:rPr>
      </w:pPr>
      <w:r>
        <w:rPr>
          <w:rFonts w:hint="eastAsia" w:asciiTheme="majorEastAsia" w:hAnsiTheme="majorEastAsia" w:eastAsiaTheme="majorEastAsia" w:cstheme="majorEastAsia"/>
          <w:b/>
          <w:bCs/>
          <w:color w:val="auto"/>
          <w:kern w:val="0"/>
          <w:sz w:val="28"/>
          <w:szCs w:val="28"/>
          <w:highlight w:val="none"/>
        </w:rPr>
        <w:t>联系人：</w:t>
      </w:r>
      <w:r>
        <w:rPr>
          <w:rFonts w:hint="eastAsia" w:asciiTheme="majorEastAsia" w:hAnsiTheme="majorEastAsia" w:eastAsiaTheme="majorEastAsia" w:cstheme="majorEastAsia"/>
          <w:b w:val="0"/>
          <w:bCs w:val="0"/>
          <w:color w:val="auto"/>
          <w:kern w:val="0"/>
          <w:sz w:val="28"/>
          <w:szCs w:val="28"/>
          <w:highlight w:val="none"/>
        </w:rPr>
        <w:t>林</w:t>
      </w:r>
      <w:r>
        <w:rPr>
          <w:rFonts w:hint="eastAsia" w:asciiTheme="majorEastAsia" w:hAnsiTheme="majorEastAsia" w:eastAsiaTheme="majorEastAsia" w:cstheme="majorEastAsia"/>
          <w:color w:val="auto"/>
          <w:kern w:val="0"/>
          <w:sz w:val="28"/>
          <w:szCs w:val="28"/>
          <w:highlight w:val="none"/>
        </w:rPr>
        <w:t>女士</w:t>
      </w:r>
    </w:p>
    <w:p>
      <w:pPr>
        <w:spacing w:line="360" w:lineRule="auto"/>
        <w:ind w:firstLine="562" w:firstLineChars="200"/>
        <w:rPr>
          <w:rFonts w:hint="eastAsia" w:asciiTheme="majorEastAsia" w:hAnsiTheme="majorEastAsia" w:eastAsiaTheme="majorEastAsia" w:cstheme="majorEastAsia"/>
          <w:color w:val="auto"/>
          <w:kern w:val="0"/>
          <w:sz w:val="28"/>
          <w:szCs w:val="28"/>
          <w:highlight w:val="none"/>
        </w:rPr>
      </w:pPr>
      <w:r>
        <w:rPr>
          <w:rFonts w:hint="eastAsia" w:asciiTheme="majorEastAsia" w:hAnsiTheme="majorEastAsia" w:eastAsiaTheme="majorEastAsia" w:cstheme="majorEastAsia"/>
          <w:b/>
          <w:bCs/>
          <w:color w:val="auto"/>
          <w:kern w:val="0"/>
          <w:sz w:val="28"/>
          <w:szCs w:val="28"/>
          <w:highlight w:val="none"/>
        </w:rPr>
        <w:t>联系电话：</w:t>
      </w:r>
      <w:r>
        <w:rPr>
          <w:rFonts w:hint="eastAsia" w:asciiTheme="majorEastAsia" w:hAnsiTheme="majorEastAsia" w:eastAsiaTheme="majorEastAsia" w:cstheme="majorEastAsia"/>
          <w:color w:val="auto"/>
          <w:kern w:val="0"/>
          <w:sz w:val="28"/>
          <w:szCs w:val="28"/>
          <w:highlight w:val="none"/>
        </w:rPr>
        <w:t>0592-2990825</w:t>
      </w:r>
    </w:p>
    <w:p>
      <w:pPr>
        <w:spacing w:line="360" w:lineRule="auto"/>
        <w:ind w:firstLine="562" w:firstLineChars="200"/>
        <w:rPr>
          <w:rFonts w:hint="eastAsia" w:asciiTheme="majorEastAsia" w:hAnsiTheme="majorEastAsia" w:eastAsiaTheme="majorEastAsia" w:cstheme="majorEastAsia"/>
          <w:color w:val="auto"/>
          <w:kern w:val="0"/>
          <w:sz w:val="28"/>
          <w:szCs w:val="28"/>
          <w:highlight w:val="none"/>
        </w:rPr>
      </w:pPr>
      <w:r>
        <w:rPr>
          <w:rFonts w:hint="eastAsia" w:asciiTheme="majorEastAsia" w:hAnsiTheme="majorEastAsia" w:eastAsiaTheme="majorEastAsia" w:cstheme="majorEastAsia"/>
          <w:b/>
          <w:bCs/>
          <w:color w:val="auto"/>
          <w:kern w:val="0"/>
          <w:sz w:val="28"/>
          <w:szCs w:val="28"/>
          <w:highlight w:val="none"/>
        </w:rPr>
        <w:t>账户名称：</w:t>
      </w:r>
      <w:r>
        <w:rPr>
          <w:rFonts w:hint="eastAsia" w:asciiTheme="majorEastAsia" w:hAnsiTheme="majorEastAsia" w:eastAsiaTheme="majorEastAsia" w:cstheme="majorEastAsia"/>
          <w:color w:val="auto"/>
          <w:kern w:val="0"/>
          <w:sz w:val="28"/>
          <w:szCs w:val="28"/>
          <w:highlight w:val="none"/>
        </w:rPr>
        <w:t>厦门国贸城</w:t>
      </w:r>
      <w:bookmarkStart w:id="477" w:name="_GoBack"/>
      <w:bookmarkEnd w:id="477"/>
      <w:r>
        <w:rPr>
          <w:rFonts w:hint="eastAsia" w:asciiTheme="majorEastAsia" w:hAnsiTheme="majorEastAsia" w:eastAsiaTheme="majorEastAsia" w:cstheme="majorEastAsia"/>
          <w:color w:val="auto"/>
          <w:kern w:val="0"/>
          <w:sz w:val="28"/>
          <w:szCs w:val="28"/>
          <w:highlight w:val="none"/>
        </w:rPr>
        <w:t>市服务集团股份有限公司</w:t>
      </w:r>
    </w:p>
    <w:p>
      <w:pPr>
        <w:spacing w:line="360" w:lineRule="auto"/>
        <w:ind w:firstLine="562" w:firstLineChars="200"/>
        <w:rPr>
          <w:rFonts w:hint="eastAsia" w:asciiTheme="majorEastAsia" w:hAnsiTheme="majorEastAsia" w:eastAsiaTheme="majorEastAsia" w:cstheme="majorEastAsia"/>
          <w:b/>
          <w:bCs/>
          <w:color w:val="auto"/>
          <w:kern w:val="0"/>
          <w:sz w:val="28"/>
          <w:szCs w:val="28"/>
          <w:highlight w:val="none"/>
        </w:rPr>
      </w:pPr>
      <w:r>
        <w:rPr>
          <w:rFonts w:hint="eastAsia" w:asciiTheme="majorEastAsia" w:hAnsiTheme="majorEastAsia" w:eastAsiaTheme="majorEastAsia" w:cstheme="majorEastAsia"/>
          <w:b/>
          <w:bCs/>
          <w:color w:val="auto"/>
          <w:kern w:val="0"/>
          <w:sz w:val="28"/>
          <w:szCs w:val="28"/>
          <w:highlight w:val="none"/>
        </w:rPr>
        <w:t>账    号：</w:t>
      </w:r>
      <w:r>
        <w:rPr>
          <w:rFonts w:hint="eastAsia" w:asciiTheme="majorEastAsia" w:hAnsiTheme="majorEastAsia" w:eastAsiaTheme="majorEastAsia" w:cstheme="majorEastAsia"/>
          <w:color w:val="auto"/>
          <w:kern w:val="0"/>
          <w:sz w:val="28"/>
          <w:szCs w:val="28"/>
          <w:highlight w:val="none"/>
        </w:rPr>
        <w:t>35101551001050009378</w:t>
      </w:r>
    </w:p>
    <w:p>
      <w:pPr>
        <w:spacing w:line="360" w:lineRule="auto"/>
        <w:ind w:right="0" w:firstLine="562" w:firstLineChars="200"/>
        <w:rPr>
          <w:rFonts w:hint="eastAsia" w:asciiTheme="majorEastAsia" w:hAnsiTheme="majorEastAsia" w:eastAsiaTheme="majorEastAsia" w:cstheme="majorEastAsia"/>
          <w:color w:val="auto"/>
          <w:kern w:val="0"/>
          <w:sz w:val="28"/>
          <w:szCs w:val="28"/>
          <w:highlight w:val="none"/>
        </w:rPr>
      </w:pPr>
      <w:r>
        <w:rPr>
          <w:rFonts w:hint="eastAsia" w:asciiTheme="majorEastAsia" w:hAnsiTheme="majorEastAsia" w:eastAsiaTheme="majorEastAsia" w:cstheme="majorEastAsia"/>
          <w:b/>
          <w:bCs/>
          <w:color w:val="auto"/>
          <w:kern w:val="0"/>
          <w:sz w:val="28"/>
          <w:szCs w:val="28"/>
          <w:highlight w:val="none"/>
        </w:rPr>
        <w:t>开户银行：</w:t>
      </w:r>
      <w:r>
        <w:rPr>
          <w:rFonts w:hint="eastAsia" w:asciiTheme="majorEastAsia" w:hAnsiTheme="majorEastAsia" w:eastAsiaTheme="majorEastAsia" w:cstheme="majorEastAsia"/>
          <w:color w:val="auto"/>
          <w:kern w:val="0"/>
          <w:sz w:val="28"/>
          <w:szCs w:val="28"/>
          <w:highlight w:val="none"/>
        </w:rPr>
        <w:t>中国建设银行股份有限公司厦门湖滨支行</w:t>
      </w:r>
    </w:p>
    <w:p>
      <w:pPr>
        <w:spacing w:line="360" w:lineRule="auto"/>
        <w:ind w:right="280" w:firstLine="0" w:firstLineChars="0"/>
        <w:jc w:val="both"/>
        <w:rPr>
          <w:rFonts w:hint="eastAsia" w:asciiTheme="majorEastAsia" w:hAnsiTheme="majorEastAsia" w:eastAsiaTheme="majorEastAsia" w:cstheme="majorEastAsia"/>
          <w:color w:val="auto"/>
          <w:kern w:val="0"/>
          <w:sz w:val="28"/>
          <w:szCs w:val="28"/>
          <w:highlight w:val="none"/>
        </w:rPr>
      </w:pPr>
    </w:p>
    <w:p>
      <w:pPr>
        <w:spacing w:line="360" w:lineRule="auto"/>
        <w:ind w:right="280" w:firstLine="0" w:firstLineChars="0"/>
        <w:jc w:val="both"/>
        <w:rPr>
          <w:rFonts w:hint="eastAsia" w:asciiTheme="majorEastAsia" w:hAnsiTheme="majorEastAsia" w:eastAsiaTheme="majorEastAsia" w:cstheme="majorEastAsia"/>
          <w:color w:val="auto"/>
          <w:kern w:val="0"/>
          <w:sz w:val="28"/>
          <w:szCs w:val="28"/>
          <w:highlight w:val="none"/>
        </w:rPr>
      </w:pPr>
    </w:p>
    <w:p>
      <w:pPr>
        <w:spacing w:line="360" w:lineRule="auto"/>
        <w:ind w:right="280" w:firstLine="560" w:firstLineChars="200"/>
        <w:jc w:val="right"/>
        <w:rPr>
          <w:rFonts w:hint="eastAsia" w:asciiTheme="majorEastAsia" w:hAnsiTheme="majorEastAsia" w:eastAsiaTheme="majorEastAsia" w:cstheme="majorEastAsia"/>
          <w:color w:val="auto"/>
          <w:kern w:val="0"/>
          <w:sz w:val="28"/>
          <w:szCs w:val="28"/>
          <w:highlight w:val="none"/>
        </w:rPr>
      </w:pPr>
      <w:r>
        <w:rPr>
          <w:rFonts w:hint="eastAsia" w:asciiTheme="majorEastAsia" w:hAnsiTheme="majorEastAsia" w:eastAsiaTheme="majorEastAsia" w:cstheme="majorEastAsia"/>
          <w:color w:val="auto"/>
          <w:kern w:val="0"/>
          <w:sz w:val="28"/>
          <w:szCs w:val="28"/>
          <w:highlight w:val="none"/>
        </w:rPr>
        <w:t>厦门国贸城市服务集团股份有限公司</w:t>
      </w:r>
    </w:p>
    <w:p>
      <w:pPr>
        <w:spacing w:line="360" w:lineRule="auto"/>
        <w:ind w:right="280" w:firstLine="560" w:firstLineChars="200"/>
        <w:jc w:val="right"/>
        <w:rPr>
          <w:rFonts w:hint="eastAsia" w:asciiTheme="majorEastAsia" w:hAnsiTheme="majorEastAsia" w:eastAsiaTheme="majorEastAsia" w:cstheme="majorEastAsia"/>
          <w:color w:val="auto"/>
          <w:kern w:val="0"/>
          <w:sz w:val="28"/>
          <w:szCs w:val="28"/>
          <w:highlight w:val="none"/>
        </w:rPr>
      </w:pPr>
      <w:r>
        <w:rPr>
          <w:rFonts w:hint="eastAsia" w:asciiTheme="majorEastAsia" w:hAnsiTheme="majorEastAsia" w:eastAsiaTheme="majorEastAsia" w:cstheme="majorEastAsia"/>
          <w:color w:val="auto"/>
          <w:kern w:val="0"/>
          <w:sz w:val="28"/>
          <w:szCs w:val="28"/>
          <w:highlight w:val="none"/>
        </w:rPr>
        <w:t>2024年</w:t>
      </w:r>
      <w:r>
        <w:rPr>
          <w:rFonts w:hint="eastAsia" w:asciiTheme="majorEastAsia" w:hAnsiTheme="majorEastAsia" w:eastAsiaTheme="majorEastAsia" w:cstheme="majorEastAsia"/>
          <w:color w:val="auto"/>
          <w:kern w:val="0"/>
          <w:sz w:val="28"/>
          <w:szCs w:val="28"/>
          <w:highlight w:val="none"/>
          <w:lang w:val="en-US" w:eastAsia="zh-CN"/>
        </w:rPr>
        <w:t>11</w:t>
      </w:r>
      <w:r>
        <w:rPr>
          <w:rFonts w:hint="eastAsia" w:asciiTheme="majorEastAsia" w:hAnsiTheme="majorEastAsia" w:eastAsiaTheme="majorEastAsia" w:cstheme="majorEastAsia"/>
          <w:color w:val="auto"/>
          <w:kern w:val="0"/>
          <w:sz w:val="28"/>
          <w:szCs w:val="28"/>
          <w:highlight w:val="none"/>
        </w:rPr>
        <w:t>月</w:t>
      </w:r>
      <w:r>
        <w:rPr>
          <w:rFonts w:hint="eastAsia" w:asciiTheme="majorEastAsia" w:hAnsiTheme="majorEastAsia" w:eastAsiaTheme="majorEastAsia" w:cstheme="majorEastAsia"/>
          <w:color w:val="auto"/>
          <w:kern w:val="0"/>
          <w:sz w:val="28"/>
          <w:szCs w:val="28"/>
          <w:highlight w:val="none"/>
          <w:lang w:val="en-US" w:eastAsia="zh-CN"/>
        </w:rPr>
        <w:t>20</w:t>
      </w:r>
      <w:r>
        <w:rPr>
          <w:rFonts w:hint="eastAsia" w:asciiTheme="majorEastAsia" w:hAnsiTheme="majorEastAsia" w:eastAsiaTheme="majorEastAsia" w:cstheme="majorEastAsia"/>
          <w:color w:val="auto"/>
          <w:kern w:val="0"/>
          <w:sz w:val="28"/>
          <w:szCs w:val="28"/>
          <w:highlight w:val="none"/>
        </w:rPr>
        <w:t>日</w:t>
      </w:r>
    </w:p>
    <w:p>
      <w:pPr>
        <w:pStyle w:val="2"/>
        <w:keepNext w:val="0"/>
        <w:keepLines w:val="0"/>
        <w:tabs>
          <w:tab w:val="center" w:pos="4535"/>
        </w:tabs>
        <w:spacing w:before="0" w:after="0" w:line="360" w:lineRule="auto"/>
        <w:ind w:firstLine="314"/>
        <w:jc w:val="left"/>
        <w:rPr>
          <w:rFonts w:hint="eastAsia" w:asciiTheme="majorEastAsia" w:hAnsiTheme="majorEastAsia" w:eastAsiaTheme="majorEastAsia" w:cstheme="majorEastAsia"/>
          <w:color w:val="auto"/>
          <w:highlight w:val="none"/>
        </w:rPr>
      </w:pPr>
    </w:p>
    <w:p>
      <w:pPr>
        <w:spacing w:line="360" w:lineRule="auto"/>
        <w:rPr>
          <w:rFonts w:hint="eastAsia" w:asciiTheme="majorEastAsia" w:hAnsiTheme="majorEastAsia" w:eastAsiaTheme="majorEastAsia" w:cstheme="majorEastAsia"/>
          <w:color w:val="auto"/>
          <w:highlight w:val="none"/>
        </w:rPr>
      </w:pPr>
    </w:p>
    <w:p>
      <w:pPr>
        <w:pStyle w:val="2"/>
        <w:keepNext w:val="0"/>
        <w:keepLines w:val="0"/>
        <w:tabs>
          <w:tab w:val="center" w:pos="4535"/>
        </w:tabs>
        <w:spacing w:before="0" w:after="0" w:line="360" w:lineRule="auto"/>
        <w:ind w:firstLine="314"/>
        <w:jc w:val="left"/>
        <w:rPr>
          <w:rFonts w:hint="eastAsia" w:asciiTheme="majorEastAsia" w:hAnsiTheme="majorEastAsia" w:eastAsiaTheme="majorEastAsia" w:cstheme="majorEastAsia"/>
          <w:color w:val="auto"/>
          <w:highlight w:val="none"/>
        </w:rPr>
        <w:sectPr>
          <w:footerReference r:id="rId3" w:type="default"/>
          <w:pgSz w:w="11907" w:h="16840"/>
          <w:pgMar w:top="1418" w:right="1418" w:bottom="1418" w:left="1418" w:header="857" w:footer="999" w:gutter="0"/>
          <w:pgNumType w:fmt="numberInDash" w:start="1"/>
          <w:cols w:space="720" w:num="1"/>
          <w:docGrid w:linePitch="286" w:charSpace="0"/>
        </w:sectPr>
      </w:pPr>
      <w:bookmarkStart w:id="19" w:name="_Toc26392"/>
      <w:bookmarkStart w:id="20" w:name="_Toc23613"/>
      <w:bookmarkStart w:id="21" w:name="_Toc21877"/>
      <w:bookmarkStart w:id="22" w:name="_Toc21500"/>
      <w:bookmarkStart w:id="23" w:name="_Toc17070"/>
      <w:bookmarkStart w:id="24" w:name="_Toc26556"/>
      <w:bookmarkStart w:id="25" w:name="_Toc4031"/>
      <w:bookmarkStart w:id="26" w:name="_Toc9800"/>
      <w:bookmarkStart w:id="27" w:name="_Toc2372"/>
    </w:p>
    <w:p>
      <w:pPr>
        <w:pStyle w:val="2"/>
        <w:keepNext w:val="0"/>
        <w:keepLines w:val="0"/>
        <w:tabs>
          <w:tab w:val="center" w:pos="4535"/>
        </w:tabs>
        <w:spacing w:before="0" w:after="0" w:line="360" w:lineRule="auto"/>
        <w:ind w:firstLine="314"/>
        <w:jc w:val="left"/>
        <w:rPr>
          <w:rFonts w:hint="eastAsia" w:ascii="宋体" w:hAnsi="宋体" w:eastAsia="宋体" w:cs="宋体"/>
          <w:color w:val="auto"/>
          <w:sz w:val="28"/>
          <w:szCs w:val="28"/>
          <w:highlight w:val="none"/>
        </w:rPr>
      </w:pPr>
      <w:bookmarkStart w:id="28" w:name="_Toc13797"/>
      <w:r>
        <w:rPr>
          <w:rFonts w:hint="eastAsia" w:ascii="宋体" w:hAnsi="宋体" w:eastAsia="宋体" w:cs="宋体"/>
          <w:color w:val="auto"/>
          <w:sz w:val="28"/>
          <w:szCs w:val="28"/>
          <w:highlight w:val="none"/>
        </w:rPr>
        <w:t>附：招标项目一览表</w:t>
      </w:r>
      <w:bookmarkEnd w:id="19"/>
      <w:bookmarkEnd w:id="20"/>
      <w:bookmarkEnd w:id="21"/>
      <w:bookmarkEnd w:id="22"/>
      <w:bookmarkEnd w:id="23"/>
      <w:bookmarkEnd w:id="24"/>
      <w:bookmarkEnd w:id="25"/>
      <w:bookmarkEnd w:id="26"/>
      <w:bookmarkEnd w:id="27"/>
      <w:bookmarkEnd w:id="28"/>
    </w:p>
    <w:tbl>
      <w:tblPr>
        <w:tblStyle w:val="19"/>
        <w:tblW w:w="9071" w:type="dxa"/>
        <w:tblInd w:w="4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587"/>
        <w:gridCol w:w="1815"/>
        <w:gridCol w:w="1511"/>
        <w:gridCol w:w="1178"/>
        <w:gridCol w:w="1111"/>
        <w:gridCol w:w="911"/>
        <w:gridCol w:w="1958"/>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630" w:hRule="atLeast"/>
        </w:trPr>
        <w:tc>
          <w:tcPr>
            <w:tcW w:w="587" w:type="dxa"/>
            <w:vAlign w:val="center"/>
          </w:tcPr>
          <w:p>
            <w:pPr>
              <w:widowControl/>
              <w:spacing w:before="100" w:beforeAutospacing="1" w:after="100" w:afterAutospacing="1" w:line="240" w:lineRule="auto"/>
              <w:ind w:firstLine="0"/>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序号</w:t>
            </w:r>
          </w:p>
        </w:tc>
        <w:tc>
          <w:tcPr>
            <w:tcW w:w="1815" w:type="dxa"/>
            <w:vAlign w:val="center"/>
          </w:tcPr>
          <w:p>
            <w:pPr>
              <w:widowControl/>
              <w:spacing w:before="100" w:beforeAutospacing="1" w:after="100" w:afterAutospacing="1" w:line="240" w:lineRule="auto"/>
              <w:ind w:firstLine="0"/>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招标服务名称</w:t>
            </w:r>
          </w:p>
        </w:tc>
        <w:tc>
          <w:tcPr>
            <w:tcW w:w="1511" w:type="dxa"/>
            <w:vAlign w:val="center"/>
          </w:tcPr>
          <w:p>
            <w:pPr>
              <w:widowControl/>
              <w:spacing w:before="100" w:beforeAutospacing="1" w:after="100" w:afterAutospacing="1" w:line="240" w:lineRule="auto"/>
              <w:ind w:firstLine="0"/>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招标内容及要求</w:t>
            </w:r>
          </w:p>
        </w:tc>
        <w:tc>
          <w:tcPr>
            <w:tcW w:w="1178" w:type="dxa"/>
            <w:vAlign w:val="center"/>
          </w:tcPr>
          <w:p>
            <w:pPr>
              <w:widowControl/>
              <w:spacing w:before="100" w:beforeAutospacing="1" w:after="100" w:afterAutospacing="1" w:line="240" w:lineRule="auto"/>
              <w:ind w:firstLine="0"/>
              <w:jc w:val="center"/>
              <w:rPr>
                <w:rFonts w:hint="eastAsia" w:ascii="宋体" w:hAnsi="宋体" w:eastAsia="宋体" w:cs="宋体"/>
                <w:b/>
                <w:bCs w:val="0"/>
                <w:color w:val="auto"/>
                <w:kern w:val="0"/>
                <w:sz w:val="28"/>
                <w:szCs w:val="28"/>
                <w:highlight w:val="none"/>
              </w:rPr>
            </w:pPr>
            <w:r>
              <w:rPr>
                <w:rFonts w:hint="eastAsia" w:ascii="宋体" w:hAnsi="宋体" w:eastAsia="宋体" w:cs="宋体"/>
                <w:b/>
                <w:bCs w:val="0"/>
                <w:color w:val="auto"/>
                <w:kern w:val="0"/>
                <w:sz w:val="28"/>
                <w:szCs w:val="28"/>
                <w:highlight w:val="none"/>
              </w:rPr>
              <w:t>服务地点</w:t>
            </w:r>
          </w:p>
        </w:tc>
        <w:tc>
          <w:tcPr>
            <w:tcW w:w="1111" w:type="dxa"/>
            <w:vAlign w:val="center"/>
          </w:tcPr>
          <w:p>
            <w:pPr>
              <w:widowControl/>
              <w:spacing w:before="100" w:beforeAutospacing="1" w:after="100" w:afterAutospacing="1" w:line="240" w:lineRule="auto"/>
              <w:ind w:firstLine="0"/>
              <w:jc w:val="center"/>
              <w:rPr>
                <w:rFonts w:hint="eastAsia" w:ascii="宋体" w:hAnsi="宋体" w:eastAsia="宋体" w:cs="宋体"/>
                <w:b/>
                <w:bCs w:val="0"/>
                <w:color w:val="auto"/>
                <w:kern w:val="0"/>
                <w:sz w:val="28"/>
                <w:szCs w:val="28"/>
                <w:highlight w:val="none"/>
              </w:rPr>
            </w:pPr>
            <w:r>
              <w:rPr>
                <w:rFonts w:hint="eastAsia" w:ascii="宋体" w:hAnsi="宋体" w:eastAsia="宋体" w:cs="宋体"/>
                <w:b/>
                <w:bCs w:val="0"/>
                <w:color w:val="auto"/>
                <w:kern w:val="0"/>
                <w:sz w:val="28"/>
                <w:szCs w:val="28"/>
                <w:highlight w:val="none"/>
              </w:rPr>
              <w:t>服务期</w:t>
            </w:r>
          </w:p>
        </w:tc>
        <w:tc>
          <w:tcPr>
            <w:tcW w:w="911" w:type="dxa"/>
            <w:vAlign w:val="center"/>
          </w:tcPr>
          <w:p>
            <w:pPr>
              <w:widowControl/>
              <w:spacing w:before="100" w:beforeAutospacing="1" w:after="100" w:afterAutospacing="1" w:line="240" w:lineRule="auto"/>
              <w:ind w:firstLine="0"/>
              <w:jc w:val="center"/>
              <w:rPr>
                <w:rFonts w:hint="eastAsia" w:ascii="宋体" w:hAnsi="宋体" w:eastAsia="宋体" w:cs="宋体"/>
                <w:b/>
                <w:bCs w:val="0"/>
                <w:color w:val="auto"/>
                <w:kern w:val="0"/>
                <w:sz w:val="28"/>
                <w:szCs w:val="28"/>
                <w:highlight w:val="none"/>
              </w:rPr>
            </w:pPr>
            <w:r>
              <w:rPr>
                <w:rFonts w:hint="eastAsia" w:ascii="宋体" w:hAnsi="宋体" w:eastAsia="宋体" w:cs="宋体"/>
                <w:b/>
                <w:bCs w:val="0"/>
                <w:color w:val="auto"/>
                <w:sz w:val="28"/>
                <w:szCs w:val="28"/>
                <w:highlight w:val="none"/>
              </w:rPr>
              <w:t>岗编</w:t>
            </w:r>
          </w:p>
        </w:tc>
        <w:tc>
          <w:tcPr>
            <w:tcW w:w="1958" w:type="dxa"/>
            <w:vAlign w:val="center"/>
          </w:tcPr>
          <w:p>
            <w:pPr>
              <w:widowControl/>
              <w:spacing w:before="100" w:beforeAutospacing="1" w:after="100" w:afterAutospacing="1" w:line="240" w:lineRule="auto"/>
              <w:ind w:firstLine="0"/>
              <w:jc w:val="center"/>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w:t>
            </w:r>
            <w:r>
              <w:rPr>
                <w:rFonts w:hint="eastAsia" w:ascii="宋体" w:hAnsi="宋体" w:eastAsia="宋体" w:cs="宋体"/>
                <w:b/>
                <w:bCs w:val="0"/>
                <w:color w:val="auto"/>
                <w:kern w:val="0"/>
                <w:sz w:val="28"/>
                <w:szCs w:val="28"/>
                <w:highlight w:val="none"/>
              </w:rPr>
              <w:t>最高控制价</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841" w:hRule="atLeast"/>
        </w:trPr>
        <w:tc>
          <w:tcPr>
            <w:tcW w:w="587" w:type="dxa"/>
            <w:vAlign w:val="center"/>
          </w:tcPr>
          <w:p>
            <w:pPr>
              <w:spacing w:line="360" w:lineRule="auto"/>
              <w:ind w:firstLine="0"/>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一</w:t>
            </w:r>
          </w:p>
        </w:tc>
        <w:tc>
          <w:tcPr>
            <w:tcW w:w="1815" w:type="dxa"/>
            <w:vAlign w:val="center"/>
          </w:tcPr>
          <w:p>
            <w:pPr>
              <w:adjustRightInd w:val="0"/>
              <w:snapToGrid w:val="0"/>
              <w:spacing w:line="360" w:lineRule="auto"/>
              <w:ind w:firstLine="0"/>
              <w:jc w:val="center"/>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eastAsia="zh-CN"/>
              </w:rPr>
              <w:t>上海</w:t>
            </w:r>
            <w:r>
              <w:rPr>
                <w:rFonts w:hint="eastAsia" w:ascii="宋体" w:hAnsi="宋体" w:cs="宋体"/>
                <w:color w:val="auto"/>
                <w:kern w:val="0"/>
                <w:sz w:val="28"/>
                <w:szCs w:val="28"/>
                <w:highlight w:val="none"/>
                <w:lang w:eastAsia="zh-CN"/>
              </w:rPr>
              <w:t>国贸璟上</w:t>
            </w:r>
            <w:r>
              <w:rPr>
                <w:rFonts w:hint="eastAsia" w:ascii="宋体" w:hAnsi="宋体" w:eastAsia="宋体" w:cs="宋体"/>
                <w:color w:val="auto"/>
                <w:kern w:val="0"/>
                <w:sz w:val="28"/>
                <w:szCs w:val="28"/>
                <w:highlight w:val="none"/>
              </w:rPr>
              <w:t>保安服务</w:t>
            </w:r>
          </w:p>
        </w:tc>
        <w:tc>
          <w:tcPr>
            <w:tcW w:w="1511" w:type="dxa"/>
            <w:vAlign w:val="center"/>
          </w:tcPr>
          <w:p>
            <w:pPr>
              <w:spacing w:line="360" w:lineRule="auto"/>
              <w:ind w:firstLine="0"/>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详见第三章</w:t>
            </w:r>
          </w:p>
        </w:tc>
        <w:tc>
          <w:tcPr>
            <w:tcW w:w="1178" w:type="dxa"/>
            <w:vAlign w:val="center"/>
          </w:tcPr>
          <w:p>
            <w:pPr>
              <w:spacing w:line="360" w:lineRule="auto"/>
              <w:ind w:firstLine="0"/>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上海市</w:t>
            </w:r>
          </w:p>
        </w:tc>
        <w:tc>
          <w:tcPr>
            <w:tcW w:w="1111" w:type="dxa"/>
            <w:vAlign w:val="center"/>
          </w:tcPr>
          <w:p>
            <w:pPr>
              <w:spacing w:line="360" w:lineRule="auto"/>
              <w:ind w:firstLine="0"/>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1年</w:t>
            </w:r>
          </w:p>
        </w:tc>
        <w:tc>
          <w:tcPr>
            <w:tcW w:w="911" w:type="dxa"/>
            <w:vAlign w:val="center"/>
          </w:tcPr>
          <w:p>
            <w:pPr>
              <w:spacing w:line="360" w:lineRule="auto"/>
              <w:ind w:firstLine="0"/>
              <w:jc w:val="center"/>
              <w:rPr>
                <w:rFonts w:hint="eastAsia" w:ascii="宋体" w:hAnsi="宋体" w:eastAsia="宋体" w:cs="宋体"/>
                <w:color w:val="auto"/>
                <w:kern w:val="0"/>
                <w:sz w:val="28"/>
                <w:szCs w:val="28"/>
                <w:highlight w:val="none"/>
              </w:rPr>
            </w:pPr>
            <w:r>
              <w:rPr>
                <w:rFonts w:hint="eastAsia" w:ascii="宋体" w:hAnsi="宋体" w:cs="宋体"/>
                <w:color w:val="auto"/>
                <w:kern w:val="0"/>
                <w:sz w:val="28"/>
                <w:szCs w:val="28"/>
                <w:highlight w:val="none"/>
                <w:lang w:val="en-US" w:eastAsia="zh-CN"/>
              </w:rPr>
              <w:t>24</w:t>
            </w:r>
            <w:r>
              <w:rPr>
                <w:rFonts w:hint="eastAsia" w:ascii="宋体" w:hAnsi="宋体" w:eastAsia="宋体" w:cs="宋体"/>
                <w:color w:val="auto"/>
                <w:kern w:val="0"/>
                <w:sz w:val="28"/>
                <w:szCs w:val="28"/>
                <w:highlight w:val="none"/>
              </w:rPr>
              <w:t>岗</w:t>
            </w:r>
          </w:p>
        </w:tc>
        <w:tc>
          <w:tcPr>
            <w:tcW w:w="1958" w:type="dxa"/>
            <w:vAlign w:val="center"/>
          </w:tcPr>
          <w:p>
            <w:pPr>
              <w:spacing w:line="360" w:lineRule="auto"/>
              <w:ind w:firstLine="0"/>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8</w:t>
            </w:r>
            <w:r>
              <w:rPr>
                <w:rFonts w:hint="eastAsia" w:ascii="宋体" w:hAnsi="宋体" w:cs="宋体"/>
                <w:color w:val="auto"/>
                <w:kern w:val="0"/>
                <w:sz w:val="28"/>
                <w:szCs w:val="28"/>
                <w:highlight w:val="none"/>
                <w:lang w:val="en-US" w:eastAsia="zh-CN"/>
              </w:rPr>
              <w:t>500</w:t>
            </w:r>
            <w:r>
              <w:rPr>
                <w:rFonts w:hint="eastAsia" w:ascii="宋体" w:hAnsi="宋体" w:eastAsia="宋体" w:cs="宋体"/>
                <w:color w:val="auto"/>
                <w:kern w:val="0"/>
                <w:sz w:val="28"/>
                <w:szCs w:val="28"/>
                <w:highlight w:val="none"/>
              </w:rPr>
              <w:t>元/岗/月</w:t>
            </w:r>
          </w:p>
          <w:p>
            <w:pPr>
              <w:pStyle w:val="8"/>
              <w:spacing w:line="360" w:lineRule="auto"/>
              <w:ind w:firstLine="0"/>
              <w:jc w:val="center"/>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204000</w:t>
            </w:r>
            <w:r>
              <w:rPr>
                <w:rFonts w:hint="eastAsia" w:ascii="宋体" w:hAnsi="宋体" w:eastAsia="宋体" w:cs="宋体"/>
                <w:color w:val="auto"/>
                <w:sz w:val="28"/>
                <w:szCs w:val="28"/>
                <w:highlight w:val="none"/>
              </w:rPr>
              <w:t>元/月</w:t>
            </w:r>
          </w:p>
          <w:p>
            <w:pPr>
              <w:pStyle w:val="8"/>
              <w:spacing w:line="360" w:lineRule="auto"/>
              <w:ind w:firstLine="0"/>
              <w:jc w:val="center"/>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2448000</w:t>
            </w:r>
            <w:r>
              <w:rPr>
                <w:rFonts w:hint="eastAsia" w:ascii="宋体" w:hAnsi="宋体" w:eastAsia="宋体" w:cs="宋体"/>
                <w:color w:val="auto"/>
                <w:sz w:val="28"/>
                <w:szCs w:val="28"/>
                <w:highlight w:val="none"/>
              </w:rPr>
              <w:t>元/年</w:t>
            </w:r>
          </w:p>
        </w:tc>
      </w:tr>
    </w:tbl>
    <w:p>
      <w:pPr>
        <w:spacing w:line="360" w:lineRule="auto"/>
        <w:rPr>
          <w:rFonts w:hint="eastAsia" w:ascii="宋体" w:hAnsi="宋体" w:eastAsia="宋体" w:cs="宋体"/>
          <w:color w:val="auto"/>
          <w:sz w:val="28"/>
          <w:szCs w:val="28"/>
          <w:highlight w:val="none"/>
        </w:rPr>
      </w:pPr>
    </w:p>
    <w:p>
      <w:pPr>
        <w:spacing w:line="360" w:lineRule="auto"/>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备注：</w:t>
      </w:r>
    </w:p>
    <w:p>
      <w:pPr>
        <w:spacing w:line="360" w:lineRule="auto"/>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1、服务期：合同签订后15个自然日内完成进场开展服务，</w:t>
      </w:r>
      <w:r>
        <w:rPr>
          <w:rFonts w:hint="eastAsia" w:ascii="宋体" w:hAnsi="宋体" w:eastAsia="宋体" w:cs="宋体"/>
          <w:b/>
          <w:color w:val="auto"/>
          <w:kern w:val="0"/>
          <w:sz w:val="28"/>
          <w:szCs w:val="28"/>
          <w:highlight w:val="none"/>
        </w:rPr>
        <w:t>各投标人应对此作出承诺。</w:t>
      </w:r>
    </w:p>
    <w:p>
      <w:pPr>
        <w:spacing w:line="360" w:lineRule="auto"/>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2、投标人的投标报价不得超过本项目的控制价，否则将被视为无效投标响应。</w:t>
      </w:r>
    </w:p>
    <w:p>
      <w:pPr>
        <w:spacing w:line="360" w:lineRule="auto"/>
        <w:ind w:firstLine="562" w:firstLineChars="200"/>
        <w:rPr>
          <w:rFonts w:hint="eastAsia" w:ascii="宋体" w:hAnsi="宋体" w:eastAsia="宋体" w:cs="宋体"/>
          <w:color w:val="auto"/>
          <w:kern w:val="0"/>
          <w:sz w:val="28"/>
          <w:szCs w:val="28"/>
          <w:highlight w:val="none"/>
        </w:rPr>
      </w:pPr>
      <w:r>
        <w:rPr>
          <w:rFonts w:hint="eastAsia" w:ascii="宋体" w:hAnsi="宋体" w:eastAsia="宋体" w:cs="宋体"/>
          <w:b/>
          <w:bCs/>
          <w:color w:val="auto"/>
          <w:sz w:val="28"/>
          <w:szCs w:val="28"/>
          <w:highlight w:val="none"/>
        </w:rPr>
        <w:t>3、投标文件的正本一份，副本一份，电子版U盘一份（电子版内容须包含报价清单及报价文件），</w:t>
      </w:r>
      <w:r>
        <w:rPr>
          <w:rFonts w:hint="eastAsia" w:ascii="宋体" w:hAnsi="宋体" w:eastAsia="宋体" w:cs="宋体"/>
          <w:b/>
          <w:bCs/>
          <w:color w:val="auto"/>
          <w:kern w:val="0"/>
          <w:sz w:val="28"/>
          <w:szCs w:val="28"/>
          <w:highlight w:val="none"/>
        </w:rPr>
        <w:t>密封提交</w:t>
      </w:r>
      <w:r>
        <w:rPr>
          <w:rFonts w:hint="eastAsia" w:ascii="宋体" w:hAnsi="宋体" w:eastAsia="宋体" w:cs="宋体"/>
          <w:b/>
          <w:bCs/>
          <w:color w:val="auto"/>
          <w:sz w:val="28"/>
          <w:szCs w:val="28"/>
          <w:highlight w:val="none"/>
        </w:rPr>
        <w:t>。</w:t>
      </w:r>
    </w:p>
    <w:p>
      <w:pPr>
        <w:spacing w:line="360" w:lineRule="auto"/>
        <w:ind w:firstLine="560" w:firstLineChars="200"/>
        <w:rPr>
          <w:rFonts w:hint="eastAsia" w:ascii="宋体" w:hAnsi="宋体" w:eastAsia="宋体" w:cs="宋体"/>
          <w:color w:val="auto"/>
          <w:kern w:val="0"/>
          <w:sz w:val="28"/>
          <w:szCs w:val="28"/>
          <w:highlight w:val="none"/>
        </w:rPr>
      </w:pPr>
    </w:p>
    <w:p>
      <w:pPr>
        <w:spacing w:line="360" w:lineRule="auto"/>
        <w:ind w:firstLine="560" w:firstLineChars="200"/>
        <w:rPr>
          <w:rFonts w:hint="eastAsia" w:ascii="宋体" w:hAnsi="宋体" w:eastAsia="宋体" w:cs="宋体"/>
          <w:color w:val="auto"/>
          <w:kern w:val="0"/>
          <w:sz w:val="28"/>
          <w:szCs w:val="28"/>
          <w:highlight w:val="none"/>
        </w:rPr>
      </w:pPr>
    </w:p>
    <w:p>
      <w:pPr>
        <w:spacing w:line="360" w:lineRule="auto"/>
        <w:ind w:firstLine="560" w:firstLineChars="200"/>
        <w:rPr>
          <w:rFonts w:hint="eastAsia" w:ascii="宋体" w:hAnsi="宋体" w:eastAsia="宋体" w:cs="宋体"/>
          <w:color w:val="auto"/>
          <w:kern w:val="0"/>
          <w:sz w:val="28"/>
          <w:szCs w:val="28"/>
          <w:highlight w:val="none"/>
        </w:rPr>
      </w:pPr>
    </w:p>
    <w:p>
      <w:pPr>
        <w:pStyle w:val="2"/>
        <w:spacing w:before="10" w:after="120" w:afterLines="50" w:line="360" w:lineRule="auto"/>
        <w:ind w:firstLine="274"/>
        <w:rPr>
          <w:rFonts w:hint="eastAsia" w:ascii="宋体" w:hAnsi="宋体" w:eastAsia="宋体" w:cs="宋体"/>
          <w:b w:val="0"/>
          <w:bCs w:val="0"/>
          <w:color w:val="auto"/>
          <w:kern w:val="0"/>
          <w:sz w:val="28"/>
          <w:szCs w:val="28"/>
          <w:highlight w:val="none"/>
        </w:rPr>
      </w:pPr>
      <w:r>
        <w:rPr>
          <w:rFonts w:hint="eastAsia" w:ascii="宋体" w:hAnsi="宋体" w:eastAsia="宋体" w:cs="宋体"/>
          <w:color w:val="auto"/>
          <w:kern w:val="0"/>
          <w:sz w:val="28"/>
          <w:szCs w:val="28"/>
          <w:highlight w:val="none"/>
        </w:rPr>
        <w:br w:type="page"/>
      </w:r>
      <w:bookmarkStart w:id="29" w:name="_Toc1456"/>
      <w:bookmarkStart w:id="30" w:name="_Toc17835"/>
      <w:bookmarkStart w:id="31" w:name="_Toc31675"/>
      <w:bookmarkStart w:id="32" w:name="_Toc2804"/>
      <w:bookmarkStart w:id="33" w:name="_Toc12630"/>
      <w:bookmarkStart w:id="34" w:name="_Toc20190"/>
      <w:bookmarkStart w:id="35" w:name="_Toc8202"/>
      <w:bookmarkStart w:id="36" w:name="_Toc16192"/>
      <w:bookmarkStart w:id="37" w:name="_Toc18632"/>
      <w:bookmarkStart w:id="38" w:name="_Toc10809"/>
      <w:r>
        <w:rPr>
          <w:rFonts w:hint="eastAsia" w:ascii="宋体" w:hAnsi="宋体" w:eastAsia="宋体" w:cs="宋体"/>
          <w:color w:val="auto"/>
          <w:kern w:val="0"/>
          <w:sz w:val="28"/>
          <w:szCs w:val="28"/>
          <w:highlight w:val="none"/>
        </w:rPr>
        <w:t>第二章　投标人须知</w:t>
      </w:r>
      <w:bookmarkEnd w:id="29"/>
      <w:bookmarkEnd w:id="30"/>
      <w:bookmarkEnd w:id="31"/>
      <w:bookmarkEnd w:id="32"/>
      <w:bookmarkEnd w:id="33"/>
      <w:bookmarkEnd w:id="34"/>
      <w:bookmarkEnd w:id="35"/>
      <w:bookmarkEnd w:id="36"/>
      <w:bookmarkEnd w:id="37"/>
      <w:bookmarkEnd w:id="38"/>
    </w:p>
    <w:p>
      <w:pPr>
        <w:spacing w:line="360" w:lineRule="auto"/>
        <w:ind w:firstLine="562" w:firstLineChars="200"/>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投标人须知前附表</w:t>
      </w:r>
    </w:p>
    <w:p>
      <w:pPr>
        <w:spacing w:line="360" w:lineRule="auto"/>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本须知前附表的内容是与《投标人须知》中条款的内容对应的。如有矛盾，应以本须知前附表为准。</w:t>
      </w:r>
    </w:p>
    <w:tbl>
      <w:tblPr>
        <w:tblStyle w:val="19"/>
        <w:tblW w:w="992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0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blHeader/>
          <w:jc w:val="center"/>
        </w:trPr>
        <w:tc>
          <w:tcPr>
            <w:tcW w:w="850" w:type="dxa"/>
            <w:shd w:val="clear" w:color="auto" w:fill="E7E6E6" w:themeFill="background2"/>
            <w:vAlign w:val="center"/>
          </w:tcPr>
          <w:p>
            <w:pPr>
              <w:spacing w:line="360" w:lineRule="auto"/>
              <w:ind w:firstLine="275"/>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项号</w:t>
            </w:r>
          </w:p>
        </w:tc>
        <w:tc>
          <w:tcPr>
            <w:tcW w:w="9071" w:type="dxa"/>
            <w:shd w:val="clear" w:color="auto" w:fill="E7E6E6" w:themeFill="background2"/>
            <w:vAlign w:val="center"/>
          </w:tcPr>
          <w:p>
            <w:pPr>
              <w:spacing w:line="360" w:lineRule="auto"/>
              <w:ind w:firstLine="275"/>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4" w:hRule="atLeast"/>
          <w:jc w:val="center"/>
        </w:trPr>
        <w:tc>
          <w:tcPr>
            <w:tcW w:w="850" w:type="dxa"/>
            <w:vAlign w:val="center"/>
          </w:tcPr>
          <w:p>
            <w:pPr>
              <w:spacing w:line="360" w:lineRule="auto"/>
              <w:ind w:firstLine="275"/>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p>
        </w:tc>
        <w:tc>
          <w:tcPr>
            <w:tcW w:w="9071" w:type="dxa"/>
            <w:vAlign w:val="center"/>
          </w:tcPr>
          <w:p>
            <w:pPr>
              <w:spacing w:line="360" w:lineRule="auto"/>
              <w:ind w:firstLine="27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项目名称：</w:t>
            </w:r>
            <w:r>
              <w:rPr>
                <w:rFonts w:hint="eastAsia" w:ascii="宋体" w:hAnsi="宋体" w:eastAsia="宋体" w:cs="宋体"/>
                <w:color w:val="auto"/>
                <w:sz w:val="28"/>
                <w:szCs w:val="28"/>
                <w:highlight w:val="none"/>
                <w:lang w:eastAsia="zh-CN"/>
              </w:rPr>
              <w:t>上海</w:t>
            </w:r>
            <w:r>
              <w:rPr>
                <w:rFonts w:hint="eastAsia" w:ascii="宋体" w:hAnsi="宋体" w:cs="宋体"/>
                <w:color w:val="auto"/>
                <w:sz w:val="28"/>
                <w:szCs w:val="28"/>
                <w:highlight w:val="none"/>
                <w:lang w:eastAsia="zh-CN"/>
              </w:rPr>
              <w:t>国贸璟上</w:t>
            </w:r>
            <w:r>
              <w:rPr>
                <w:rFonts w:hint="eastAsia" w:ascii="宋体" w:hAnsi="宋体" w:eastAsia="宋体" w:cs="宋体"/>
                <w:color w:val="auto"/>
                <w:sz w:val="28"/>
                <w:szCs w:val="28"/>
                <w:highlight w:val="none"/>
              </w:rPr>
              <w:t>保安服务</w:t>
            </w:r>
          </w:p>
          <w:p>
            <w:pPr>
              <w:spacing w:line="360" w:lineRule="auto"/>
              <w:ind w:firstLine="27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招标人：厦门国贸城市服务集团股份有限公司</w:t>
            </w:r>
          </w:p>
          <w:p>
            <w:pPr>
              <w:spacing w:line="360" w:lineRule="auto"/>
              <w:ind w:firstLine="27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项目内容：见“招标项目一览表”</w:t>
            </w:r>
          </w:p>
          <w:p>
            <w:pPr>
              <w:spacing w:line="360" w:lineRule="auto"/>
              <w:ind w:firstLine="275"/>
              <w:rPr>
                <w:rFonts w:hint="default"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rPr>
              <w:t>项目编号：</w:t>
            </w:r>
            <w:r>
              <w:rPr>
                <w:rFonts w:hint="eastAsia" w:ascii="宋体" w:hAnsi="宋体" w:cs="宋体"/>
                <w:color w:val="auto"/>
                <w:sz w:val="28"/>
                <w:szCs w:val="28"/>
                <w:highlight w:val="none"/>
                <w:lang w:val="en-US" w:eastAsia="zh-CN"/>
              </w:rPr>
              <w:t>GMFW-2024-21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7" w:hRule="atLeast"/>
          <w:jc w:val="center"/>
        </w:trPr>
        <w:tc>
          <w:tcPr>
            <w:tcW w:w="850" w:type="dxa"/>
            <w:vAlign w:val="center"/>
          </w:tcPr>
          <w:p>
            <w:pPr>
              <w:spacing w:line="360" w:lineRule="auto"/>
              <w:ind w:firstLine="275"/>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p>
        </w:tc>
        <w:tc>
          <w:tcPr>
            <w:tcW w:w="9071" w:type="dxa"/>
            <w:vAlign w:val="center"/>
          </w:tcPr>
          <w:p>
            <w:pPr>
              <w:tabs>
                <w:tab w:val="left" w:pos="-1260"/>
                <w:tab w:val="left" w:pos="10260"/>
              </w:tabs>
              <w:spacing w:line="360" w:lineRule="auto"/>
              <w:ind w:firstLine="275"/>
              <w:rPr>
                <w:rFonts w:hint="eastAsia" w:ascii="宋体" w:hAnsi="宋体" w:eastAsia="宋体" w:cs="宋体"/>
                <w:color w:val="auto"/>
                <w:spacing w:val="-4"/>
                <w:sz w:val="28"/>
                <w:szCs w:val="28"/>
                <w:highlight w:val="none"/>
              </w:rPr>
            </w:pPr>
            <w:r>
              <w:rPr>
                <w:rFonts w:hint="eastAsia" w:ascii="宋体" w:hAnsi="宋体" w:eastAsia="宋体" w:cs="宋体"/>
                <w:color w:val="auto"/>
                <w:sz w:val="28"/>
                <w:szCs w:val="28"/>
                <w:highlight w:val="none"/>
              </w:rPr>
              <w:t>资格标准：详</w:t>
            </w:r>
            <w:r>
              <w:rPr>
                <w:rFonts w:hint="eastAsia" w:ascii="宋体" w:hAnsi="宋体" w:eastAsia="宋体" w:cs="宋体"/>
                <w:color w:val="auto"/>
                <w:spacing w:val="-4"/>
                <w:sz w:val="28"/>
                <w:szCs w:val="28"/>
                <w:highlight w:val="none"/>
              </w:rPr>
              <w:t>见</w:t>
            </w:r>
            <w:r>
              <w:rPr>
                <w:rFonts w:hint="eastAsia" w:ascii="宋体" w:hAnsi="宋体" w:eastAsia="宋体" w:cs="宋体"/>
                <w:color w:val="auto"/>
                <w:sz w:val="28"/>
                <w:szCs w:val="28"/>
                <w:highlight w:val="none"/>
              </w:rPr>
              <w:t xml:space="preserve"> “投标资格要求”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9" w:hRule="atLeast"/>
          <w:jc w:val="center"/>
        </w:trPr>
        <w:tc>
          <w:tcPr>
            <w:tcW w:w="850" w:type="dxa"/>
            <w:vAlign w:val="center"/>
          </w:tcPr>
          <w:p>
            <w:pPr>
              <w:spacing w:line="360" w:lineRule="auto"/>
              <w:ind w:firstLine="275"/>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p>
        </w:tc>
        <w:tc>
          <w:tcPr>
            <w:tcW w:w="9071" w:type="dxa"/>
            <w:vAlign w:val="center"/>
          </w:tcPr>
          <w:p>
            <w:pPr>
              <w:spacing w:line="360" w:lineRule="auto"/>
              <w:ind w:firstLine="27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投标有效期：</w:t>
            </w:r>
            <w:r>
              <w:rPr>
                <w:rFonts w:hint="eastAsia" w:ascii="宋体" w:hAnsi="宋体" w:eastAsia="宋体" w:cs="宋体"/>
                <w:color w:val="auto"/>
                <w:kern w:val="0"/>
                <w:sz w:val="28"/>
                <w:szCs w:val="28"/>
                <w:highlight w:val="none"/>
              </w:rPr>
              <w:t>投标截止期结束后90日历日。</w:t>
            </w:r>
            <w:r>
              <w:rPr>
                <w:rFonts w:hint="eastAsia" w:ascii="宋体" w:hAnsi="宋体" w:eastAsia="宋体" w:cs="宋体"/>
                <w:color w:val="auto"/>
                <w:sz w:val="28"/>
                <w:szCs w:val="28"/>
                <w:highlight w:val="none"/>
              </w:rPr>
              <w:t>有效期不足将导致其投标文件被拒绝。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2" w:hRule="atLeast"/>
          <w:jc w:val="center"/>
        </w:trPr>
        <w:tc>
          <w:tcPr>
            <w:tcW w:w="850" w:type="dxa"/>
            <w:vAlign w:val="center"/>
          </w:tcPr>
          <w:p>
            <w:pPr>
              <w:spacing w:line="360" w:lineRule="auto"/>
              <w:ind w:firstLine="275"/>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w:t>
            </w:r>
          </w:p>
        </w:tc>
        <w:tc>
          <w:tcPr>
            <w:tcW w:w="9071" w:type="dxa"/>
            <w:vAlign w:val="center"/>
          </w:tcPr>
          <w:p>
            <w:pPr>
              <w:spacing w:line="360" w:lineRule="auto"/>
              <w:ind w:firstLine="27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投标文件递交地址：</w:t>
            </w:r>
            <w:r>
              <w:rPr>
                <w:rFonts w:hint="eastAsia" w:ascii="宋体" w:hAnsi="宋体" w:eastAsia="宋体" w:cs="宋体"/>
                <w:color w:val="auto"/>
                <w:kern w:val="0"/>
                <w:sz w:val="28"/>
                <w:szCs w:val="28"/>
                <w:highlight w:val="none"/>
              </w:rPr>
              <w:t>厦门市思明区体育路41号顺承大厦6楼</w:t>
            </w:r>
          </w:p>
          <w:p>
            <w:pPr>
              <w:spacing w:line="360" w:lineRule="auto"/>
              <w:ind w:firstLine="27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投标截止时间：见“第一章 投标</w:t>
            </w:r>
            <w:r>
              <w:rPr>
                <w:rFonts w:hint="eastAsia" w:ascii="宋体" w:hAnsi="宋体" w:eastAsia="宋体" w:cs="宋体"/>
                <w:color w:val="auto"/>
                <w:sz w:val="28"/>
                <w:szCs w:val="28"/>
                <w:highlight w:val="none"/>
                <w:lang w:val="en-US" w:eastAsia="zh-CN"/>
              </w:rPr>
              <w:t>公告</w:t>
            </w:r>
            <w:r>
              <w:rPr>
                <w:rFonts w:hint="eastAsia" w:ascii="宋体" w:hAnsi="宋体" w:eastAsia="宋体" w:cs="宋体"/>
                <w:color w:val="auto"/>
                <w:sz w:val="28"/>
                <w:szCs w:val="28"/>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2" w:hRule="atLeast"/>
          <w:jc w:val="center"/>
        </w:trPr>
        <w:tc>
          <w:tcPr>
            <w:tcW w:w="850" w:type="dxa"/>
            <w:vAlign w:val="center"/>
          </w:tcPr>
          <w:p>
            <w:pPr>
              <w:spacing w:line="360" w:lineRule="auto"/>
              <w:ind w:firstLine="275"/>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w:t>
            </w:r>
          </w:p>
        </w:tc>
        <w:tc>
          <w:tcPr>
            <w:tcW w:w="9071" w:type="dxa"/>
            <w:vAlign w:val="center"/>
          </w:tcPr>
          <w:p>
            <w:pPr>
              <w:spacing w:line="360" w:lineRule="auto"/>
              <w:ind w:firstLine="275"/>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★投标保证金：人民币</w:t>
            </w:r>
            <w:r>
              <w:rPr>
                <w:rFonts w:hint="eastAsia" w:ascii="宋体" w:hAnsi="宋体" w:cs="宋体"/>
                <w:b/>
                <w:color w:val="auto"/>
                <w:sz w:val="28"/>
                <w:szCs w:val="28"/>
                <w:highlight w:val="none"/>
                <w:lang w:val="en-US" w:eastAsia="zh-CN"/>
              </w:rPr>
              <w:t>45</w:t>
            </w:r>
            <w:r>
              <w:rPr>
                <w:rFonts w:hint="eastAsia" w:ascii="宋体" w:hAnsi="宋体" w:eastAsia="宋体" w:cs="宋体"/>
                <w:b/>
                <w:color w:val="auto"/>
                <w:sz w:val="28"/>
                <w:szCs w:val="28"/>
                <w:highlight w:val="none"/>
              </w:rPr>
              <w:t>000元整。</w:t>
            </w:r>
          </w:p>
          <w:p>
            <w:pPr>
              <w:spacing w:line="360" w:lineRule="auto"/>
              <w:ind w:firstLine="275"/>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1、投标保证金以转账、电汇等形式提交，必须在投标截止时间前到达指定账户，不收取现金、现金支票，不接受任何个人名义的转账，否则作未提交投标保证金处理。</w:t>
            </w:r>
            <w:r>
              <w:rPr>
                <w:rFonts w:hint="eastAsia" w:ascii="宋体" w:hAnsi="宋体" w:eastAsia="宋体" w:cs="宋体"/>
                <w:b/>
                <w:color w:val="auto"/>
                <w:sz w:val="28"/>
                <w:szCs w:val="28"/>
                <w:highlight w:val="none"/>
              </w:rPr>
              <w:t>投标文件中应体现投标保证金的缴交凭证。</w:t>
            </w:r>
          </w:p>
          <w:p>
            <w:pPr>
              <w:spacing w:line="360" w:lineRule="auto"/>
              <w:ind w:firstLine="27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2、保证金的退还：</w:t>
            </w:r>
          </w:p>
          <w:p>
            <w:pPr>
              <w:spacing w:line="360" w:lineRule="auto"/>
              <w:ind w:firstLine="27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招标人将在《中标通知书》发出之日起20个工作日内予以原额无息退付未中标人的投标保证金。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2" w:hRule="atLeast"/>
          <w:jc w:val="center"/>
        </w:trPr>
        <w:tc>
          <w:tcPr>
            <w:tcW w:w="850" w:type="dxa"/>
            <w:vAlign w:val="center"/>
          </w:tcPr>
          <w:p>
            <w:pPr>
              <w:spacing w:line="360" w:lineRule="auto"/>
              <w:ind w:firstLine="275"/>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w:t>
            </w:r>
          </w:p>
        </w:tc>
        <w:tc>
          <w:tcPr>
            <w:tcW w:w="9071" w:type="dxa"/>
            <w:vAlign w:val="center"/>
          </w:tcPr>
          <w:p>
            <w:pPr>
              <w:spacing w:line="360" w:lineRule="auto"/>
              <w:ind w:firstLine="27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中标供应商在签订合同前，应向招标人缴纳</w:t>
            </w:r>
            <w:r>
              <w:rPr>
                <w:rFonts w:hint="eastAsia" w:ascii="宋体" w:hAnsi="宋体" w:cs="宋体"/>
                <w:color w:val="auto"/>
                <w:sz w:val="28"/>
                <w:szCs w:val="28"/>
                <w:highlight w:val="none"/>
                <w:shd w:val="clear" w:fill="auto"/>
                <w:lang w:val="en-US" w:eastAsia="zh-CN"/>
              </w:rPr>
              <w:t>10</w:t>
            </w:r>
            <w:r>
              <w:rPr>
                <w:rFonts w:hint="eastAsia" w:ascii="宋体" w:hAnsi="宋体" w:eastAsia="宋体" w:cs="宋体"/>
                <w:color w:val="auto"/>
                <w:sz w:val="28"/>
                <w:szCs w:val="28"/>
                <w:highlight w:val="none"/>
                <w:shd w:val="clear" w:fill="auto"/>
              </w:rPr>
              <w:t>0000</w:t>
            </w:r>
            <w:r>
              <w:rPr>
                <w:rFonts w:hint="eastAsia" w:ascii="宋体" w:hAnsi="宋体" w:eastAsia="宋体" w:cs="宋体"/>
                <w:color w:val="auto"/>
                <w:sz w:val="28"/>
                <w:szCs w:val="28"/>
                <w:highlight w:val="none"/>
              </w:rPr>
              <w:t>元履约保证金。</w:t>
            </w:r>
          </w:p>
          <w:p>
            <w:pPr>
              <w:spacing w:line="360" w:lineRule="auto"/>
              <w:ind w:firstLine="27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1.履约保证金数额：</w:t>
            </w:r>
            <w:r>
              <w:rPr>
                <w:rFonts w:hint="eastAsia" w:ascii="宋体" w:hAnsi="宋体" w:cs="宋体"/>
                <w:color w:val="auto"/>
                <w:sz w:val="28"/>
                <w:szCs w:val="28"/>
                <w:highlight w:val="none"/>
                <w:shd w:val="clear" w:fill="auto"/>
                <w:lang w:val="en-US" w:eastAsia="zh-CN"/>
              </w:rPr>
              <w:t>10</w:t>
            </w:r>
            <w:r>
              <w:rPr>
                <w:rFonts w:hint="eastAsia" w:ascii="宋体" w:hAnsi="宋体" w:eastAsia="宋体" w:cs="宋体"/>
                <w:color w:val="auto"/>
                <w:sz w:val="28"/>
                <w:szCs w:val="28"/>
                <w:highlight w:val="none"/>
                <w:shd w:val="clear" w:fill="auto"/>
              </w:rPr>
              <w:t>0000元</w:t>
            </w:r>
            <w:r>
              <w:rPr>
                <w:rFonts w:hint="eastAsia" w:ascii="宋体" w:hAnsi="宋体" w:eastAsia="宋体" w:cs="宋体"/>
                <w:color w:val="auto"/>
                <w:sz w:val="28"/>
                <w:szCs w:val="28"/>
                <w:highlight w:val="none"/>
              </w:rPr>
              <w:t>（指人民币，下同）。</w:t>
            </w:r>
          </w:p>
          <w:p>
            <w:pPr>
              <w:spacing w:line="360" w:lineRule="auto"/>
              <w:ind w:firstLine="27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2.履约保证金形式：转账。</w:t>
            </w:r>
          </w:p>
          <w:p>
            <w:pPr>
              <w:spacing w:line="360" w:lineRule="auto"/>
              <w:ind w:firstLine="27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3.中标人在收到中标通知书后签订采购合同，原投标保证金直接作为合同履约保证金</w:t>
            </w:r>
            <w:r>
              <w:rPr>
                <w:rFonts w:hint="eastAsia" w:ascii="宋体" w:hAnsi="宋体" w:cs="宋体"/>
                <w:color w:val="auto"/>
                <w:sz w:val="28"/>
                <w:szCs w:val="28"/>
                <w:highlight w:val="none"/>
                <w:lang w:val="en-US" w:eastAsia="zh-CN"/>
              </w:rPr>
              <w:t>,</w:t>
            </w:r>
            <w:r>
              <w:rPr>
                <w:rFonts w:hint="eastAsia" w:ascii="宋体" w:hAnsi="宋体" w:eastAsia="宋体" w:cs="宋体"/>
                <w:color w:val="auto"/>
                <w:sz w:val="28"/>
                <w:szCs w:val="28"/>
                <w:highlight w:val="none"/>
              </w:rPr>
              <w:t>不足部分请转入指定账户。履约保证金在双方合同终止、交接清楚、质保期（或保修期）结束和债权债务等关系理顺后30日历天内无息返还。</w:t>
            </w:r>
          </w:p>
          <w:p>
            <w:pPr>
              <w:spacing w:line="360" w:lineRule="auto"/>
              <w:ind w:firstLine="27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4.中标人如在服务期限内不能完成招投标文件和采购合同约定，招标人有权解除合同，履约保证金不予退还。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63" w:hRule="atLeast"/>
          <w:jc w:val="center"/>
        </w:trPr>
        <w:tc>
          <w:tcPr>
            <w:tcW w:w="850" w:type="dxa"/>
            <w:vAlign w:val="center"/>
          </w:tcPr>
          <w:p>
            <w:pPr>
              <w:spacing w:line="360" w:lineRule="auto"/>
              <w:ind w:firstLine="275"/>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w:t>
            </w:r>
          </w:p>
        </w:tc>
        <w:tc>
          <w:tcPr>
            <w:tcW w:w="9071" w:type="dxa"/>
            <w:vAlign w:val="center"/>
          </w:tcPr>
          <w:p>
            <w:pPr>
              <w:spacing w:line="360" w:lineRule="auto"/>
              <w:ind w:firstLine="27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★招标预算价（即最高控制价）为：8</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t>00元/岗/月；</w:t>
            </w:r>
            <w:r>
              <w:rPr>
                <w:rFonts w:hint="eastAsia" w:ascii="宋体" w:hAnsi="宋体" w:cs="宋体"/>
                <w:color w:val="auto"/>
                <w:sz w:val="28"/>
                <w:szCs w:val="28"/>
                <w:highlight w:val="none"/>
                <w:lang w:val="en-US" w:eastAsia="zh-CN"/>
              </w:rPr>
              <w:t>204000</w:t>
            </w:r>
            <w:r>
              <w:rPr>
                <w:rFonts w:hint="eastAsia" w:ascii="宋体" w:hAnsi="宋体" w:eastAsia="宋体" w:cs="宋体"/>
                <w:color w:val="auto"/>
                <w:sz w:val="28"/>
                <w:szCs w:val="28"/>
                <w:highlight w:val="none"/>
              </w:rPr>
              <w:t>元/月；</w:t>
            </w:r>
            <w:r>
              <w:rPr>
                <w:rFonts w:hint="eastAsia" w:ascii="宋体" w:hAnsi="宋体" w:cs="宋体"/>
                <w:color w:val="auto"/>
                <w:sz w:val="28"/>
                <w:szCs w:val="28"/>
                <w:highlight w:val="none"/>
                <w:lang w:val="en-US" w:eastAsia="zh-CN"/>
              </w:rPr>
              <w:t>2448000</w:t>
            </w:r>
            <w:r>
              <w:rPr>
                <w:rFonts w:hint="eastAsia" w:ascii="宋体" w:hAnsi="宋体" w:eastAsia="宋体" w:cs="宋体"/>
                <w:color w:val="auto"/>
                <w:sz w:val="28"/>
                <w:szCs w:val="28"/>
                <w:highlight w:val="none"/>
              </w:rPr>
              <w:t>元/年</w:t>
            </w:r>
            <w:r>
              <w:rPr>
                <w:rFonts w:hint="eastAsia" w:ascii="宋体" w:hAnsi="宋体" w:eastAsia="宋体" w:cs="宋体"/>
                <w:b/>
                <w:color w:val="auto"/>
                <w:kern w:val="0"/>
                <w:sz w:val="28"/>
                <w:szCs w:val="28"/>
                <w:highlight w:val="none"/>
              </w:rPr>
              <w:t>。最高控制价为含税包干预算价，</w:t>
            </w:r>
            <w:r>
              <w:rPr>
                <w:rFonts w:hint="eastAsia" w:ascii="宋体" w:hAnsi="宋体" w:eastAsia="宋体" w:cs="宋体"/>
                <w:b/>
                <w:color w:val="auto"/>
                <w:sz w:val="28"/>
                <w:szCs w:val="28"/>
                <w:highlight w:val="none"/>
              </w:rPr>
              <w:t>投标人投标报价超过预算价的投标为无效投标</w:t>
            </w:r>
            <w:r>
              <w:rPr>
                <w:rFonts w:hint="eastAsia" w:ascii="宋体" w:hAnsi="宋体" w:eastAsia="宋体" w:cs="宋体"/>
                <w:color w:val="auto"/>
                <w:sz w:val="28"/>
                <w:szCs w:val="28"/>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00" w:hRule="atLeast"/>
          <w:jc w:val="center"/>
        </w:trPr>
        <w:tc>
          <w:tcPr>
            <w:tcW w:w="850" w:type="dxa"/>
            <w:vAlign w:val="center"/>
          </w:tcPr>
          <w:p>
            <w:pPr>
              <w:spacing w:line="360" w:lineRule="auto"/>
              <w:ind w:firstLine="275"/>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w:t>
            </w:r>
          </w:p>
        </w:tc>
        <w:tc>
          <w:tcPr>
            <w:tcW w:w="9071" w:type="dxa"/>
            <w:vAlign w:val="center"/>
          </w:tcPr>
          <w:p>
            <w:pPr>
              <w:spacing w:line="360" w:lineRule="auto"/>
              <w:ind w:firstLine="27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评标标准和方法：本次招标采用综合评分法评标。首先，由评标委员会根据招标文件要求（无效投标界定），审核各投标文件是否合格、有效，凡不符合专业条件要求和未实质性响应招标文件要求的投标均不进入比价程序。最终按得分排序推荐中标候选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32" w:hRule="atLeast"/>
          <w:jc w:val="center"/>
        </w:trPr>
        <w:tc>
          <w:tcPr>
            <w:tcW w:w="850" w:type="dxa"/>
            <w:vAlign w:val="center"/>
          </w:tcPr>
          <w:p>
            <w:pPr>
              <w:spacing w:line="360" w:lineRule="auto"/>
              <w:ind w:firstLine="275"/>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w:t>
            </w:r>
          </w:p>
        </w:tc>
        <w:tc>
          <w:tcPr>
            <w:tcW w:w="9071" w:type="dxa"/>
            <w:vAlign w:val="center"/>
          </w:tcPr>
          <w:p>
            <w:pPr>
              <w:spacing w:line="360" w:lineRule="auto"/>
              <w:ind w:firstLine="275"/>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投标提醒：</w:t>
            </w:r>
          </w:p>
          <w:p>
            <w:pPr>
              <w:spacing w:line="360" w:lineRule="auto"/>
              <w:ind w:firstLine="27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1、投标保证金手续办理完毕后，请再次核对账号、收款单位是否正确，并确保在投标截止时间前到账。</w:t>
            </w:r>
          </w:p>
          <w:p>
            <w:pPr>
              <w:spacing w:line="360" w:lineRule="auto"/>
              <w:ind w:firstLine="275"/>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2、为方便保证金的收取工作，</w:t>
            </w:r>
            <w:r>
              <w:rPr>
                <w:rFonts w:hint="eastAsia" w:ascii="宋体" w:hAnsi="宋体" w:eastAsia="宋体" w:cs="宋体"/>
                <w:b/>
                <w:color w:val="auto"/>
                <w:kern w:val="0"/>
                <w:sz w:val="28"/>
                <w:szCs w:val="28"/>
                <w:highlight w:val="none"/>
                <w:u w:val="single"/>
              </w:rPr>
              <w:t>除投标文件中的缴交凭证外，</w:t>
            </w:r>
            <w:r>
              <w:rPr>
                <w:rFonts w:hint="eastAsia" w:ascii="宋体" w:hAnsi="宋体" w:eastAsia="宋体" w:cs="宋体"/>
                <w:b/>
                <w:color w:val="auto"/>
                <w:sz w:val="28"/>
                <w:szCs w:val="28"/>
                <w:highlight w:val="none"/>
                <w:u w:val="single"/>
              </w:rPr>
              <w:t>投标人在递交投标文件时应单独提供保证金缴交证明复印件一份给招标人投标文件接收人员。</w:t>
            </w:r>
          </w:p>
          <w:p>
            <w:pPr>
              <w:spacing w:line="360" w:lineRule="auto"/>
              <w:ind w:firstLine="27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3、为确保在投标截止时间前递交投标文件，请务必考虑交通拥挤及路上不可预见的其他因素。</w:t>
            </w:r>
          </w:p>
          <w:p>
            <w:pPr>
              <w:spacing w:line="360" w:lineRule="auto"/>
              <w:ind w:firstLine="27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4、本文件第四章的投标文件格式中要求投标人盖章、投标代表签字的均应按要求盖章、签字。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90" w:hRule="atLeast"/>
          <w:jc w:val="center"/>
        </w:trPr>
        <w:tc>
          <w:tcPr>
            <w:tcW w:w="850" w:type="dxa"/>
            <w:vAlign w:val="center"/>
          </w:tcPr>
          <w:p>
            <w:pPr>
              <w:spacing w:line="360" w:lineRule="auto"/>
              <w:ind w:firstLine="275"/>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w:t>
            </w:r>
          </w:p>
        </w:tc>
        <w:tc>
          <w:tcPr>
            <w:tcW w:w="9071" w:type="dxa"/>
            <w:vAlign w:val="center"/>
          </w:tcPr>
          <w:p>
            <w:pPr>
              <w:spacing w:line="360" w:lineRule="auto"/>
              <w:ind w:firstLine="275"/>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投标资格要求与投标资格证明文件</w:t>
            </w:r>
          </w:p>
          <w:p>
            <w:pPr>
              <w:numPr>
                <w:ilvl w:val="0"/>
                <w:numId w:val="1"/>
              </w:numPr>
              <w:spacing w:line="360" w:lineRule="auto"/>
              <w:ind w:left="-9" w:firstLine="275"/>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★投标人具有独立承担民事责任的能力，并具备参加招投标采购活动的合法条件。投标人必须提供企业法人营业执照（副本）的有效复印件。</w:t>
            </w:r>
          </w:p>
          <w:p>
            <w:pPr>
              <w:numPr>
                <w:ilvl w:val="0"/>
                <w:numId w:val="1"/>
              </w:numPr>
              <w:spacing w:line="360" w:lineRule="auto"/>
              <w:ind w:left="-9" w:firstLine="274"/>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★投标人代表不是法定代表人的，应提供法定代表人授权书原件，以及投标人代表的身份证复印件。</w:t>
            </w:r>
          </w:p>
          <w:p>
            <w:pPr>
              <w:numPr>
                <w:ilvl w:val="0"/>
                <w:numId w:val="1"/>
              </w:numPr>
              <w:spacing w:line="360" w:lineRule="auto"/>
              <w:ind w:left="-9" w:leftChars="0" w:firstLine="274" w:firstLineChars="0"/>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★投标人需提供保安服务许可证资质证明和保证本项目派遣保安人员100%持证上岗承诺书（消控岗须提供四级消防设施操作员证</w:t>
            </w:r>
            <w:r>
              <w:rPr>
                <w:rFonts w:hint="eastAsia" w:ascii="宋体" w:hAnsi="宋体" w:cs="宋体"/>
                <w:b/>
                <w:bCs/>
                <w:color w:val="auto"/>
                <w:kern w:val="2"/>
                <w:sz w:val="28"/>
                <w:szCs w:val="28"/>
                <w:highlight w:val="none"/>
                <w:lang w:val="en-US" w:eastAsia="zh-CN"/>
              </w:rPr>
              <w:t>或四级建（构）筑物消防员证</w:t>
            </w:r>
            <w:r>
              <w:rPr>
                <w:rFonts w:hint="eastAsia" w:ascii="宋体" w:hAnsi="宋体" w:eastAsia="宋体" w:cs="宋体"/>
                <w:b/>
                <w:bCs/>
                <w:color w:val="auto"/>
                <w:sz w:val="28"/>
                <w:szCs w:val="28"/>
                <w:highlight w:val="none"/>
                <w:lang w:val="en-US" w:eastAsia="zh-CN"/>
              </w:rPr>
              <w:t>及保安证</w:t>
            </w:r>
            <w:r>
              <w:rPr>
                <w:rFonts w:hint="eastAsia" w:ascii="宋体" w:hAnsi="宋体" w:eastAsia="宋体" w:cs="宋体"/>
                <w:b/>
                <w:bCs/>
                <w:color w:val="auto"/>
                <w:sz w:val="28"/>
                <w:szCs w:val="28"/>
                <w:highlight w:val="none"/>
              </w:rPr>
              <w:t>，其他维序岗位须持保安证），并提供缴纳</w:t>
            </w:r>
            <w:r>
              <w:rPr>
                <w:rFonts w:hint="eastAsia" w:ascii="仿宋" w:hAnsi="仿宋" w:eastAsia="仿宋"/>
                <w:b/>
                <w:bCs/>
                <w:color w:val="auto"/>
                <w:sz w:val="28"/>
                <w:szCs w:val="28"/>
                <w:highlight w:val="none"/>
              </w:rPr>
              <w:t>社会保险（包括养老保险、医疗保险、失业保险、工伤保险、生育保险）</w:t>
            </w:r>
            <w:r>
              <w:rPr>
                <w:rFonts w:hint="eastAsia" w:ascii="宋体" w:hAnsi="宋体" w:eastAsia="宋体" w:cs="宋体"/>
                <w:b/>
                <w:bCs/>
                <w:color w:val="auto"/>
                <w:sz w:val="28"/>
                <w:szCs w:val="28"/>
                <w:highlight w:val="none"/>
              </w:rPr>
              <w:t>清单证明（复印件加盖公章）。</w:t>
            </w:r>
          </w:p>
          <w:p>
            <w:pPr>
              <w:numPr>
                <w:ilvl w:val="0"/>
                <w:numId w:val="1"/>
              </w:numPr>
              <w:spacing w:line="360" w:lineRule="auto"/>
              <w:ind w:left="-9" w:leftChars="0" w:firstLine="274" w:firstLineChars="0"/>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★投标人需提供自2020年1月1日以来至今（以合同签约时间为准），至少一例上海市住宅物业项目的安保服务业绩证明（附合同复印件加盖公章）。</w:t>
            </w:r>
          </w:p>
          <w:p>
            <w:pPr>
              <w:spacing w:line="360" w:lineRule="auto"/>
              <w:ind w:firstLine="274"/>
              <w:jc w:val="left"/>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5</w:t>
            </w:r>
            <w:r>
              <w:rPr>
                <w:rFonts w:hint="eastAsia" w:ascii="宋体" w:hAnsi="宋体" w:eastAsia="宋体" w:cs="宋体"/>
                <w:b/>
                <w:bCs/>
                <w:color w:val="auto"/>
                <w:sz w:val="28"/>
                <w:szCs w:val="28"/>
                <w:highlight w:val="none"/>
                <w:lang w:val="en-US" w:eastAsia="zh-CN"/>
              </w:rPr>
              <w:t>、</w:t>
            </w:r>
            <w:r>
              <w:rPr>
                <w:rFonts w:hint="eastAsia" w:ascii="宋体" w:hAnsi="宋体" w:eastAsia="宋体" w:cs="宋体"/>
                <w:b/>
                <w:bCs/>
                <w:color w:val="auto"/>
                <w:sz w:val="28"/>
                <w:szCs w:val="28"/>
                <w:highlight w:val="none"/>
              </w:rPr>
              <w:t>★投标单位</w:t>
            </w:r>
            <w:r>
              <w:rPr>
                <w:rFonts w:hint="eastAsia" w:ascii="宋体" w:hAnsi="宋体" w:eastAsia="宋体" w:cs="宋体"/>
                <w:b/>
                <w:bCs/>
                <w:color w:val="auto"/>
                <w:sz w:val="28"/>
                <w:szCs w:val="28"/>
                <w:highlight w:val="none"/>
                <w:lang w:val="en-US" w:eastAsia="zh-CN"/>
              </w:rPr>
              <w:t>注册资本不低于2000万元。</w:t>
            </w:r>
          </w:p>
          <w:p>
            <w:pPr>
              <w:spacing w:line="360" w:lineRule="auto"/>
              <w:ind w:firstLine="274"/>
              <w:jc w:val="left"/>
              <w:rPr>
                <w:rFonts w:hint="default"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6、</w:t>
            </w:r>
            <w:r>
              <w:rPr>
                <w:rFonts w:hint="eastAsia" w:ascii="宋体" w:hAnsi="宋体" w:eastAsia="宋体" w:cs="宋体"/>
                <w:b/>
                <w:bCs/>
                <w:color w:val="auto"/>
                <w:sz w:val="28"/>
                <w:szCs w:val="28"/>
                <w:highlight w:val="none"/>
              </w:rPr>
              <w:t>★</w:t>
            </w:r>
            <w:r>
              <w:rPr>
                <w:rFonts w:hint="eastAsia" w:ascii="宋体" w:hAnsi="宋体" w:cs="宋体"/>
                <w:b/>
                <w:bCs/>
                <w:color w:val="auto"/>
                <w:sz w:val="28"/>
                <w:szCs w:val="28"/>
                <w:highlight w:val="none"/>
                <w:lang w:val="en-US" w:eastAsia="zh-CN"/>
              </w:rPr>
              <w:t>投标单位需在售后服务承诺书中，按甲方投标文件内容中所必须要求承诺的事项和内容，做出承诺。否则视为不符合投标要求。</w:t>
            </w:r>
          </w:p>
          <w:p>
            <w:pPr>
              <w:spacing w:line="360" w:lineRule="auto"/>
              <w:ind w:firstLine="274"/>
              <w:rPr>
                <w:rFonts w:hint="eastAsia" w:ascii="宋体" w:hAnsi="宋体" w:eastAsia="宋体" w:cs="宋体"/>
                <w:b/>
                <w:color w:val="auto"/>
                <w:sz w:val="28"/>
                <w:szCs w:val="28"/>
                <w:highlight w:val="none"/>
              </w:rPr>
            </w:pPr>
            <w:r>
              <w:rPr>
                <w:rFonts w:hint="eastAsia" w:ascii="宋体" w:hAnsi="宋体" w:eastAsia="宋体" w:cs="宋体"/>
                <w:b/>
                <w:bCs/>
                <w:color w:val="auto"/>
                <w:sz w:val="28"/>
                <w:szCs w:val="28"/>
                <w:highlight w:val="none"/>
              </w:rPr>
              <w:t>以上资格证明文件均应加盖投标人公章，原件备查。</w:t>
            </w:r>
          </w:p>
        </w:tc>
      </w:tr>
    </w:tbl>
    <w:p>
      <w:pPr>
        <w:pStyle w:val="8"/>
        <w:spacing w:line="360" w:lineRule="auto"/>
        <w:rPr>
          <w:rFonts w:hint="eastAsia" w:ascii="宋体" w:hAnsi="宋体" w:eastAsia="宋体" w:cs="宋体"/>
          <w:color w:val="auto"/>
          <w:sz w:val="28"/>
          <w:szCs w:val="28"/>
          <w:highlight w:val="none"/>
        </w:rPr>
      </w:pPr>
    </w:p>
    <w:p>
      <w:pPr>
        <w:pStyle w:val="3"/>
        <w:keepNext w:val="0"/>
        <w:keepLines w:val="0"/>
        <w:spacing w:before="0" w:after="0" w:line="360" w:lineRule="auto"/>
        <w:ind w:firstLine="314"/>
        <w:jc w:val="left"/>
        <w:rPr>
          <w:rFonts w:hint="eastAsia" w:ascii="宋体" w:hAnsi="宋体" w:eastAsia="宋体" w:cs="宋体"/>
          <w:color w:val="auto"/>
          <w:sz w:val="28"/>
          <w:szCs w:val="28"/>
          <w:highlight w:val="none"/>
        </w:rPr>
      </w:pPr>
      <w:bookmarkStart w:id="39" w:name="_Toc23723"/>
      <w:bookmarkStart w:id="40" w:name="_Toc17853"/>
      <w:bookmarkStart w:id="41" w:name="_Toc25721"/>
      <w:bookmarkStart w:id="42" w:name="_Toc17363"/>
      <w:bookmarkStart w:id="43" w:name="_Toc4422"/>
      <w:bookmarkStart w:id="44" w:name="_Toc11795"/>
      <w:bookmarkStart w:id="45" w:name="_Toc15181"/>
      <w:bookmarkStart w:id="46" w:name="_Toc21942"/>
      <w:bookmarkStart w:id="47" w:name="_Toc10030"/>
      <w:bookmarkStart w:id="48" w:name="_Toc21228"/>
      <w:r>
        <w:rPr>
          <w:rFonts w:hint="eastAsia" w:ascii="宋体" w:hAnsi="宋体" w:eastAsia="宋体" w:cs="宋体"/>
          <w:color w:val="auto"/>
          <w:sz w:val="28"/>
          <w:szCs w:val="28"/>
          <w:highlight w:val="none"/>
        </w:rPr>
        <w:t>第一节  说  明</w:t>
      </w:r>
      <w:bookmarkEnd w:id="39"/>
      <w:bookmarkEnd w:id="40"/>
      <w:bookmarkEnd w:id="41"/>
      <w:bookmarkEnd w:id="42"/>
      <w:bookmarkEnd w:id="43"/>
      <w:bookmarkEnd w:id="44"/>
      <w:bookmarkEnd w:id="45"/>
      <w:bookmarkEnd w:id="46"/>
      <w:bookmarkEnd w:id="47"/>
      <w:bookmarkEnd w:id="48"/>
    </w:p>
    <w:p>
      <w:pPr>
        <w:pStyle w:val="4"/>
        <w:keepNext w:val="0"/>
        <w:keepLines w:val="0"/>
        <w:spacing w:before="0" w:after="0" w:line="360" w:lineRule="auto"/>
        <w:ind w:firstLine="562" w:firstLineChars="200"/>
        <w:jc w:val="left"/>
        <w:rPr>
          <w:rFonts w:hint="eastAsia" w:ascii="宋体" w:hAnsi="宋体" w:eastAsia="宋体" w:cs="宋体"/>
          <w:color w:val="auto"/>
          <w:sz w:val="28"/>
          <w:szCs w:val="28"/>
          <w:highlight w:val="none"/>
        </w:rPr>
      </w:pPr>
      <w:bookmarkStart w:id="49" w:name="_Toc20900"/>
      <w:bookmarkStart w:id="50" w:name="_Toc24765"/>
      <w:bookmarkStart w:id="51" w:name="_Toc6247"/>
      <w:bookmarkStart w:id="52" w:name="_Toc14143"/>
      <w:bookmarkStart w:id="53" w:name="_Toc6626"/>
      <w:bookmarkStart w:id="54" w:name="_Toc27900"/>
      <w:bookmarkStart w:id="55" w:name="_Toc11056"/>
      <w:bookmarkStart w:id="56" w:name="_Toc191892300"/>
      <w:bookmarkStart w:id="57" w:name="_Toc192925648"/>
      <w:bookmarkStart w:id="58" w:name="_Toc7190"/>
      <w:bookmarkStart w:id="59" w:name="_Toc10464"/>
      <w:bookmarkStart w:id="60" w:name="_Toc7875"/>
      <w:r>
        <w:rPr>
          <w:rFonts w:hint="eastAsia" w:ascii="宋体" w:hAnsi="宋体" w:eastAsia="宋体" w:cs="宋体"/>
          <w:color w:val="auto"/>
          <w:sz w:val="28"/>
          <w:szCs w:val="28"/>
          <w:highlight w:val="none"/>
        </w:rPr>
        <w:t>1. 适用范围</w:t>
      </w:r>
      <w:bookmarkEnd w:id="49"/>
      <w:bookmarkEnd w:id="50"/>
      <w:bookmarkEnd w:id="51"/>
      <w:bookmarkEnd w:id="52"/>
      <w:bookmarkEnd w:id="53"/>
      <w:bookmarkEnd w:id="54"/>
      <w:bookmarkEnd w:id="55"/>
      <w:bookmarkEnd w:id="56"/>
      <w:bookmarkEnd w:id="57"/>
      <w:bookmarkEnd w:id="58"/>
      <w:bookmarkEnd w:id="59"/>
      <w:bookmarkEnd w:id="60"/>
    </w:p>
    <w:p>
      <w:pPr>
        <w:spacing w:line="360" w:lineRule="auto"/>
        <w:jc w:val="left"/>
        <w:rPr>
          <w:rFonts w:hint="eastAsia" w:ascii="宋体" w:hAnsi="宋体" w:eastAsia="宋体" w:cs="宋体"/>
          <w:b/>
          <w:bCs/>
          <w:color w:val="auto"/>
          <w:sz w:val="28"/>
          <w:szCs w:val="28"/>
          <w:highlight w:val="none"/>
          <w:lang w:val="zh-CN"/>
        </w:rPr>
      </w:pPr>
      <w:r>
        <w:rPr>
          <w:rFonts w:hint="eastAsia" w:ascii="宋体" w:hAnsi="宋体" w:eastAsia="宋体" w:cs="宋体"/>
          <w:color w:val="auto"/>
          <w:sz w:val="28"/>
          <w:szCs w:val="28"/>
          <w:highlight w:val="none"/>
        </w:rPr>
        <w:t>1.1本招标文件仅适用于</w:t>
      </w:r>
      <w:r>
        <w:rPr>
          <w:rFonts w:hint="eastAsia" w:ascii="宋体" w:hAnsi="宋体" w:eastAsia="宋体" w:cs="宋体"/>
          <w:color w:val="auto"/>
          <w:sz w:val="28"/>
          <w:szCs w:val="28"/>
          <w:highlight w:val="none"/>
          <w:u w:val="single"/>
          <w:lang w:eastAsia="zh-CN"/>
        </w:rPr>
        <w:t>上海</w:t>
      </w:r>
      <w:r>
        <w:rPr>
          <w:rFonts w:hint="eastAsia" w:ascii="宋体" w:hAnsi="宋体" w:cs="宋体"/>
          <w:color w:val="auto"/>
          <w:sz w:val="28"/>
          <w:szCs w:val="28"/>
          <w:highlight w:val="none"/>
          <w:u w:val="single"/>
          <w:lang w:eastAsia="zh-CN"/>
        </w:rPr>
        <w:t>国贸璟上</w:t>
      </w:r>
      <w:r>
        <w:rPr>
          <w:rFonts w:hint="eastAsia" w:ascii="宋体" w:hAnsi="宋体" w:eastAsia="宋体" w:cs="宋体"/>
          <w:color w:val="auto"/>
          <w:sz w:val="28"/>
          <w:szCs w:val="28"/>
          <w:highlight w:val="none"/>
          <w:u w:val="single"/>
        </w:rPr>
        <w:t xml:space="preserve">保安服务 </w:t>
      </w:r>
      <w:r>
        <w:rPr>
          <w:rFonts w:hint="eastAsia" w:ascii="宋体" w:hAnsi="宋体" w:eastAsia="宋体" w:cs="宋体"/>
          <w:color w:val="auto"/>
          <w:sz w:val="28"/>
          <w:szCs w:val="28"/>
          <w:highlight w:val="none"/>
        </w:rPr>
        <w:t>。</w:t>
      </w:r>
    </w:p>
    <w:p>
      <w:pPr>
        <w:pStyle w:val="4"/>
        <w:keepNext w:val="0"/>
        <w:keepLines w:val="0"/>
        <w:spacing w:before="0" w:after="0" w:line="360" w:lineRule="auto"/>
        <w:ind w:firstLine="562" w:firstLineChars="200"/>
        <w:jc w:val="left"/>
        <w:rPr>
          <w:rFonts w:hint="eastAsia" w:ascii="宋体" w:hAnsi="宋体" w:eastAsia="宋体" w:cs="宋体"/>
          <w:color w:val="auto"/>
          <w:sz w:val="28"/>
          <w:szCs w:val="28"/>
          <w:highlight w:val="none"/>
        </w:rPr>
      </w:pPr>
      <w:bookmarkStart w:id="61" w:name="_Toc11406"/>
      <w:bookmarkStart w:id="62" w:name="_Toc192925649"/>
      <w:bookmarkStart w:id="63" w:name="_Toc20257"/>
      <w:bookmarkStart w:id="64" w:name="_Toc15781"/>
      <w:bookmarkStart w:id="65" w:name="_Toc17429"/>
      <w:bookmarkStart w:id="66" w:name="_Toc31217"/>
      <w:bookmarkStart w:id="67" w:name="_Toc11942"/>
      <w:bookmarkStart w:id="68" w:name="_Toc13121"/>
      <w:bookmarkStart w:id="69" w:name="_Toc16993"/>
      <w:bookmarkStart w:id="70" w:name="_Toc191892301"/>
      <w:bookmarkStart w:id="71" w:name="_Toc7782"/>
      <w:bookmarkStart w:id="72" w:name="_Toc17316"/>
      <w:r>
        <w:rPr>
          <w:rFonts w:hint="eastAsia" w:ascii="宋体" w:hAnsi="宋体" w:eastAsia="宋体" w:cs="宋体"/>
          <w:color w:val="auto"/>
          <w:sz w:val="28"/>
          <w:szCs w:val="28"/>
          <w:highlight w:val="none"/>
        </w:rPr>
        <w:t>2. 定义</w:t>
      </w:r>
      <w:bookmarkEnd w:id="61"/>
      <w:bookmarkEnd w:id="62"/>
      <w:bookmarkEnd w:id="63"/>
      <w:bookmarkEnd w:id="64"/>
      <w:bookmarkEnd w:id="65"/>
      <w:bookmarkEnd w:id="66"/>
      <w:bookmarkEnd w:id="67"/>
      <w:bookmarkEnd w:id="68"/>
      <w:bookmarkEnd w:id="69"/>
      <w:bookmarkEnd w:id="70"/>
      <w:bookmarkEnd w:id="71"/>
      <w:bookmarkEnd w:id="72"/>
    </w:p>
    <w:p>
      <w:pPr>
        <w:spacing w:line="360" w:lineRule="auto"/>
        <w:ind w:firstLine="560" w:firstLineChars="200"/>
        <w:jc w:val="left"/>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2.1 “招标人”系指</w:t>
      </w:r>
      <w:r>
        <w:rPr>
          <w:rFonts w:hint="eastAsia" w:ascii="宋体" w:hAnsi="宋体" w:eastAsia="宋体" w:cs="宋体"/>
          <w:b/>
          <w:bCs/>
          <w:color w:val="auto"/>
          <w:sz w:val="28"/>
          <w:szCs w:val="28"/>
          <w:highlight w:val="none"/>
        </w:rPr>
        <w:t>厦门国贸城市服务集团股份有限公司</w:t>
      </w:r>
      <w:r>
        <w:rPr>
          <w:rFonts w:hint="eastAsia" w:ascii="宋体" w:hAnsi="宋体" w:eastAsia="宋体" w:cs="宋体"/>
          <w:b/>
          <w:color w:val="auto"/>
          <w:sz w:val="28"/>
          <w:szCs w:val="28"/>
          <w:highlight w:val="none"/>
        </w:rPr>
        <w:t>。</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2.2“投标人”系指获取了本招标文件，且已经提交或者准备提交本次投标文件的制造商或供货商。</w:t>
      </w:r>
    </w:p>
    <w:p>
      <w:pPr>
        <w:pStyle w:val="4"/>
        <w:keepNext w:val="0"/>
        <w:keepLines w:val="0"/>
        <w:spacing w:before="0" w:after="0" w:line="360" w:lineRule="auto"/>
        <w:ind w:firstLine="562" w:firstLineChars="200"/>
        <w:jc w:val="left"/>
        <w:rPr>
          <w:rFonts w:hint="eastAsia" w:ascii="宋体" w:hAnsi="宋体" w:eastAsia="宋体" w:cs="宋体"/>
          <w:color w:val="auto"/>
          <w:sz w:val="28"/>
          <w:szCs w:val="28"/>
          <w:highlight w:val="none"/>
        </w:rPr>
      </w:pPr>
      <w:bookmarkStart w:id="73" w:name="_Toc11011"/>
      <w:bookmarkStart w:id="74" w:name="_Toc11072"/>
      <w:bookmarkStart w:id="75" w:name="_Toc23655"/>
      <w:bookmarkStart w:id="76" w:name="_Toc3249"/>
      <w:bookmarkStart w:id="77" w:name="_Toc191892302"/>
      <w:bookmarkStart w:id="78" w:name="_Toc22330"/>
      <w:bookmarkStart w:id="79" w:name="_Toc22832"/>
      <w:bookmarkStart w:id="80" w:name="_Toc192925650"/>
      <w:bookmarkStart w:id="81" w:name="_Toc8731"/>
      <w:bookmarkStart w:id="82" w:name="_Toc13995"/>
      <w:bookmarkStart w:id="83" w:name="_Toc24240"/>
      <w:bookmarkStart w:id="84" w:name="_Toc16439"/>
      <w:r>
        <w:rPr>
          <w:rFonts w:hint="eastAsia" w:ascii="宋体" w:hAnsi="宋体" w:eastAsia="宋体" w:cs="宋体"/>
          <w:color w:val="auto"/>
          <w:sz w:val="28"/>
          <w:szCs w:val="28"/>
          <w:highlight w:val="none"/>
        </w:rPr>
        <w:t>3. 合格的投标人</w:t>
      </w:r>
      <w:bookmarkEnd w:id="73"/>
      <w:bookmarkEnd w:id="74"/>
      <w:bookmarkEnd w:id="75"/>
      <w:bookmarkEnd w:id="76"/>
      <w:bookmarkEnd w:id="77"/>
      <w:bookmarkEnd w:id="78"/>
      <w:bookmarkEnd w:id="79"/>
      <w:bookmarkEnd w:id="80"/>
      <w:bookmarkEnd w:id="81"/>
      <w:bookmarkEnd w:id="82"/>
      <w:bookmarkEnd w:id="83"/>
      <w:bookmarkEnd w:id="84"/>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3.1凡有能力提供本招标文件所述货物及服务的，符合本招标文件规定的资格要求（具体要求见 “投标资格要求与投标资格证明文件”），符合政府采购法第二十二条的规定的均可能成为合格的投标人。</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3.2 投标人应遵守中国的有关法律、法规和规章的规定</w:t>
      </w:r>
      <w:r>
        <w:rPr>
          <w:rFonts w:hint="eastAsia" w:ascii="宋体" w:hAnsi="宋体" w:eastAsia="宋体" w:cs="宋体"/>
          <w:bCs/>
          <w:color w:val="auto"/>
          <w:sz w:val="28"/>
          <w:szCs w:val="28"/>
          <w:highlight w:val="none"/>
        </w:rPr>
        <w:t>。</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3.3 一个投标人对同一个合同包只能提交一个投标文件。如果投标人之间存在下列互为关联关系的情形之一的，不得同时参加本项目投标：</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 法定代表人为同一人的两个及两个以上法人；</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 母公司、直接或间接持股50％及以上的被投资公司；</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 均为同一家母公司直接或间接持股50％及以上的被投资公司。</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3.4 本项目不接受联合体形式投标。</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3.5 投标代理人在同一个合同包中只能接受一个投标人的委托参加投标。</w:t>
      </w:r>
    </w:p>
    <w:p>
      <w:pPr>
        <w:pStyle w:val="4"/>
        <w:keepNext w:val="0"/>
        <w:keepLines w:val="0"/>
        <w:spacing w:before="0" w:after="0" w:line="360" w:lineRule="auto"/>
        <w:ind w:firstLine="562" w:firstLineChars="200"/>
        <w:jc w:val="left"/>
        <w:rPr>
          <w:rFonts w:hint="eastAsia" w:ascii="宋体" w:hAnsi="宋体" w:eastAsia="宋体" w:cs="宋体"/>
          <w:color w:val="auto"/>
          <w:sz w:val="28"/>
          <w:szCs w:val="28"/>
          <w:highlight w:val="none"/>
        </w:rPr>
      </w:pPr>
      <w:bookmarkStart w:id="85" w:name="_Toc22891"/>
      <w:bookmarkStart w:id="86" w:name="_Toc17887"/>
      <w:bookmarkStart w:id="87" w:name="_Toc31545"/>
      <w:bookmarkStart w:id="88" w:name="_Toc8182"/>
      <w:bookmarkStart w:id="89" w:name="_Toc191892303"/>
      <w:bookmarkStart w:id="90" w:name="_Toc24568"/>
      <w:bookmarkStart w:id="91" w:name="_Toc27059"/>
      <w:bookmarkStart w:id="92" w:name="_Toc9237"/>
      <w:bookmarkStart w:id="93" w:name="_Toc25695"/>
      <w:bookmarkStart w:id="94" w:name="_Toc192925651"/>
      <w:bookmarkStart w:id="95" w:name="_Toc26481"/>
      <w:bookmarkStart w:id="96" w:name="_Toc8696"/>
      <w:r>
        <w:rPr>
          <w:rFonts w:hint="eastAsia" w:ascii="宋体" w:hAnsi="宋体" w:eastAsia="宋体" w:cs="宋体"/>
          <w:color w:val="auto"/>
          <w:sz w:val="28"/>
          <w:szCs w:val="28"/>
          <w:highlight w:val="none"/>
        </w:rPr>
        <w:t>4. 投标费用</w:t>
      </w:r>
      <w:bookmarkEnd w:id="85"/>
      <w:bookmarkEnd w:id="86"/>
      <w:bookmarkEnd w:id="87"/>
      <w:bookmarkEnd w:id="88"/>
      <w:bookmarkEnd w:id="89"/>
      <w:bookmarkEnd w:id="90"/>
      <w:bookmarkEnd w:id="91"/>
      <w:bookmarkEnd w:id="92"/>
      <w:bookmarkEnd w:id="93"/>
      <w:bookmarkEnd w:id="94"/>
      <w:bookmarkEnd w:id="95"/>
      <w:bookmarkEnd w:id="96"/>
    </w:p>
    <w:p>
      <w:pPr>
        <w:spacing w:line="360" w:lineRule="auto"/>
        <w:ind w:firstLine="560" w:firstLineChars="200"/>
        <w:rPr>
          <w:rFonts w:hint="eastAsia" w:ascii="宋体" w:hAnsi="宋体" w:eastAsia="宋体" w:cs="宋体"/>
          <w:color w:val="auto"/>
          <w:sz w:val="28"/>
          <w:szCs w:val="28"/>
          <w:highlight w:val="none"/>
        </w:rPr>
      </w:pPr>
      <w:bookmarkStart w:id="97" w:name="_Toc337"/>
      <w:bookmarkStart w:id="98" w:name="_Toc5426"/>
      <w:bookmarkStart w:id="99" w:name="_Toc6975"/>
      <w:r>
        <w:rPr>
          <w:rFonts w:hint="eastAsia" w:ascii="宋体" w:hAnsi="宋体" w:eastAsia="宋体" w:cs="宋体"/>
          <w:color w:val="auto"/>
          <w:sz w:val="28"/>
          <w:szCs w:val="28"/>
          <w:highlight w:val="none"/>
        </w:rPr>
        <w:t>投标人自行承担其参加投标所涉及的一切费用。</w:t>
      </w:r>
      <w:bookmarkEnd w:id="97"/>
      <w:bookmarkEnd w:id="98"/>
      <w:bookmarkEnd w:id="99"/>
      <w:bookmarkStart w:id="100" w:name="_Toc191892304"/>
      <w:bookmarkStart w:id="101" w:name="_Toc192925652"/>
    </w:p>
    <w:p>
      <w:pPr>
        <w:pStyle w:val="3"/>
        <w:keepNext w:val="0"/>
        <w:keepLines w:val="0"/>
        <w:spacing w:before="0" w:after="0" w:line="360" w:lineRule="auto"/>
        <w:ind w:firstLine="314"/>
        <w:rPr>
          <w:rFonts w:hint="eastAsia" w:ascii="宋体" w:hAnsi="宋体" w:eastAsia="宋体" w:cs="宋体"/>
          <w:color w:val="auto"/>
          <w:sz w:val="28"/>
          <w:szCs w:val="28"/>
          <w:highlight w:val="none"/>
        </w:rPr>
      </w:pPr>
      <w:bookmarkStart w:id="102" w:name="_Toc11955"/>
      <w:bookmarkStart w:id="103" w:name="_Toc17382"/>
      <w:bookmarkStart w:id="104" w:name="_Toc14925"/>
      <w:bookmarkStart w:id="105" w:name="_Toc26753"/>
      <w:bookmarkStart w:id="106" w:name="_Toc12167"/>
      <w:bookmarkStart w:id="107" w:name="_Toc22748"/>
      <w:bookmarkStart w:id="108" w:name="_Toc31559"/>
      <w:bookmarkStart w:id="109" w:name="_Toc10888"/>
      <w:bookmarkStart w:id="110" w:name="_Toc5495"/>
      <w:bookmarkStart w:id="111" w:name="_Toc19646"/>
      <w:r>
        <w:rPr>
          <w:rFonts w:hint="eastAsia" w:ascii="宋体" w:hAnsi="宋体" w:eastAsia="宋体" w:cs="宋体"/>
          <w:color w:val="auto"/>
          <w:sz w:val="28"/>
          <w:szCs w:val="28"/>
          <w:highlight w:val="none"/>
        </w:rPr>
        <w:t>第二节  招标文件说明</w:t>
      </w:r>
      <w:bookmarkEnd w:id="100"/>
      <w:bookmarkEnd w:id="101"/>
      <w:bookmarkEnd w:id="102"/>
      <w:bookmarkEnd w:id="103"/>
      <w:bookmarkEnd w:id="104"/>
      <w:bookmarkEnd w:id="105"/>
      <w:bookmarkEnd w:id="106"/>
      <w:bookmarkEnd w:id="107"/>
      <w:bookmarkEnd w:id="108"/>
      <w:bookmarkEnd w:id="109"/>
      <w:bookmarkEnd w:id="110"/>
      <w:bookmarkEnd w:id="111"/>
    </w:p>
    <w:p>
      <w:pPr>
        <w:pStyle w:val="4"/>
        <w:keepNext w:val="0"/>
        <w:keepLines w:val="0"/>
        <w:spacing w:before="0" w:after="0" w:line="360" w:lineRule="auto"/>
        <w:ind w:firstLine="562" w:firstLineChars="200"/>
        <w:rPr>
          <w:rFonts w:hint="eastAsia" w:ascii="宋体" w:hAnsi="宋体" w:eastAsia="宋体" w:cs="宋体"/>
          <w:color w:val="auto"/>
          <w:sz w:val="28"/>
          <w:szCs w:val="28"/>
          <w:highlight w:val="none"/>
        </w:rPr>
      </w:pPr>
      <w:bookmarkStart w:id="112" w:name="_Toc11103"/>
      <w:bookmarkStart w:id="113" w:name="_Toc24364"/>
      <w:bookmarkStart w:id="114" w:name="_Toc191892305"/>
      <w:bookmarkStart w:id="115" w:name="_Toc5267"/>
      <w:bookmarkStart w:id="116" w:name="_Toc3806"/>
      <w:bookmarkStart w:id="117" w:name="_Toc192925653"/>
      <w:bookmarkStart w:id="118" w:name="_Toc30859"/>
      <w:bookmarkStart w:id="119" w:name="_Toc17403"/>
      <w:bookmarkStart w:id="120" w:name="_Toc26976"/>
      <w:bookmarkStart w:id="121" w:name="_Toc7857"/>
      <w:bookmarkStart w:id="122" w:name="_Toc32402"/>
      <w:bookmarkStart w:id="123" w:name="_Toc1496"/>
      <w:r>
        <w:rPr>
          <w:rFonts w:hint="eastAsia" w:ascii="宋体" w:hAnsi="宋体" w:eastAsia="宋体" w:cs="宋体"/>
          <w:color w:val="auto"/>
          <w:sz w:val="28"/>
          <w:szCs w:val="28"/>
          <w:highlight w:val="none"/>
        </w:rPr>
        <w:t>5. 招标文件的组成</w:t>
      </w:r>
      <w:bookmarkEnd w:id="112"/>
      <w:bookmarkEnd w:id="113"/>
      <w:bookmarkEnd w:id="114"/>
      <w:bookmarkEnd w:id="115"/>
      <w:bookmarkEnd w:id="116"/>
      <w:bookmarkEnd w:id="117"/>
      <w:bookmarkEnd w:id="118"/>
      <w:bookmarkEnd w:id="119"/>
      <w:bookmarkEnd w:id="120"/>
      <w:bookmarkEnd w:id="121"/>
      <w:bookmarkEnd w:id="122"/>
      <w:bookmarkEnd w:id="123"/>
    </w:p>
    <w:p>
      <w:pPr>
        <w:spacing w:line="360" w:lineRule="auto"/>
        <w:ind w:firstLine="560" w:firstLineChars="200"/>
        <w:rPr>
          <w:rFonts w:hint="eastAsia" w:ascii="宋体" w:hAnsi="宋体" w:eastAsia="宋体" w:cs="宋体"/>
          <w:b/>
          <w:color w:val="auto"/>
          <w:sz w:val="28"/>
          <w:szCs w:val="28"/>
          <w:highlight w:val="none"/>
        </w:rPr>
      </w:pPr>
      <w:bookmarkStart w:id="124" w:name="_Toc523325149"/>
      <w:bookmarkStart w:id="125" w:name="_Toc523325329"/>
      <w:r>
        <w:rPr>
          <w:rFonts w:hint="eastAsia" w:ascii="宋体" w:hAnsi="宋体" w:eastAsia="宋体" w:cs="宋体"/>
          <w:color w:val="auto"/>
          <w:sz w:val="28"/>
          <w:szCs w:val="28"/>
          <w:highlight w:val="none"/>
        </w:rPr>
        <w:t>5.1招标文件用以阐明所需货物及服务招标程序和合同主要条款。招标文件由下述主要部分组成：</w:t>
      </w:r>
      <w:bookmarkEnd w:id="124"/>
      <w:bookmarkEnd w:id="125"/>
    </w:p>
    <w:p>
      <w:pPr>
        <w:spacing w:line="360" w:lineRule="auto"/>
        <w:ind w:firstLine="560" w:firstLineChars="200"/>
        <w:rPr>
          <w:rFonts w:hint="eastAsia" w:ascii="宋体" w:hAnsi="宋体" w:eastAsia="宋体" w:cs="宋体"/>
          <w:b/>
          <w:color w:val="auto"/>
          <w:sz w:val="28"/>
          <w:szCs w:val="28"/>
          <w:highlight w:val="none"/>
        </w:rPr>
      </w:pPr>
      <w:bookmarkStart w:id="126" w:name="_Toc523325330"/>
      <w:bookmarkStart w:id="127" w:name="_Toc523325150"/>
      <w:r>
        <w:rPr>
          <w:rFonts w:hint="eastAsia" w:ascii="宋体" w:hAnsi="宋体" w:eastAsia="宋体" w:cs="宋体"/>
          <w:color w:val="auto"/>
          <w:sz w:val="28"/>
          <w:szCs w:val="28"/>
          <w:highlight w:val="none"/>
        </w:rPr>
        <w:t xml:space="preserve">⑴ </w:t>
      </w:r>
      <w:bookmarkEnd w:id="126"/>
      <w:bookmarkEnd w:id="127"/>
      <w:r>
        <w:rPr>
          <w:rFonts w:hint="eastAsia" w:ascii="宋体" w:hAnsi="宋体" w:eastAsia="宋体" w:cs="宋体"/>
          <w:color w:val="auto"/>
          <w:sz w:val="28"/>
          <w:szCs w:val="28"/>
          <w:highlight w:val="none"/>
        </w:rPr>
        <w:t>投标公告</w:t>
      </w:r>
    </w:p>
    <w:p>
      <w:pPr>
        <w:spacing w:line="360" w:lineRule="auto"/>
        <w:ind w:firstLine="560" w:firstLineChars="200"/>
        <w:rPr>
          <w:rFonts w:hint="eastAsia" w:ascii="宋体" w:hAnsi="宋体" w:eastAsia="宋体" w:cs="宋体"/>
          <w:b/>
          <w:color w:val="auto"/>
          <w:sz w:val="28"/>
          <w:szCs w:val="28"/>
          <w:highlight w:val="none"/>
        </w:rPr>
      </w:pPr>
      <w:bookmarkStart w:id="128" w:name="_Toc523325331"/>
      <w:bookmarkStart w:id="129" w:name="_Toc523325151"/>
      <w:r>
        <w:rPr>
          <w:rFonts w:hint="eastAsia" w:ascii="宋体" w:hAnsi="宋体" w:eastAsia="宋体" w:cs="宋体"/>
          <w:color w:val="auto"/>
          <w:sz w:val="28"/>
          <w:szCs w:val="28"/>
          <w:highlight w:val="none"/>
        </w:rPr>
        <w:t>⑵ 投标人须知</w:t>
      </w:r>
      <w:bookmarkEnd w:id="128"/>
      <w:bookmarkEnd w:id="129"/>
    </w:p>
    <w:p>
      <w:pPr>
        <w:spacing w:line="360" w:lineRule="auto"/>
        <w:ind w:firstLine="560" w:firstLineChars="200"/>
        <w:rPr>
          <w:rFonts w:hint="eastAsia" w:ascii="宋体" w:hAnsi="宋体" w:eastAsia="宋体" w:cs="宋体"/>
          <w:b/>
          <w:color w:val="auto"/>
          <w:sz w:val="28"/>
          <w:szCs w:val="28"/>
          <w:highlight w:val="none"/>
        </w:rPr>
      </w:pPr>
      <w:bookmarkStart w:id="130" w:name="_Toc523325332"/>
      <w:bookmarkStart w:id="131" w:name="_Toc523325152"/>
      <w:r>
        <w:rPr>
          <w:rFonts w:hint="eastAsia" w:ascii="宋体" w:hAnsi="宋体" w:eastAsia="宋体" w:cs="宋体"/>
          <w:color w:val="auto"/>
          <w:sz w:val="28"/>
          <w:szCs w:val="28"/>
          <w:highlight w:val="none"/>
        </w:rPr>
        <w:t>⑶ 招标内容及要求</w:t>
      </w:r>
      <w:bookmarkEnd w:id="130"/>
      <w:bookmarkEnd w:id="131"/>
    </w:p>
    <w:p>
      <w:pPr>
        <w:spacing w:line="360" w:lineRule="auto"/>
        <w:ind w:firstLine="560" w:firstLineChars="200"/>
        <w:rPr>
          <w:rFonts w:hint="eastAsia" w:ascii="宋体" w:hAnsi="宋体" w:eastAsia="宋体" w:cs="宋体"/>
          <w:color w:val="auto"/>
          <w:sz w:val="28"/>
          <w:szCs w:val="28"/>
          <w:highlight w:val="none"/>
        </w:rPr>
      </w:pPr>
      <w:bookmarkStart w:id="132" w:name="_Toc523325153"/>
      <w:bookmarkStart w:id="133" w:name="_Toc523325333"/>
      <w:r>
        <w:rPr>
          <w:rFonts w:hint="eastAsia" w:ascii="宋体" w:hAnsi="宋体" w:eastAsia="宋体" w:cs="宋体"/>
          <w:color w:val="auto"/>
          <w:sz w:val="28"/>
          <w:szCs w:val="28"/>
          <w:highlight w:val="none"/>
        </w:rPr>
        <w:t>⑷ 投标文件格式</w:t>
      </w:r>
      <w:bookmarkEnd w:id="132"/>
      <w:bookmarkEnd w:id="133"/>
      <w:bookmarkStart w:id="134" w:name="_Toc192925654"/>
      <w:bookmarkStart w:id="135" w:name="_Toc430490612"/>
      <w:bookmarkStart w:id="136" w:name="_Toc430488851"/>
      <w:bookmarkStart w:id="137" w:name="_Toc430488644"/>
      <w:bookmarkStart w:id="138" w:name="_Toc191892306"/>
      <w:bookmarkStart w:id="139" w:name="_Toc430489119"/>
      <w:bookmarkStart w:id="140" w:name="_Toc415567497"/>
      <w:bookmarkStart w:id="141" w:name="_Toc430422413"/>
      <w:bookmarkStart w:id="142" w:name="_Toc430492126"/>
    </w:p>
    <w:p>
      <w:pPr>
        <w:pStyle w:val="4"/>
        <w:keepNext w:val="0"/>
        <w:keepLines w:val="0"/>
        <w:spacing w:before="0" w:after="0" w:line="360" w:lineRule="auto"/>
        <w:ind w:firstLine="562" w:firstLineChars="200"/>
        <w:rPr>
          <w:rFonts w:hint="eastAsia" w:ascii="宋体" w:hAnsi="宋体" w:eastAsia="宋体" w:cs="宋体"/>
          <w:color w:val="auto"/>
          <w:sz w:val="28"/>
          <w:szCs w:val="28"/>
          <w:highlight w:val="none"/>
        </w:rPr>
      </w:pPr>
      <w:bookmarkStart w:id="143" w:name="_Toc18914"/>
      <w:bookmarkStart w:id="144" w:name="_Toc22782"/>
      <w:bookmarkStart w:id="145" w:name="_Toc13012"/>
      <w:bookmarkStart w:id="146" w:name="_Toc22001"/>
      <w:bookmarkStart w:id="147" w:name="_Toc23474"/>
      <w:bookmarkStart w:id="148" w:name="_Toc27802"/>
      <w:bookmarkStart w:id="149" w:name="_Toc6185"/>
      <w:bookmarkStart w:id="150" w:name="_Toc25729"/>
      <w:bookmarkStart w:id="151" w:name="_Toc25860"/>
      <w:bookmarkStart w:id="152" w:name="_Toc3644"/>
      <w:bookmarkStart w:id="153" w:name="_Toc23910"/>
      <w:r>
        <w:rPr>
          <w:rFonts w:hint="eastAsia" w:ascii="宋体" w:hAnsi="宋体" w:eastAsia="宋体" w:cs="宋体"/>
          <w:color w:val="auto"/>
          <w:sz w:val="28"/>
          <w:szCs w:val="28"/>
          <w:highlight w:val="none"/>
        </w:rPr>
        <w:t>6. 招标文件的澄清</w:t>
      </w:r>
      <w:bookmarkEnd w:id="143"/>
      <w:bookmarkEnd w:id="144"/>
      <w:bookmarkEnd w:id="145"/>
      <w:bookmarkEnd w:id="146"/>
      <w:bookmarkEnd w:id="147"/>
      <w:bookmarkEnd w:id="148"/>
      <w:bookmarkEnd w:id="149"/>
      <w:bookmarkEnd w:id="150"/>
      <w:bookmarkEnd w:id="151"/>
      <w:bookmarkEnd w:id="152"/>
      <w:bookmarkEnd w:id="153"/>
    </w:p>
    <w:bookmarkEnd w:id="134"/>
    <w:bookmarkEnd w:id="135"/>
    <w:bookmarkEnd w:id="136"/>
    <w:bookmarkEnd w:id="137"/>
    <w:bookmarkEnd w:id="138"/>
    <w:bookmarkEnd w:id="139"/>
    <w:bookmarkEnd w:id="140"/>
    <w:bookmarkEnd w:id="141"/>
    <w:bookmarkEnd w:id="142"/>
    <w:p>
      <w:pPr>
        <w:spacing w:line="360" w:lineRule="auto"/>
        <w:ind w:firstLine="560" w:firstLineChars="200"/>
        <w:rPr>
          <w:rFonts w:hint="eastAsia" w:ascii="宋体" w:hAnsi="宋体" w:eastAsia="宋体" w:cs="宋体"/>
          <w:color w:val="auto"/>
          <w:sz w:val="28"/>
          <w:szCs w:val="28"/>
          <w:highlight w:val="none"/>
        </w:rPr>
      </w:pPr>
      <w:bookmarkStart w:id="154" w:name="_Toc523325335"/>
      <w:bookmarkStart w:id="155" w:name="_Toc523325155"/>
      <w:bookmarkStart w:id="156" w:name="_Toc191892308"/>
      <w:bookmarkStart w:id="157" w:name="_Toc192925656"/>
      <w:r>
        <w:rPr>
          <w:rFonts w:hint="eastAsia" w:ascii="宋体" w:hAnsi="宋体" w:eastAsia="宋体" w:cs="宋体"/>
          <w:color w:val="auto"/>
          <w:sz w:val="28"/>
          <w:szCs w:val="28"/>
          <w:highlight w:val="none"/>
        </w:rPr>
        <w:t>6.1投标人对招标文件如有疑问，可要求澄清。要求澄清应按招标公告中载明的地址以书面形式在投标截止时间3个日历日前通知招标人（不在前述期限内的，招标人可不予澄清）。招标人将视情况在投标截止时间前，将不标明查询来源的书面答复发给所有投标人，并在发布招标公告的网站上发布更正公告。该澄清内容为招标文件的组成部分。</w:t>
      </w:r>
      <w:bookmarkEnd w:id="154"/>
      <w:bookmarkEnd w:id="155"/>
      <w:bookmarkStart w:id="158" w:name="_Toc192925655"/>
      <w:bookmarkStart w:id="159" w:name="_Toc430488852"/>
      <w:bookmarkStart w:id="160" w:name="_Toc430488645"/>
      <w:bookmarkStart w:id="161" w:name="_Toc430490613"/>
      <w:bookmarkStart w:id="162" w:name="_Toc415567498"/>
      <w:bookmarkStart w:id="163" w:name="_Toc430492127"/>
      <w:bookmarkStart w:id="164" w:name="_Toc430489120"/>
      <w:bookmarkStart w:id="165" w:name="_Toc430422414"/>
      <w:bookmarkStart w:id="166" w:name="_Toc191892307"/>
    </w:p>
    <w:p>
      <w:pPr>
        <w:pStyle w:val="4"/>
        <w:keepNext w:val="0"/>
        <w:keepLines w:val="0"/>
        <w:spacing w:before="0" w:after="0" w:line="360" w:lineRule="auto"/>
        <w:ind w:firstLine="562" w:firstLineChars="200"/>
        <w:rPr>
          <w:rFonts w:hint="eastAsia" w:ascii="宋体" w:hAnsi="宋体" w:eastAsia="宋体" w:cs="宋体"/>
          <w:color w:val="auto"/>
          <w:sz w:val="28"/>
          <w:szCs w:val="28"/>
          <w:highlight w:val="none"/>
        </w:rPr>
      </w:pPr>
      <w:bookmarkStart w:id="167" w:name="_Toc11143"/>
      <w:bookmarkStart w:id="168" w:name="_Toc22311"/>
      <w:bookmarkStart w:id="169" w:name="_Toc12661"/>
      <w:bookmarkStart w:id="170" w:name="_Toc3126"/>
      <w:bookmarkStart w:id="171" w:name="_Toc1142"/>
      <w:bookmarkStart w:id="172" w:name="_Toc22848"/>
      <w:bookmarkStart w:id="173" w:name="_Toc15838"/>
      <w:bookmarkStart w:id="174" w:name="_Toc1010"/>
      <w:bookmarkStart w:id="175" w:name="_Toc12762"/>
      <w:bookmarkStart w:id="176" w:name="_Toc8673"/>
      <w:bookmarkStart w:id="177" w:name="_Toc1889"/>
      <w:r>
        <w:rPr>
          <w:rFonts w:hint="eastAsia" w:ascii="宋体" w:hAnsi="宋体" w:eastAsia="宋体" w:cs="宋体"/>
          <w:color w:val="auto"/>
          <w:sz w:val="28"/>
          <w:szCs w:val="28"/>
          <w:highlight w:val="none"/>
        </w:rPr>
        <w:t>7. 招标文件的修改</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pPr>
        <w:spacing w:line="360" w:lineRule="auto"/>
        <w:ind w:firstLine="560" w:firstLineChars="200"/>
        <w:rPr>
          <w:rFonts w:hint="eastAsia" w:ascii="宋体" w:hAnsi="宋体" w:eastAsia="宋体" w:cs="宋体"/>
          <w:color w:val="auto"/>
          <w:sz w:val="28"/>
          <w:szCs w:val="28"/>
          <w:highlight w:val="none"/>
        </w:rPr>
      </w:pPr>
      <w:bookmarkStart w:id="178" w:name="_Toc523325337"/>
      <w:bookmarkStart w:id="179" w:name="_Toc523325157"/>
      <w:r>
        <w:rPr>
          <w:rFonts w:hint="eastAsia" w:ascii="宋体" w:hAnsi="宋体" w:eastAsia="宋体" w:cs="宋体"/>
          <w:color w:val="auto"/>
          <w:sz w:val="28"/>
          <w:szCs w:val="28"/>
          <w:highlight w:val="none"/>
        </w:rPr>
        <w:t>7.1至投标截止日期前5个日历日（如至原定截止时间不足5个日历日，则需延长开标时间），招标人可根据需要或依投标人要求澄清的问题而修改招标文件，在发布招标公告的网站上发布更正公告，并通知所有潜在投标人，潜在投标人在收到该通知后应立即以相同形式予以确认。该修改内容为招标文件的组成部分，对投标人具有约束力。但本招标文件第7.2条规定的推迟投标截止时间和开标时间情形不受本条约束。</w:t>
      </w:r>
      <w:bookmarkEnd w:id="178"/>
      <w:bookmarkEnd w:id="179"/>
    </w:p>
    <w:p>
      <w:pPr>
        <w:spacing w:line="360" w:lineRule="auto"/>
        <w:ind w:firstLine="560" w:firstLineChars="200"/>
        <w:rPr>
          <w:rFonts w:hint="eastAsia" w:ascii="宋体" w:hAnsi="宋体" w:eastAsia="宋体" w:cs="宋体"/>
          <w:color w:val="auto"/>
          <w:sz w:val="28"/>
          <w:szCs w:val="28"/>
          <w:highlight w:val="none"/>
        </w:rPr>
      </w:pPr>
      <w:bookmarkStart w:id="180" w:name="_Toc523325338"/>
      <w:bookmarkStart w:id="181" w:name="_Toc523325158"/>
      <w:r>
        <w:rPr>
          <w:rFonts w:hint="eastAsia" w:ascii="宋体" w:hAnsi="宋体" w:eastAsia="宋体" w:cs="宋体"/>
          <w:color w:val="auto"/>
          <w:sz w:val="28"/>
          <w:szCs w:val="28"/>
          <w:highlight w:val="none"/>
        </w:rPr>
        <w:t>7.2 为使投标人在准备投标文件时有合理的时间考虑招标文件的修改，招标人可酌情推迟投标截止时间和开标时间，但应当将变更时间通知所有潜在投标人，并在发布招标公告的网站上发布更正公告。该修改内容为招标文件的组成部分。在此情况下，招标人和投标人受投标截止期制约的所有权利和义务均应延长至新的截止日期。</w:t>
      </w:r>
      <w:bookmarkEnd w:id="180"/>
      <w:bookmarkEnd w:id="181"/>
    </w:p>
    <w:p>
      <w:pPr>
        <w:pStyle w:val="3"/>
        <w:keepNext w:val="0"/>
        <w:keepLines w:val="0"/>
        <w:spacing w:before="0" w:after="0" w:line="360" w:lineRule="auto"/>
        <w:ind w:firstLine="314"/>
        <w:rPr>
          <w:rFonts w:hint="eastAsia" w:ascii="宋体" w:hAnsi="宋体" w:eastAsia="宋体" w:cs="宋体"/>
          <w:color w:val="auto"/>
          <w:sz w:val="28"/>
          <w:szCs w:val="28"/>
          <w:highlight w:val="none"/>
        </w:rPr>
      </w:pPr>
    </w:p>
    <w:p>
      <w:pPr>
        <w:pStyle w:val="3"/>
        <w:keepNext w:val="0"/>
        <w:keepLines w:val="0"/>
        <w:spacing w:before="0" w:after="0" w:line="360" w:lineRule="auto"/>
        <w:ind w:firstLine="314"/>
        <w:rPr>
          <w:rFonts w:hint="eastAsia" w:ascii="宋体" w:hAnsi="宋体" w:eastAsia="宋体" w:cs="宋体"/>
          <w:color w:val="auto"/>
          <w:sz w:val="28"/>
          <w:szCs w:val="28"/>
          <w:highlight w:val="none"/>
        </w:rPr>
      </w:pPr>
      <w:bookmarkStart w:id="182" w:name="_Toc4052"/>
      <w:bookmarkStart w:id="183" w:name="_Toc25018"/>
      <w:bookmarkStart w:id="184" w:name="_Toc29805"/>
      <w:bookmarkStart w:id="185" w:name="_Toc23535"/>
      <w:bookmarkStart w:id="186" w:name="_Toc29504"/>
      <w:bookmarkStart w:id="187" w:name="_Toc30297"/>
      <w:bookmarkStart w:id="188" w:name="_Toc13898"/>
      <w:bookmarkStart w:id="189" w:name="_Toc30985"/>
      <w:bookmarkStart w:id="190" w:name="_Toc11069"/>
      <w:bookmarkStart w:id="191" w:name="_Toc13273"/>
      <w:r>
        <w:rPr>
          <w:rFonts w:hint="eastAsia" w:ascii="宋体" w:hAnsi="宋体" w:eastAsia="宋体" w:cs="宋体"/>
          <w:color w:val="auto"/>
          <w:sz w:val="28"/>
          <w:szCs w:val="28"/>
          <w:highlight w:val="none"/>
        </w:rPr>
        <w:t>第三节  投标文件的编写</w:t>
      </w:r>
      <w:bookmarkEnd w:id="156"/>
      <w:bookmarkEnd w:id="157"/>
      <w:bookmarkEnd w:id="182"/>
      <w:bookmarkEnd w:id="183"/>
      <w:bookmarkEnd w:id="184"/>
      <w:bookmarkEnd w:id="185"/>
      <w:bookmarkEnd w:id="186"/>
      <w:bookmarkEnd w:id="187"/>
      <w:bookmarkEnd w:id="188"/>
      <w:bookmarkEnd w:id="189"/>
      <w:bookmarkEnd w:id="190"/>
      <w:bookmarkEnd w:id="191"/>
    </w:p>
    <w:p>
      <w:pPr>
        <w:pStyle w:val="4"/>
        <w:keepNext w:val="0"/>
        <w:keepLines w:val="0"/>
        <w:spacing w:before="0" w:after="0" w:line="360" w:lineRule="auto"/>
        <w:ind w:firstLine="562" w:firstLineChars="200"/>
        <w:rPr>
          <w:rFonts w:hint="eastAsia" w:ascii="宋体" w:hAnsi="宋体" w:eastAsia="宋体" w:cs="宋体"/>
          <w:color w:val="auto"/>
          <w:sz w:val="28"/>
          <w:szCs w:val="28"/>
          <w:highlight w:val="none"/>
        </w:rPr>
      </w:pPr>
      <w:bookmarkStart w:id="192" w:name="_Toc21442"/>
      <w:bookmarkStart w:id="193" w:name="_Toc8037"/>
      <w:bookmarkStart w:id="194" w:name="_Toc29854"/>
      <w:bookmarkStart w:id="195" w:name="_Toc30113"/>
      <w:bookmarkStart w:id="196" w:name="_Toc16712"/>
      <w:bookmarkStart w:id="197" w:name="_Toc9608"/>
      <w:bookmarkStart w:id="198" w:name="_Toc15070"/>
      <w:bookmarkStart w:id="199" w:name="_Toc22788"/>
      <w:bookmarkStart w:id="200" w:name="_Toc13651"/>
      <w:bookmarkStart w:id="201" w:name="_Toc192925657"/>
      <w:bookmarkStart w:id="202" w:name="_Toc10985"/>
      <w:bookmarkStart w:id="203" w:name="_Toc191892309"/>
      <w:r>
        <w:rPr>
          <w:rFonts w:hint="eastAsia" w:ascii="宋体" w:hAnsi="宋体" w:eastAsia="宋体" w:cs="宋体"/>
          <w:color w:val="auto"/>
          <w:sz w:val="28"/>
          <w:szCs w:val="28"/>
          <w:highlight w:val="none"/>
        </w:rPr>
        <w:t>8. 要求</w:t>
      </w:r>
      <w:bookmarkEnd w:id="192"/>
      <w:bookmarkEnd w:id="193"/>
      <w:bookmarkEnd w:id="194"/>
      <w:bookmarkEnd w:id="195"/>
      <w:bookmarkEnd w:id="196"/>
      <w:bookmarkEnd w:id="197"/>
      <w:bookmarkEnd w:id="198"/>
      <w:bookmarkEnd w:id="199"/>
      <w:bookmarkEnd w:id="200"/>
      <w:bookmarkEnd w:id="201"/>
      <w:bookmarkEnd w:id="202"/>
      <w:bookmarkEnd w:id="203"/>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8.1 投标人应仔细阅读招标文件的所有内容，按照招标文件的要求提交投标文件。投标文件应对招标文件的要求做出实质性响应，并保证所提供的全部资料的真实性，否则其投标将被拒绝。</w:t>
      </w:r>
    </w:p>
    <w:p>
      <w:pPr>
        <w:tabs>
          <w:tab w:val="left" w:pos="900"/>
        </w:tabs>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8.2除非有另外的规定，投标人可对招标项目一览表所列的全部合同包或部分合同包进行投标。招标人不接受有任何可选择性的报价，每一种服务只能有一个报价。</w:t>
      </w:r>
    </w:p>
    <w:p>
      <w:pPr>
        <w:pStyle w:val="4"/>
        <w:keepNext w:val="0"/>
        <w:keepLines w:val="0"/>
        <w:spacing w:before="0" w:after="0" w:line="360" w:lineRule="auto"/>
        <w:ind w:firstLine="562" w:firstLineChars="200"/>
        <w:rPr>
          <w:rFonts w:hint="eastAsia" w:ascii="宋体" w:hAnsi="宋体" w:eastAsia="宋体" w:cs="宋体"/>
          <w:color w:val="auto"/>
          <w:sz w:val="28"/>
          <w:szCs w:val="28"/>
          <w:highlight w:val="none"/>
        </w:rPr>
      </w:pPr>
      <w:bookmarkStart w:id="204" w:name="_Toc17756"/>
      <w:bookmarkStart w:id="205" w:name="_Toc26302"/>
      <w:bookmarkStart w:id="206" w:name="_Toc362"/>
      <w:bookmarkStart w:id="207" w:name="_Toc20485"/>
      <w:bookmarkStart w:id="208" w:name="_Toc18141"/>
      <w:bookmarkStart w:id="209" w:name="_Toc20969"/>
      <w:bookmarkStart w:id="210" w:name="_Toc192925658"/>
      <w:bookmarkStart w:id="211" w:name="_Toc21047"/>
      <w:bookmarkStart w:id="212" w:name="_Toc7850"/>
      <w:bookmarkStart w:id="213" w:name="_Toc1732"/>
      <w:bookmarkStart w:id="214" w:name="_Toc191892310"/>
      <w:bookmarkStart w:id="215" w:name="_Toc21237"/>
      <w:r>
        <w:rPr>
          <w:rFonts w:hint="eastAsia" w:ascii="宋体" w:hAnsi="宋体" w:eastAsia="宋体" w:cs="宋体"/>
          <w:color w:val="auto"/>
          <w:sz w:val="28"/>
          <w:szCs w:val="28"/>
          <w:highlight w:val="none"/>
        </w:rPr>
        <w:t>9. 投标文件语言</w:t>
      </w:r>
      <w:bookmarkEnd w:id="204"/>
      <w:bookmarkEnd w:id="205"/>
      <w:bookmarkEnd w:id="206"/>
      <w:bookmarkEnd w:id="207"/>
      <w:bookmarkEnd w:id="208"/>
      <w:bookmarkEnd w:id="209"/>
      <w:bookmarkEnd w:id="210"/>
      <w:bookmarkEnd w:id="211"/>
      <w:bookmarkEnd w:id="212"/>
      <w:bookmarkEnd w:id="213"/>
      <w:bookmarkEnd w:id="214"/>
      <w:bookmarkEnd w:id="215"/>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9.1投标文件应用中文书写。投标文件中所附或所引用的原件不是中文时，应附中文译本。各种计量单位及符号应采用国际上统一使用的公制计量单位和符号。</w:t>
      </w:r>
    </w:p>
    <w:p>
      <w:pPr>
        <w:pStyle w:val="4"/>
        <w:keepNext w:val="0"/>
        <w:keepLines w:val="0"/>
        <w:spacing w:before="0" w:after="0" w:line="360" w:lineRule="auto"/>
        <w:ind w:firstLine="562" w:firstLineChars="200"/>
        <w:rPr>
          <w:rFonts w:hint="eastAsia" w:ascii="宋体" w:hAnsi="宋体" w:eastAsia="宋体" w:cs="宋体"/>
          <w:color w:val="auto"/>
          <w:sz w:val="28"/>
          <w:szCs w:val="28"/>
          <w:highlight w:val="none"/>
        </w:rPr>
      </w:pPr>
      <w:bookmarkStart w:id="216" w:name="_Toc1934"/>
      <w:bookmarkStart w:id="217" w:name="_Toc12983"/>
      <w:bookmarkStart w:id="218" w:name="_Toc21609"/>
      <w:bookmarkStart w:id="219" w:name="_Toc191892311"/>
      <w:bookmarkStart w:id="220" w:name="_Toc19766"/>
      <w:bookmarkStart w:id="221" w:name="_Toc192925659"/>
      <w:bookmarkStart w:id="222" w:name="_Toc2478"/>
      <w:bookmarkStart w:id="223" w:name="_Toc19647"/>
      <w:bookmarkStart w:id="224" w:name="_Toc20530"/>
      <w:bookmarkStart w:id="225" w:name="_Toc20874"/>
      <w:bookmarkStart w:id="226" w:name="_Toc3598"/>
      <w:bookmarkStart w:id="227" w:name="_Toc10238"/>
      <w:r>
        <w:rPr>
          <w:rFonts w:hint="eastAsia" w:ascii="宋体" w:hAnsi="宋体" w:eastAsia="宋体" w:cs="宋体"/>
          <w:color w:val="auto"/>
          <w:sz w:val="28"/>
          <w:szCs w:val="28"/>
          <w:highlight w:val="none"/>
        </w:rPr>
        <w:t>10. 投标文件的组成</w:t>
      </w:r>
      <w:bookmarkEnd w:id="216"/>
      <w:bookmarkEnd w:id="217"/>
      <w:bookmarkEnd w:id="218"/>
      <w:bookmarkEnd w:id="219"/>
      <w:bookmarkEnd w:id="220"/>
      <w:bookmarkEnd w:id="221"/>
      <w:bookmarkEnd w:id="222"/>
      <w:bookmarkEnd w:id="223"/>
      <w:bookmarkEnd w:id="224"/>
      <w:bookmarkEnd w:id="225"/>
      <w:bookmarkEnd w:id="226"/>
      <w:bookmarkEnd w:id="227"/>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投标文件应包括下列部分：</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10.1.1投标书</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10.1.2开标一览表</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10.1.3价格明细表</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10.1.4保安服务方案</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10.1.5投标人承诺函</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10.1.6投标人提交的其它资料</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10.1.7投标保证金</w:t>
      </w:r>
    </w:p>
    <w:p>
      <w:pPr>
        <w:pStyle w:val="4"/>
        <w:keepNext w:val="0"/>
        <w:keepLines w:val="0"/>
        <w:spacing w:before="0" w:after="0" w:line="360" w:lineRule="auto"/>
        <w:ind w:firstLine="562" w:firstLineChars="200"/>
        <w:rPr>
          <w:rFonts w:hint="eastAsia" w:ascii="宋体" w:hAnsi="宋体" w:eastAsia="宋体" w:cs="宋体"/>
          <w:color w:val="auto"/>
          <w:sz w:val="28"/>
          <w:szCs w:val="28"/>
          <w:highlight w:val="none"/>
        </w:rPr>
      </w:pPr>
      <w:bookmarkStart w:id="228" w:name="_Toc14096"/>
      <w:bookmarkStart w:id="229" w:name="_Toc7261"/>
      <w:bookmarkStart w:id="230" w:name="_Toc21167"/>
      <w:bookmarkStart w:id="231" w:name="_Toc29554"/>
      <w:bookmarkStart w:id="232" w:name="_Toc11443"/>
      <w:bookmarkStart w:id="233" w:name="_Toc192925660"/>
      <w:bookmarkStart w:id="234" w:name="_Toc9328"/>
      <w:bookmarkStart w:id="235" w:name="_Toc18697"/>
      <w:bookmarkStart w:id="236" w:name="_Toc2590"/>
      <w:bookmarkStart w:id="237" w:name="_Toc26393"/>
      <w:bookmarkStart w:id="238" w:name="_Toc191892312"/>
      <w:bookmarkStart w:id="239" w:name="_Toc21933"/>
      <w:r>
        <w:rPr>
          <w:rFonts w:hint="eastAsia" w:ascii="宋体" w:hAnsi="宋体" w:eastAsia="宋体" w:cs="宋体"/>
          <w:color w:val="auto"/>
          <w:sz w:val="28"/>
          <w:szCs w:val="28"/>
          <w:highlight w:val="none"/>
        </w:rPr>
        <w:t>11. 投标有效期</w:t>
      </w:r>
      <w:bookmarkEnd w:id="228"/>
      <w:bookmarkEnd w:id="229"/>
      <w:bookmarkEnd w:id="230"/>
      <w:bookmarkEnd w:id="231"/>
      <w:bookmarkEnd w:id="232"/>
      <w:bookmarkEnd w:id="233"/>
      <w:bookmarkEnd w:id="234"/>
      <w:bookmarkEnd w:id="235"/>
      <w:bookmarkEnd w:id="236"/>
      <w:bookmarkEnd w:id="237"/>
      <w:bookmarkEnd w:id="238"/>
      <w:bookmarkEnd w:id="239"/>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11.1投标文件从“</w:t>
      </w:r>
      <w:r>
        <w:rPr>
          <w:rFonts w:hint="eastAsia" w:ascii="宋体" w:hAnsi="宋体" w:eastAsia="宋体" w:cs="宋体"/>
          <w:bCs/>
          <w:color w:val="auto"/>
          <w:sz w:val="28"/>
          <w:szCs w:val="28"/>
          <w:highlight w:val="none"/>
        </w:rPr>
        <w:t>投标人须知前附表”</w:t>
      </w:r>
      <w:r>
        <w:rPr>
          <w:rFonts w:hint="eastAsia" w:ascii="宋体" w:hAnsi="宋体" w:eastAsia="宋体" w:cs="宋体"/>
          <w:color w:val="auto"/>
          <w:sz w:val="28"/>
          <w:szCs w:val="28"/>
          <w:highlight w:val="none"/>
        </w:rPr>
        <w:t>第4项所规定的投标截止期之后开始生效，在“</w:t>
      </w:r>
      <w:r>
        <w:rPr>
          <w:rFonts w:hint="eastAsia" w:ascii="宋体" w:hAnsi="宋体" w:eastAsia="宋体" w:cs="宋体"/>
          <w:bCs/>
          <w:color w:val="auto"/>
          <w:sz w:val="28"/>
          <w:szCs w:val="28"/>
          <w:highlight w:val="none"/>
        </w:rPr>
        <w:t>投标人须知前附表”</w:t>
      </w:r>
      <w:r>
        <w:rPr>
          <w:rFonts w:hint="eastAsia" w:ascii="宋体" w:hAnsi="宋体" w:eastAsia="宋体" w:cs="宋体"/>
          <w:color w:val="auto"/>
          <w:sz w:val="28"/>
          <w:szCs w:val="28"/>
          <w:highlight w:val="none"/>
        </w:rPr>
        <w:t>第3项所规定的期限内保持有效。有效期不足将导致其投标文件被拒绝。</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11.2在特殊情况下，招标人如在投标有效期满之前，书面要求投标人同意延长有效期，投标人应在招标人规定的期限内，以书面形式予以答复。投标人可以拒绝上述要求，其投标保证金将按规定予以退还。如果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pStyle w:val="4"/>
        <w:keepNext w:val="0"/>
        <w:keepLines w:val="0"/>
        <w:spacing w:before="0" w:after="0" w:line="360" w:lineRule="auto"/>
        <w:ind w:firstLine="562" w:firstLineChars="200"/>
        <w:rPr>
          <w:rFonts w:hint="eastAsia" w:ascii="宋体" w:hAnsi="宋体" w:eastAsia="宋体" w:cs="宋体"/>
          <w:color w:val="auto"/>
          <w:sz w:val="28"/>
          <w:szCs w:val="28"/>
          <w:highlight w:val="none"/>
        </w:rPr>
      </w:pPr>
      <w:bookmarkStart w:id="240" w:name="_Toc3780"/>
      <w:bookmarkStart w:id="241" w:name="_Toc192925661"/>
      <w:bookmarkStart w:id="242" w:name="_Toc29932"/>
      <w:bookmarkStart w:id="243" w:name="_Toc27704"/>
      <w:bookmarkStart w:id="244" w:name="_Toc191892313"/>
      <w:bookmarkStart w:id="245" w:name="_Toc8234"/>
      <w:bookmarkStart w:id="246" w:name="_Toc2459"/>
      <w:bookmarkStart w:id="247" w:name="_Toc3751"/>
      <w:bookmarkStart w:id="248" w:name="_Toc6280"/>
      <w:bookmarkStart w:id="249" w:name="_Toc17957"/>
      <w:bookmarkStart w:id="250" w:name="_Toc8515"/>
      <w:bookmarkStart w:id="251" w:name="_Toc15862"/>
      <w:r>
        <w:rPr>
          <w:rFonts w:hint="eastAsia" w:ascii="宋体" w:hAnsi="宋体" w:eastAsia="宋体" w:cs="宋体"/>
          <w:color w:val="auto"/>
          <w:sz w:val="28"/>
          <w:szCs w:val="28"/>
          <w:highlight w:val="none"/>
        </w:rPr>
        <w:t>12. 投标保证金</w:t>
      </w:r>
      <w:bookmarkEnd w:id="240"/>
      <w:bookmarkEnd w:id="241"/>
      <w:bookmarkEnd w:id="242"/>
      <w:bookmarkEnd w:id="243"/>
      <w:bookmarkEnd w:id="244"/>
      <w:bookmarkEnd w:id="245"/>
      <w:bookmarkEnd w:id="246"/>
      <w:bookmarkEnd w:id="247"/>
      <w:bookmarkEnd w:id="248"/>
      <w:bookmarkEnd w:id="249"/>
      <w:bookmarkEnd w:id="250"/>
      <w:bookmarkEnd w:id="251"/>
    </w:p>
    <w:p>
      <w:pPr>
        <w:spacing w:line="360" w:lineRule="auto"/>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12.1 投标保证金</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12.1.1 投标保证金为投标文件的组成部分之一。</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12.1.2 投标人应在提交投标文件之前，向招标人缴交“投标人须知前附表”第5项要求的投标保证金。</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12.1.3 投标保证金用于保护本次招标活动免受投标人的行为而引起的风险。</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12.1.4 投标保证金以转账或电汇形式提交，必须于投标截止时间前到账。</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12.1.5 未按规定缴交投标保证金的投标，将被视为无效投标。</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12.1.6 中标通知书发出后，招标人将在20个工作日内予以原额无息退还未中标人的投标保证金。</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12.1.7 发生</w:t>
      </w:r>
      <w:r>
        <w:rPr>
          <w:rFonts w:hint="eastAsia" w:ascii="宋体" w:hAnsi="宋体" w:eastAsia="宋体" w:cs="宋体"/>
          <w:b/>
          <w:color w:val="auto"/>
          <w:sz w:val="28"/>
          <w:szCs w:val="28"/>
          <w:highlight w:val="none"/>
        </w:rPr>
        <w:t>以下情况之一</w:t>
      </w:r>
      <w:r>
        <w:rPr>
          <w:rFonts w:hint="eastAsia" w:ascii="宋体" w:hAnsi="宋体" w:eastAsia="宋体" w:cs="宋体"/>
          <w:color w:val="auto"/>
          <w:sz w:val="28"/>
          <w:szCs w:val="28"/>
          <w:highlight w:val="none"/>
        </w:rPr>
        <w:t>的，投标保证金将</w:t>
      </w:r>
      <w:r>
        <w:rPr>
          <w:rFonts w:hint="eastAsia" w:ascii="宋体" w:hAnsi="宋体" w:eastAsia="宋体" w:cs="宋体"/>
          <w:b/>
          <w:color w:val="auto"/>
          <w:sz w:val="28"/>
          <w:szCs w:val="28"/>
          <w:highlight w:val="none"/>
        </w:rPr>
        <w:t>不予退还</w:t>
      </w:r>
      <w:r>
        <w:rPr>
          <w:rFonts w:hint="eastAsia" w:ascii="宋体" w:hAnsi="宋体" w:eastAsia="宋体" w:cs="宋体"/>
          <w:color w:val="auto"/>
          <w:sz w:val="28"/>
          <w:szCs w:val="28"/>
          <w:highlight w:val="none"/>
        </w:rPr>
        <w:t>：</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⑴ 投标人在投标截止期后，投标有效期内撤回投标；</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⑵ 中标人未能做到按本须知第22条规定签订合同；</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⑶ 中标人未按本招标文件规定提交银行履约保函或履约保证金的；</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⑷ 以他人名义投标或者以其他方式弄虚作假，骗取中标；</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⑸ 本招标文件中规定的其他没收投标保证金的情形。</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上述不予退还投标保证金的情况，如给招标人造成损失的，投标人还应承担赔偿责任。</w:t>
      </w:r>
    </w:p>
    <w:p>
      <w:pPr>
        <w:pStyle w:val="4"/>
        <w:keepNext w:val="0"/>
        <w:keepLines w:val="0"/>
        <w:spacing w:before="0" w:after="0" w:line="360" w:lineRule="auto"/>
        <w:ind w:firstLine="562" w:firstLineChars="200"/>
        <w:rPr>
          <w:rFonts w:hint="eastAsia" w:ascii="宋体" w:hAnsi="宋体" w:eastAsia="宋体" w:cs="宋体"/>
          <w:color w:val="auto"/>
          <w:sz w:val="28"/>
          <w:szCs w:val="28"/>
          <w:highlight w:val="none"/>
        </w:rPr>
      </w:pPr>
      <w:bookmarkStart w:id="252" w:name="_Toc191892314"/>
      <w:bookmarkStart w:id="253" w:name="_Toc4808"/>
      <w:bookmarkStart w:id="254" w:name="_Toc6454"/>
      <w:bookmarkStart w:id="255" w:name="_Toc1283"/>
      <w:bookmarkStart w:id="256" w:name="_Toc9871"/>
      <w:bookmarkStart w:id="257" w:name="_Toc24900"/>
      <w:bookmarkStart w:id="258" w:name="_Toc25891"/>
      <w:bookmarkStart w:id="259" w:name="_Toc1164"/>
      <w:bookmarkStart w:id="260" w:name="_Toc7503"/>
      <w:bookmarkStart w:id="261" w:name="_Toc192925662"/>
      <w:bookmarkStart w:id="262" w:name="_Toc16440"/>
      <w:bookmarkStart w:id="263" w:name="_Toc26548"/>
      <w:r>
        <w:rPr>
          <w:rFonts w:hint="eastAsia" w:ascii="宋体" w:hAnsi="宋体" w:eastAsia="宋体" w:cs="宋体"/>
          <w:color w:val="auto"/>
          <w:sz w:val="28"/>
          <w:szCs w:val="28"/>
          <w:highlight w:val="none"/>
        </w:rPr>
        <w:t>13. 投标文件的格式</w:t>
      </w:r>
      <w:bookmarkEnd w:id="252"/>
      <w:bookmarkEnd w:id="253"/>
      <w:bookmarkEnd w:id="254"/>
      <w:bookmarkEnd w:id="255"/>
      <w:bookmarkEnd w:id="256"/>
      <w:bookmarkEnd w:id="257"/>
      <w:bookmarkEnd w:id="258"/>
      <w:bookmarkEnd w:id="259"/>
      <w:bookmarkEnd w:id="260"/>
      <w:bookmarkEnd w:id="261"/>
      <w:bookmarkEnd w:id="262"/>
      <w:bookmarkEnd w:id="263"/>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13.1 投标人须按照本招标文件规定，编制投标文件的</w:t>
      </w:r>
      <w:r>
        <w:rPr>
          <w:rFonts w:hint="eastAsia" w:ascii="宋体" w:hAnsi="宋体" w:eastAsia="宋体" w:cs="宋体"/>
          <w:b w:val="0"/>
          <w:color w:val="auto"/>
          <w:sz w:val="28"/>
          <w:szCs w:val="28"/>
          <w:highlight w:val="none"/>
        </w:rPr>
        <w:t>正本一份、副本一份、</w:t>
      </w:r>
      <w:r>
        <w:rPr>
          <w:rFonts w:hint="eastAsia" w:ascii="宋体" w:hAnsi="宋体" w:eastAsia="宋体" w:cs="宋体"/>
          <w:color w:val="auto"/>
          <w:sz w:val="28"/>
          <w:szCs w:val="28"/>
          <w:highlight w:val="none"/>
        </w:rPr>
        <w:t>电子版一份(通过U盘介质提交）。正本必须用A4幅面纸张打印装订，副本可用正本的完整复印件，投标文件电子版应为doc格式，并在封面标明“正本”、“副本”、“电子版”字样。正本、副本、电子版如有不一致，则以正本为准。</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13.2 投标文件应由投标人的法定代表人或者其授权代表签字并加盖公章，如由后者签字，应提供“法定代表人授权委托书”。</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13.3 除非有另外的规定或许可外，投标使用货币均为人民币。</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13.4 投标人应提交证明其拟供货物符合招标文件要求的技术响应文件，该文件可以是文字资料、图纸和数据，并须提供货物主要技术性能的详细描述。</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13.5 投标文件的正本和全部副本均应使用不能擦去的墨料或墨水打印、书写或复印，并由法定代表人或其授权代表签署，盖投标人公章。</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13.6 全套投标文件应无涂改和行间插字，除非这些改动是根据招标人的指示进行的，或者是为改正投标人造成的必须修改的错误而进行的。有改动时，修改处应由法定代表人或授权代表签字证明或加盖校正章。 </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13.7 未按本招标文件规定的格式填写投标文件或投标文件字迹模糊不清的投标可能导致不利于投标人的评标结果。</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13.8 所有资格证明文件复印件，须加盖投标人公章。</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13.9 投标人应将投标文件按顺序装订成册、打印页码，并编列目录、资料清单，由于装订不规范或编排顺序混乱而导致投标文件被误读或漏读，投标人自行承担后果。</w:t>
      </w:r>
    </w:p>
    <w:p>
      <w:pPr>
        <w:spacing w:line="360" w:lineRule="auto"/>
        <w:rPr>
          <w:rFonts w:hint="eastAsia" w:ascii="宋体" w:hAnsi="宋体" w:eastAsia="宋体" w:cs="宋体"/>
          <w:color w:val="auto"/>
          <w:sz w:val="28"/>
          <w:szCs w:val="28"/>
          <w:highlight w:val="none"/>
        </w:rPr>
      </w:pPr>
    </w:p>
    <w:p>
      <w:pPr>
        <w:pStyle w:val="3"/>
        <w:keepNext w:val="0"/>
        <w:keepLines w:val="0"/>
        <w:spacing w:before="0" w:after="0" w:line="360" w:lineRule="auto"/>
        <w:ind w:firstLine="314"/>
        <w:rPr>
          <w:rFonts w:hint="eastAsia" w:ascii="宋体" w:hAnsi="宋体" w:eastAsia="宋体" w:cs="宋体"/>
          <w:color w:val="auto"/>
          <w:sz w:val="28"/>
          <w:szCs w:val="28"/>
          <w:highlight w:val="none"/>
        </w:rPr>
      </w:pPr>
      <w:bookmarkStart w:id="264" w:name="_Toc191892315"/>
      <w:bookmarkStart w:id="265" w:name="_Toc192925663"/>
      <w:bookmarkStart w:id="266" w:name="_Toc21477"/>
      <w:bookmarkStart w:id="267" w:name="_Toc30574"/>
      <w:bookmarkStart w:id="268" w:name="_Toc25619"/>
      <w:bookmarkStart w:id="269" w:name="_Toc20896"/>
      <w:bookmarkStart w:id="270" w:name="_Toc27787"/>
      <w:bookmarkStart w:id="271" w:name="_Toc4731"/>
      <w:bookmarkStart w:id="272" w:name="_Toc9182"/>
      <w:bookmarkStart w:id="273" w:name="_Toc4699"/>
      <w:bookmarkStart w:id="274" w:name="_Toc26098"/>
      <w:bookmarkStart w:id="275" w:name="_Toc1622"/>
      <w:r>
        <w:rPr>
          <w:rFonts w:hint="eastAsia" w:ascii="宋体" w:hAnsi="宋体" w:eastAsia="宋体" w:cs="宋体"/>
          <w:color w:val="auto"/>
          <w:sz w:val="28"/>
          <w:szCs w:val="28"/>
          <w:highlight w:val="none"/>
        </w:rPr>
        <w:t>第四节  投标文件的提交</w:t>
      </w:r>
      <w:bookmarkEnd w:id="264"/>
      <w:bookmarkEnd w:id="265"/>
      <w:bookmarkEnd w:id="266"/>
      <w:bookmarkEnd w:id="267"/>
      <w:bookmarkEnd w:id="268"/>
      <w:bookmarkEnd w:id="269"/>
      <w:bookmarkEnd w:id="270"/>
      <w:bookmarkEnd w:id="271"/>
      <w:bookmarkEnd w:id="272"/>
      <w:bookmarkEnd w:id="273"/>
      <w:bookmarkEnd w:id="274"/>
      <w:bookmarkEnd w:id="275"/>
    </w:p>
    <w:p>
      <w:pPr>
        <w:pStyle w:val="4"/>
        <w:keepNext w:val="0"/>
        <w:keepLines w:val="0"/>
        <w:spacing w:before="0" w:after="0" w:line="360" w:lineRule="auto"/>
        <w:ind w:firstLine="562" w:firstLineChars="200"/>
        <w:rPr>
          <w:rFonts w:hint="eastAsia" w:ascii="宋体" w:hAnsi="宋体" w:eastAsia="宋体" w:cs="宋体"/>
          <w:color w:val="auto"/>
          <w:sz w:val="28"/>
          <w:szCs w:val="28"/>
          <w:highlight w:val="none"/>
        </w:rPr>
      </w:pPr>
      <w:bookmarkStart w:id="276" w:name="_Toc18054"/>
      <w:bookmarkStart w:id="277" w:name="_Toc3377"/>
      <w:bookmarkStart w:id="278" w:name="_Toc570"/>
      <w:bookmarkStart w:id="279" w:name="_Toc11508"/>
      <w:bookmarkStart w:id="280" w:name="_Toc192925664"/>
      <w:bookmarkStart w:id="281" w:name="_Toc191892316"/>
      <w:bookmarkStart w:id="282" w:name="_Toc22594"/>
      <w:bookmarkStart w:id="283" w:name="_Toc11748"/>
      <w:bookmarkStart w:id="284" w:name="_Toc25727"/>
      <w:bookmarkStart w:id="285" w:name="_Toc7872"/>
      <w:bookmarkStart w:id="286" w:name="_Toc13825"/>
      <w:bookmarkStart w:id="287" w:name="_Toc19621"/>
      <w:r>
        <w:rPr>
          <w:rFonts w:hint="eastAsia" w:ascii="宋体" w:hAnsi="宋体" w:eastAsia="宋体" w:cs="宋体"/>
          <w:color w:val="auto"/>
          <w:sz w:val="28"/>
          <w:szCs w:val="28"/>
          <w:highlight w:val="none"/>
        </w:rPr>
        <w:t>14. 投标文件的密封、标记和递交</w:t>
      </w:r>
      <w:bookmarkEnd w:id="276"/>
      <w:bookmarkEnd w:id="277"/>
      <w:bookmarkEnd w:id="278"/>
      <w:bookmarkEnd w:id="279"/>
      <w:bookmarkEnd w:id="280"/>
      <w:bookmarkEnd w:id="281"/>
      <w:bookmarkEnd w:id="282"/>
      <w:bookmarkEnd w:id="283"/>
      <w:bookmarkEnd w:id="284"/>
      <w:bookmarkEnd w:id="285"/>
      <w:bookmarkEnd w:id="286"/>
      <w:bookmarkEnd w:id="287"/>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14.1 投标人应将投标文件正本、副本、电子版分别用信封密封，并标明招标编号、招标项目名称、投标人名称等及“正本”、“副本”、“电子版”字样。投标文件未密封将导致其投标被拒绝。</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14.2 每一信封密封处应加盖投标人公章或由授权代表签字。</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14.3 投标人应将投标文件按照本须知第14.1条至第14.2条的规定进行密封和标记，按“投标人须知前附表”注明的地址和时间派专人送达接收人。</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14.4 如果未按上述规定进行密封和标记，招标人将不承担由此造成的对投标文件的误投或提前拆封的责任。</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14.5 投标文件应在投标邀请中规定的截止时间前送达，迟到的投标文件为无效投标文件，将被拒收。</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14.6 投标人在投标截止时间之前，允许对所提交的投标文件进行修改或者撤回，并书面通知招标人。修改的内容和撤回通知应当按本须知要求签署、盖章、密封，并作为投标文件的组成部分。</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14.7 投标人在投标截止时间后不得修改、撤回投标文件。投标人在投标截止时间后修改投标文件的，其投标将被拒绝。</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14.8投标截止时间结束后，参加投标的投标人不足三家的，本次招标程序终止。除采购任务取消情形外，招标人将依法重新组织招标或者采取竞争性谈判等其他方式采购。</w:t>
      </w:r>
      <w:bookmarkStart w:id="288" w:name="_Toc192925665"/>
      <w:bookmarkStart w:id="289" w:name="_Toc191892317"/>
    </w:p>
    <w:p>
      <w:pPr>
        <w:spacing w:line="360" w:lineRule="auto"/>
        <w:ind w:firstLine="560" w:firstLineChars="200"/>
        <w:rPr>
          <w:rFonts w:hint="eastAsia" w:ascii="宋体" w:hAnsi="宋体" w:eastAsia="宋体" w:cs="宋体"/>
          <w:color w:val="auto"/>
          <w:sz w:val="28"/>
          <w:szCs w:val="28"/>
          <w:highlight w:val="none"/>
        </w:rPr>
      </w:pPr>
    </w:p>
    <w:p>
      <w:pPr>
        <w:pStyle w:val="3"/>
        <w:keepNext w:val="0"/>
        <w:keepLines w:val="0"/>
        <w:spacing w:before="0" w:after="0" w:line="360" w:lineRule="auto"/>
        <w:ind w:firstLine="314"/>
        <w:rPr>
          <w:rFonts w:hint="eastAsia" w:ascii="宋体" w:hAnsi="宋体" w:eastAsia="宋体" w:cs="宋体"/>
          <w:color w:val="auto"/>
          <w:sz w:val="28"/>
          <w:szCs w:val="28"/>
          <w:highlight w:val="none"/>
        </w:rPr>
      </w:pPr>
      <w:bookmarkStart w:id="290" w:name="_Toc12653"/>
      <w:bookmarkStart w:id="291" w:name="_Toc19934"/>
      <w:bookmarkStart w:id="292" w:name="_Toc20090"/>
      <w:bookmarkStart w:id="293" w:name="_Toc20129"/>
      <w:bookmarkStart w:id="294" w:name="_Toc12893"/>
      <w:bookmarkStart w:id="295" w:name="_Toc12691"/>
      <w:bookmarkStart w:id="296" w:name="_Toc28672"/>
      <w:bookmarkStart w:id="297" w:name="_Toc24143"/>
      <w:bookmarkStart w:id="298" w:name="_Toc11454"/>
      <w:bookmarkStart w:id="299" w:name="_Toc26441"/>
      <w:r>
        <w:rPr>
          <w:rFonts w:hint="eastAsia" w:ascii="宋体" w:hAnsi="宋体" w:eastAsia="宋体" w:cs="宋体"/>
          <w:color w:val="auto"/>
          <w:sz w:val="28"/>
          <w:szCs w:val="28"/>
          <w:highlight w:val="none"/>
        </w:rPr>
        <w:t>第五节  投标文件的评估和比较</w:t>
      </w:r>
      <w:bookmarkEnd w:id="288"/>
      <w:bookmarkEnd w:id="289"/>
      <w:bookmarkEnd w:id="290"/>
      <w:bookmarkEnd w:id="291"/>
      <w:bookmarkEnd w:id="292"/>
      <w:bookmarkEnd w:id="293"/>
      <w:bookmarkEnd w:id="294"/>
      <w:bookmarkEnd w:id="295"/>
      <w:bookmarkEnd w:id="296"/>
      <w:bookmarkEnd w:id="297"/>
      <w:bookmarkEnd w:id="298"/>
      <w:bookmarkEnd w:id="299"/>
    </w:p>
    <w:p>
      <w:pPr>
        <w:pStyle w:val="4"/>
        <w:keepNext w:val="0"/>
        <w:keepLines w:val="0"/>
        <w:spacing w:before="0" w:after="0" w:line="360" w:lineRule="auto"/>
        <w:ind w:firstLine="562" w:firstLineChars="200"/>
        <w:rPr>
          <w:rFonts w:hint="eastAsia" w:ascii="宋体" w:hAnsi="宋体" w:eastAsia="宋体" w:cs="宋体"/>
          <w:color w:val="auto"/>
          <w:sz w:val="28"/>
          <w:szCs w:val="28"/>
          <w:highlight w:val="none"/>
        </w:rPr>
      </w:pPr>
      <w:bookmarkStart w:id="300" w:name="_Toc23732"/>
      <w:bookmarkStart w:id="301" w:name="_Toc192925666"/>
      <w:bookmarkStart w:id="302" w:name="_Toc27985"/>
      <w:bookmarkStart w:id="303" w:name="_Toc25123"/>
      <w:bookmarkStart w:id="304" w:name="_Toc3152"/>
      <w:bookmarkStart w:id="305" w:name="_Toc13799"/>
      <w:bookmarkStart w:id="306" w:name="_Toc16960"/>
      <w:bookmarkStart w:id="307" w:name="_Toc4583"/>
      <w:bookmarkStart w:id="308" w:name="_Toc1626"/>
      <w:bookmarkStart w:id="309" w:name="_Toc29132"/>
      <w:bookmarkStart w:id="310" w:name="_Toc191892318"/>
      <w:bookmarkStart w:id="311" w:name="_Toc5121"/>
      <w:r>
        <w:rPr>
          <w:rFonts w:hint="eastAsia" w:ascii="宋体" w:hAnsi="宋体" w:eastAsia="宋体" w:cs="宋体"/>
          <w:color w:val="auto"/>
          <w:sz w:val="28"/>
          <w:szCs w:val="28"/>
          <w:highlight w:val="none"/>
        </w:rPr>
        <w:t>15．开标、评标时间</w:t>
      </w:r>
      <w:bookmarkEnd w:id="300"/>
      <w:bookmarkEnd w:id="301"/>
      <w:bookmarkEnd w:id="302"/>
      <w:bookmarkEnd w:id="303"/>
      <w:bookmarkEnd w:id="304"/>
      <w:bookmarkEnd w:id="305"/>
      <w:bookmarkEnd w:id="306"/>
      <w:bookmarkEnd w:id="307"/>
      <w:bookmarkEnd w:id="308"/>
      <w:bookmarkEnd w:id="309"/>
      <w:bookmarkEnd w:id="310"/>
      <w:bookmarkEnd w:id="311"/>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15.1 在“投标人须知前附表”（有延期通知的以延期通知为准）中所规定的时间、地点开标。</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15.2 招标人负责组建评标委员会，评标委员会负责评标工作。</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15.3 本项目采用综合评分法评选方法评定，公司纪检人员进行监督。</w:t>
      </w:r>
    </w:p>
    <w:p>
      <w:pPr>
        <w:pStyle w:val="4"/>
        <w:keepNext w:val="0"/>
        <w:keepLines w:val="0"/>
        <w:spacing w:before="0" w:after="0" w:line="360" w:lineRule="auto"/>
        <w:ind w:firstLine="562" w:firstLineChars="200"/>
        <w:rPr>
          <w:rFonts w:hint="eastAsia" w:ascii="宋体" w:hAnsi="宋体" w:eastAsia="宋体" w:cs="宋体"/>
          <w:color w:val="auto"/>
          <w:sz w:val="28"/>
          <w:szCs w:val="28"/>
          <w:highlight w:val="none"/>
        </w:rPr>
      </w:pPr>
      <w:bookmarkStart w:id="312" w:name="_Toc27536"/>
      <w:bookmarkStart w:id="313" w:name="_Toc6418"/>
      <w:bookmarkStart w:id="314" w:name="_Toc21160"/>
      <w:bookmarkStart w:id="315" w:name="_Toc5700"/>
      <w:bookmarkStart w:id="316" w:name="_Toc1675"/>
      <w:bookmarkStart w:id="317" w:name="_Toc8811"/>
      <w:bookmarkStart w:id="318" w:name="_Toc30627"/>
      <w:bookmarkStart w:id="319" w:name="_Toc21678"/>
      <w:bookmarkStart w:id="320" w:name="_Toc28940"/>
      <w:bookmarkStart w:id="321" w:name="_Toc27522"/>
      <w:r>
        <w:rPr>
          <w:rFonts w:hint="eastAsia" w:ascii="宋体" w:hAnsi="宋体" w:eastAsia="宋体" w:cs="宋体"/>
          <w:color w:val="auto"/>
          <w:sz w:val="28"/>
          <w:szCs w:val="28"/>
          <w:highlight w:val="none"/>
        </w:rPr>
        <w:t>16．评标委员会</w:t>
      </w:r>
      <w:bookmarkEnd w:id="312"/>
      <w:bookmarkEnd w:id="313"/>
      <w:bookmarkEnd w:id="314"/>
      <w:bookmarkEnd w:id="315"/>
      <w:bookmarkEnd w:id="316"/>
      <w:bookmarkEnd w:id="317"/>
      <w:bookmarkEnd w:id="318"/>
      <w:bookmarkEnd w:id="319"/>
      <w:bookmarkEnd w:id="320"/>
      <w:bookmarkEnd w:id="321"/>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16.1 招标人根据招标货物和服务的特点依法组建评标委员会。评标委员会由技术、经济、法律方面的专业人员组成。在开标后的适当时间里，由评标委员会对投标文件进行审查、质疑、评估和比较，并做出授予合同的建议。</w:t>
      </w:r>
    </w:p>
    <w:p>
      <w:pPr>
        <w:pStyle w:val="4"/>
        <w:keepNext w:val="0"/>
        <w:keepLines w:val="0"/>
        <w:spacing w:before="0" w:after="0" w:line="360" w:lineRule="auto"/>
        <w:ind w:firstLine="562" w:firstLineChars="200"/>
        <w:rPr>
          <w:rFonts w:hint="eastAsia" w:ascii="宋体" w:hAnsi="宋体" w:eastAsia="宋体" w:cs="宋体"/>
          <w:color w:val="auto"/>
          <w:sz w:val="28"/>
          <w:szCs w:val="28"/>
          <w:highlight w:val="none"/>
        </w:rPr>
      </w:pPr>
      <w:bookmarkStart w:id="322" w:name="_Toc191892320"/>
      <w:bookmarkStart w:id="323" w:name="_Toc7795"/>
      <w:bookmarkStart w:id="324" w:name="_Toc2424"/>
      <w:bookmarkStart w:id="325" w:name="_Toc192925668"/>
      <w:bookmarkStart w:id="326" w:name="_Toc13205"/>
      <w:bookmarkStart w:id="327" w:name="_Toc29315"/>
      <w:bookmarkStart w:id="328" w:name="_Toc287"/>
      <w:bookmarkStart w:id="329" w:name="_Toc18173"/>
      <w:bookmarkStart w:id="330" w:name="_Toc16888"/>
      <w:bookmarkStart w:id="331" w:name="_Toc6050"/>
      <w:bookmarkStart w:id="332" w:name="_Toc22954"/>
      <w:bookmarkStart w:id="333" w:name="_Toc18064"/>
      <w:r>
        <w:rPr>
          <w:rFonts w:hint="eastAsia" w:ascii="宋体" w:hAnsi="宋体" w:eastAsia="宋体" w:cs="宋体"/>
          <w:color w:val="auto"/>
          <w:sz w:val="28"/>
          <w:szCs w:val="28"/>
          <w:highlight w:val="none"/>
        </w:rPr>
        <w:t>17. 投标文件的初审</w:t>
      </w:r>
      <w:bookmarkEnd w:id="322"/>
      <w:bookmarkEnd w:id="323"/>
      <w:bookmarkEnd w:id="324"/>
      <w:bookmarkEnd w:id="325"/>
      <w:bookmarkEnd w:id="326"/>
      <w:bookmarkEnd w:id="327"/>
      <w:bookmarkEnd w:id="328"/>
      <w:bookmarkEnd w:id="329"/>
      <w:bookmarkEnd w:id="330"/>
      <w:bookmarkEnd w:id="331"/>
      <w:bookmarkEnd w:id="332"/>
      <w:bookmarkEnd w:id="333"/>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对所有投标人的评估，都采用相同的程序和标准。评议过程将严格按照招标文件的要求和条件进行。</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有关投标文件的审查、澄清、评估和比较以及推荐中标候选人的一切情况，都不得透露给任一投标人或与上述评标工作无关的人员。</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投标人任何试图影响评委会对投标文件的评估、比较或者推荐候选人的行为，都将导致其投标被拒绝，并被没收投标保证金。</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17.1 评标委员会将对投标文件进行审查，以确定投标文件是否完整、有无计算上的错误、是否提交了投标保证金、文件是否已正确签署。</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17.2 算术错误将按以下方法更正：</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 如投标文件中“开标一览表（报价表）”内容与投标文件中的明细表内容不一致的，以“开标一览表（报价表）”为准。</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 如投标文件的大写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如果投标人不接受按上述方法对投标文件中的算术错误进行更正，其投标将被拒绝并没收其投标保证金。</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17.3 资格性检查和符合性检查 </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17.3.1资格性检查。依据法律法规和招标文件的规定，在对投标文件详细评估之前，评标委员会将依据投标人提交的投标文件，按“投标人须知前附表”所述的资格标准对投标人进行资格审查，以确定其是否具备投标资格。如果投标人不具备投标资格，不满足招标文件所规定的资格标准，或者其提供的资格证明文件不全的，其投标将被拒绝。</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17.3.2符合性检查。依据招标文件的规定，评标委员会还将从投标文件的有效性、完整性和对招标文件的响应程度进行审查，以确定是否符合对招标文件的实质性要求做出响应。</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实质性偏离是指：（1）实质性影响合同的范围、质量和履行；（2）实质性违背招标文件，限制了招标人的权利和中标人合同项下的义务；（3）不公正地影响了其它作出实质性响应的投标人的竞争地位。</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对没有实质性响应的投标文件将不进行评估，其投标将被拒绝。</w:t>
      </w:r>
    </w:p>
    <w:p>
      <w:pPr>
        <w:spacing w:line="360" w:lineRule="auto"/>
        <w:ind w:firstLine="560" w:firstLineChars="200"/>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凡有</w:t>
      </w:r>
      <w:r>
        <w:rPr>
          <w:rFonts w:hint="eastAsia" w:ascii="宋体" w:hAnsi="宋体" w:eastAsia="宋体" w:cs="宋体"/>
          <w:b/>
          <w:color w:val="auto"/>
          <w:sz w:val="28"/>
          <w:szCs w:val="28"/>
          <w:highlight w:val="none"/>
        </w:rPr>
        <w:t>下列情况之一</w:t>
      </w:r>
      <w:r>
        <w:rPr>
          <w:rFonts w:hint="eastAsia" w:ascii="宋体" w:hAnsi="宋体" w:eastAsia="宋体" w:cs="宋体"/>
          <w:color w:val="auto"/>
          <w:sz w:val="28"/>
          <w:szCs w:val="28"/>
          <w:highlight w:val="none"/>
        </w:rPr>
        <w:t>者，投标文件也将被视为</w:t>
      </w:r>
      <w:r>
        <w:rPr>
          <w:rFonts w:hint="eastAsia" w:ascii="宋体" w:hAnsi="宋体" w:eastAsia="宋体" w:cs="宋体"/>
          <w:b/>
          <w:color w:val="auto"/>
          <w:sz w:val="28"/>
          <w:szCs w:val="28"/>
          <w:highlight w:val="none"/>
        </w:rPr>
        <w:t>未实质性响应招标文件要求：</w:t>
      </w:r>
    </w:p>
    <w:p>
      <w:pPr>
        <w:spacing w:line="360" w:lineRule="auto"/>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 投标文件未按照本须知第14条的规定进行密封、标记的；</w:t>
      </w:r>
    </w:p>
    <w:p>
      <w:pPr>
        <w:spacing w:line="360" w:lineRule="auto"/>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(2) 未按规定由投标人的法定代表人或其授权代表签字，或未加盖投标人公章的；或签字人未提供法定代表人有效授权委托书原件的；</w:t>
      </w:r>
    </w:p>
    <w:p>
      <w:pPr>
        <w:spacing w:line="360" w:lineRule="auto"/>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(3) 未按规定提交投标保证金的；</w:t>
      </w:r>
    </w:p>
    <w:p>
      <w:pPr>
        <w:spacing w:line="360" w:lineRule="auto"/>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(4) 投标有效期不满足招标文件要求的；</w:t>
      </w:r>
    </w:p>
    <w:p>
      <w:pPr>
        <w:spacing w:line="360" w:lineRule="auto"/>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(5) 投标内容与招标内容及要求有重大偏离或保留的；</w:t>
      </w:r>
    </w:p>
    <w:p>
      <w:pPr>
        <w:spacing w:line="360" w:lineRule="auto"/>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(6) 投标人提交的是可选择的报价；</w:t>
      </w:r>
    </w:p>
    <w:p>
      <w:pPr>
        <w:spacing w:line="360" w:lineRule="auto"/>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(7) 投标人未按规定对投标进行分项报价；</w:t>
      </w:r>
    </w:p>
    <w:p>
      <w:pPr>
        <w:spacing w:line="360" w:lineRule="auto"/>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(8) 一个投标人对同一个合同包不止投一个标的；</w:t>
      </w:r>
    </w:p>
    <w:p>
      <w:pPr>
        <w:spacing w:line="360" w:lineRule="auto"/>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(9) 投标文件组成不符合招标文件要求的；</w:t>
      </w:r>
    </w:p>
    <w:p>
      <w:pPr>
        <w:spacing w:line="360" w:lineRule="auto"/>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(10) 投标文件中提供虚假或失实资料的；</w:t>
      </w:r>
    </w:p>
    <w:p>
      <w:pPr>
        <w:spacing w:line="360" w:lineRule="auto"/>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(11) 不符合招标文件中规定的</w:t>
      </w:r>
      <w:r>
        <w:rPr>
          <w:rFonts w:hint="eastAsia" w:ascii="宋体" w:hAnsi="宋体" w:eastAsia="宋体" w:cs="宋体"/>
          <w:color w:val="auto"/>
          <w:sz w:val="28"/>
          <w:szCs w:val="28"/>
          <w:highlight w:val="none"/>
        </w:rPr>
        <w:t>★</w:t>
      </w:r>
      <w:r>
        <w:rPr>
          <w:rFonts w:hint="eastAsia" w:ascii="宋体" w:hAnsi="宋体" w:eastAsia="宋体" w:cs="宋体"/>
          <w:b/>
          <w:color w:val="auto"/>
          <w:sz w:val="28"/>
          <w:szCs w:val="28"/>
          <w:highlight w:val="none"/>
        </w:rPr>
        <w:t>号条款或其它实质性条款要求的。</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投标人存在</w:t>
      </w:r>
      <w:r>
        <w:rPr>
          <w:rFonts w:hint="eastAsia" w:ascii="宋体" w:hAnsi="宋体" w:eastAsia="宋体" w:cs="宋体"/>
          <w:b/>
          <w:bCs/>
          <w:color w:val="auto"/>
          <w:sz w:val="28"/>
          <w:szCs w:val="28"/>
          <w:highlight w:val="none"/>
        </w:rPr>
        <w:t>下列情形之一</w:t>
      </w:r>
      <w:r>
        <w:rPr>
          <w:rFonts w:hint="eastAsia" w:ascii="宋体" w:hAnsi="宋体" w:eastAsia="宋体" w:cs="宋体"/>
          <w:color w:val="auto"/>
          <w:sz w:val="28"/>
          <w:szCs w:val="28"/>
          <w:highlight w:val="none"/>
        </w:rPr>
        <w:t>的，将被认定为</w:t>
      </w:r>
      <w:r>
        <w:rPr>
          <w:rFonts w:hint="eastAsia" w:ascii="宋体" w:hAnsi="宋体" w:eastAsia="宋体" w:cs="宋体"/>
          <w:b/>
          <w:bCs/>
          <w:color w:val="auto"/>
          <w:sz w:val="28"/>
          <w:szCs w:val="28"/>
          <w:highlight w:val="none"/>
        </w:rPr>
        <w:t>串通投标行为并作无效投标处理</w:t>
      </w:r>
      <w:r>
        <w:rPr>
          <w:rFonts w:hint="eastAsia" w:ascii="宋体" w:hAnsi="宋体" w:eastAsia="宋体" w:cs="宋体"/>
          <w:color w:val="auto"/>
          <w:sz w:val="28"/>
          <w:szCs w:val="28"/>
          <w:highlight w:val="none"/>
        </w:rPr>
        <w:t>：</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（1）投标人之间协商投标报价等投标文件的实质性内容；</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（2）投标人之间约定中标供应商；</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（3）投标人之间约定部分投标人放弃投标或者中标；</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（4）属于同一集团、协会、商会等组织成员的投标人按照该组织要求协同投标；</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（5）投标人之间为谋取中标或者排斥特定投标人而采取的其他联合行动；</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（6）不同投标人的投标文件由同一单位或者个人编制；</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（7）不同投标人委托同一单位或者个人办理投标事宜；</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（8）不同投标人的投标文件载明的项目管理成员为同一人；</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（9）不同投标人的投标文件异常一致或者投标报价呈规律性差异；</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（10）不同投标人的投标文件相互混装；</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（11）不同投标人的投标保证金从同一单位或者个人的账户转出。</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（12）不同投标人的投标文件错、漏之处一致或雷同，且不能合理解释的；</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（13）不同的投标人的法定代表人、委托代理人等由同一个单位缴纳社会保险的；</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（14）由同一人或分别由几个有利害关系的人携带两个以上（含两个）投标人的企业资料参与资格审查、领取招标资料，或代表两个以上（含两个）投标人参加招标答疑会、交纳或退还投标保证金、开标的；</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（15）有关法律、法规或规章规定的其他串通投标行为。</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评标委员会决定投标的响应性，只根据投标文件本身的内容，而不寻求其他的外部证据。</w:t>
      </w:r>
    </w:p>
    <w:p>
      <w:pPr>
        <w:pStyle w:val="4"/>
        <w:spacing w:before="0" w:after="0" w:line="360" w:lineRule="auto"/>
        <w:ind w:firstLine="562" w:firstLineChars="200"/>
        <w:rPr>
          <w:rFonts w:hint="eastAsia" w:ascii="宋体" w:hAnsi="宋体" w:eastAsia="宋体" w:cs="宋体"/>
          <w:color w:val="auto"/>
          <w:sz w:val="28"/>
          <w:szCs w:val="28"/>
          <w:highlight w:val="none"/>
        </w:rPr>
      </w:pPr>
      <w:bookmarkStart w:id="334" w:name="_Toc20479"/>
      <w:bookmarkStart w:id="335" w:name="_Toc13539"/>
      <w:bookmarkStart w:id="336" w:name="_Toc26989"/>
      <w:bookmarkStart w:id="337" w:name="_Toc2250"/>
      <w:bookmarkStart w:id="338" w:name="_Toc24292"/>
      <w:bookmarkStart w:id="339" w:name="_Toc28663"/>
      <w:bookmarkStart w:id="340" w:name="_Toc15004"/>
      <w:bookmarkStart w:id="341" w:name="_Toc26410"/>
      <w:bookmarkStart w:id="342" w:name="_Toc28131"/>
      <w:bookmarkStart w:id="343" w:name="_Toc19416"/>
      <w:bookmarkStart w:id="344" w:name="_Toc377"/>
      <w:bookmarkStart w:id="345" w:name="_Toc23169"/>
      <w:bookmarkStart w:id="346" w:name="_Toc18242"/>
      <w:r>
        <w:rPr>
          <w:rFonts w:hint="eastAsia" w:ascii="宋体" w:hAnsi="宋体" w:eastAsia="宋体" w:cs="宋体"/>
          <w:color w:val="auto"/>
          <w:sz w:val="28"/>
          <w:szCs w:val="28"/>
          <w:highlight w:val="none"/>
        </w:rPr>
        <w:t>18.评标办法</w:t>
      </w:r>
      <w:bookmarkEnd w:id="334"/>
      <w:bookmarkEnd w:id="335"/>
      <w:bookmarkEnd w:id="336"/>
      <w:bookmarkEnd w:id="337"/>
      <w:bookmarkEnd w:id="338"/>
      <w:bookmarkEnd w:id="339"/>
      <w:bookmarkEnd w:id="340"/>
      <w:bookmarkEnd w:id="341"/>
      <w:bookmarkEnd w:id="342"/>
      <w:bookmarkEnd w:id="343"/>
      <w:bookmarkEnd w:id="344"/>
      <w:bookmarkEnd w:id="345"/>
    </w:p>
    <w:p>
      <w:pPr>
        <w:widowControl/>
        <w:shd w:val="clear" w:color="auto" w:fill="FFFFFF"/>
        <w:adjustRightInd w:val="0"/>
        <w:snapToGrid w:val="0"/>
        <w:spacing w:before="60" w:beforeLines="25" w:after="60" w:afterLines="25" w:line="360" w:lineRule="auto"/>
        <w:ind w:firstLine="560" w:firstLineChars="200"/>
        <w:rPr>
          <w:rFonts w:hint="eastAsia" w:ascii="宋体" w:hAnsi="宋体" w:eastAsia="宋体" w:cs="宋体"/>
          <w:bCs/>
          <w:color w:val="auto"/>
          <w:sz w:val="28"/>
          <w:szCs w:val="28"/>
          <w:highlight w:val="none"/>
          <w:u w:val="single"/>
        </w:rPr>
      </w:pPr>
      <w:r>
        <w:rPr>
          <w:rFonts w:hint="eastAsia" w:ascii="宋体" w:hAnsi="宋体" w:eastAsia="宋体" w:cs="宋体"/>
          <w:bCs/>
          <w:color w:val="auto"/>
          <w:sz w:val="28"/>
          <w:szCs w:val="28"/>
          <w:highlight w:val="none"/>
        </w:rPr>
        <w:t>本次招标采用综合评分法评标。</w:t>
      </w:r>
    </w:p>
    <w:p>
      <w:pPr>
        <w:pStyle w:val="6"/>
        <w:shd w:val="clear" w:color="auto" w:fill="FFFFFF"/>
        <w:snapToGrid w:val="0"/>
        <w:spacing w:line="360" w:lineRule="auto"/>
        <w:ind w:left="0" w:firstLine="562" w:firstLineChars="200"/>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18.1 具体的评标标准（评标办法）</w:t>
      </w:r>
    </w:p>
    <w:p>
      <w:pPr>
        <w:shd w:val="clear" w:color="auto" w:fill="FFFFFF"/>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18.1.1 初审合格（即资格性、符合性检查合格并按其他相关条款审查后）的投标人在三家以上（含三家）的，评标委员会将按以下评标方法与标准，对初审合格的投标文件进行商务和技术评估，综合比较与评价。</w:t>
      </w:r>
    </w:p>
    <w:p>
      <w:pPr>
        <w:snapToGrid w:val="0"/>
        <w:spacing w:line="360" w:lineRule="auto"/>
        <w:ind w:firstLine="413" w:firstLineChars="147"/>
        <w:rPr>
          <w:rStyle w:val="22"/>
          <w:rFonts w:hint="eastAsia" w:ascii="宋体" w:hAnsi="宋体" w:eastAsia="宋体" w:cs="宋体"/>
          <w:color w:val="auto"/>
          <w:sz w:val="28"/>
          <w:szCs w:val="28"/>
          <w:highlight w:val="none"/>
        </w:rPr>
      </w:pPr>
      <w:r>
        <w:rPr>
          <w:rStyle w:val="22"/>
          <w:rFonts w:hint="eastAsia" w:ascii="宋体" w:hAnsi="宋体" w:eastAsia="宋体" w:cs="宋体"/>
          <w:color w:val="auto"/>
          <w:sz w:val="28"/>
          <w:szCs w:val="28"/>
          <w:highlight w:val="none"/>
        </w:rPr>
        <w:t>（1）技术分F1（</w:t>
      </w:r>
      <w:r>
        <w:rPr>
          <w:rFonts w:hint="eastAsia" w:ascii="宋体" w:hAnsi="宋体" w:eastAsia="宋体" w:cs="宋体"/>
          <w:b/>
          <w:color w:val="auto"/>
          <w:sz w:val="28"/>
          <w:szCs w:val="28"/>
          <w:highlight w:val="none"/>
        </w:rPr>
        <w:t>满分</w:t>
      </w:r>
      <w:r>
        <w:rPr>
          <w:rFonts w:hint="eastAsia" w:ascii="宋体" w:hAnsi="宋体" w:cs="宋体"/>
          <w:b/>
          <w:color w:val="auto"/>
          <w:sz w:val="28"/>
          <w:szCs w:val="28"/>
          <w:highlight w:val="none"/>
          <w:lang w:val="en-US" w:eastAsia="zh-CN"/>
        </w:rPr>
        <w:t>25</w:t>
      </w:r>
      <w:r>
        <w:rPr>
          <w:rFonts w:hint="eastAsia" w:ascii="宋体" w:hAnsi="宋体" w:eastAsia="宋体" w:cs="宋体"/>
          <w:b/>
          <w:color w:val="auto"/>
          <w:sz w:val="28"/>
          <w:szCs w:val="28"/>
          <w:highlight w:val="none"/>
        </w:rPr>
        <w:t>分</w:t>
      </w:r>
      <w:r>
        <w:rPr>
          <w:rStyle w:val="22"/>
          <w:rFonts w:hint="eastAsia" w:ascii="宋体" w:hAnsi="宋体" w:eastAsia="宋体" w:cs="宋体"/>
          <w:color w:val="auto"/>
          <w:sz w:val="28"/>
          <w:szCs w:val="28"/>
          <w:highlight w:val="none"/>
        </w:rPr>
        <w:t>）</w:t>
      </w:r>
    </w:p>
    <w:tbl>
      <w:tblPr>
        <w:tblStyle w:val="19"/>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7266"/>
        <w:gridCol w:w="101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04" w:type="dxa"/>
            <w:vAlign w:val="center"/>
          </w:tcPr>
          <w:p>
            <w:pPr>
              <w:snapToGrid w:val="0"/>
              <w:spacing w:line="360" w:lineRule="auto"/>
              <w:jc w:val="center"/>
              <w:rPr>
                <w:rFonts w:hint="eastAsia" w:ascii="宋体" w:hAnsi="宋体" w:eastAsia="宋体" w:cs="宋体"/>
                <w:b/>
                <w:bCs w:val="0"/>
                <w:color w:val="auto"/>
                <w:kern w:val="10"/>
                <w:sz w:val="28"/>
                <w:szCs w:val="28"/>
                <w:highlight w:val="none"/>
              </w:rPr>
            </w:pPr>
            <w:r>
              <w:rPr>
                <w:rFonts w:hint="eastAsia" w:ascii="宋体" w:hAnsi="宋体" w:eastAsia="宋体" w:cs="宋体"/>
                <w:b/>
                <w:bCs w:val="0"/>
                <w:color w:val="auto"/>
                <w:kern w:val="10"/>
                <w:sz w:val="28"/>
                <w:szCs w:val="28"/>
                <w:highlight w:val="none"/>
              </w:rPr>
              <w:t>序号</w:t>
            </w:r>
          </w:p>
        </w:tc>
        <w:tc>
          <w:tcPr>
            <w:tcW w:w="7266" w:type="dxa"/>
            <w:vAlign w:val="center"/>
          </w:tcPr>
          <w:p>
            <w:pPr>
              <w:snapToGrid w:val="0"/>
              <w:spacing w:line="360" w:lineRule="auto"/>
              <w:jc w:val="center"/>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评分界定</w:t>
            </w:r>
          </w:p>
        </w:tc>
        <w:tc>
          <w:tcPr>
            <w:tcW w:w="1013" w:type="dxa"/>
            <w:vAlign w:val="center"/>
          </w:tcPr>
          <w:p>
            <w:pPr>
              <w:snapToGrid w:val="0"/>
              <w:spacing w:line="360" w:lineRule="auto"/>
              <w:jc w:val="center"/>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4" w:type="dxa"/>
            <w:vAlign w:val="center"/>
          </w:tcPr>
          <w:p>
            <w:pPr>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p>
        </w:tc>
        <w:tc>
          <w:tcPr>
            <w:tcW w:w="7266" w:type="dxa"/>
            <w:vAlign w:val="center"/>
          </w:tcPr>
          <w:p>
            <w:pPr>
              <w:snapToGrid w:val="0"/>
              <w:spacing w:line="360" w:lineRule="auto"/>
              <w:ind w:right="31" w:rightChars="15"/>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根据投标人针对本项目服务内容及总体要求，提出消防管理、公共突发紧急事件应急处理、台风暴雨等自然灾害的预防和应急处理措施。预防和应急处理方案详细、具体、完整、合理可行、重点突出、可操作性强的得</w:t>
            </w: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t>分；方案存在缺漏，但基本满足项目实施需要的得</w:t>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t>分；方案存在缺漏，对项目实施影响较大或者未提供方案的不得分。</w:t>
            </w:r>
          </w:p>
        </w:tc>
        <w:tc>
          <w:tcPr>
            <w:tcW w:w="1013" w:type="dxa"/>
            <w:vAlign w:val="center"/>
          </w:tcPr>
          <w:p>
            <w:pPr>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满分</w:t>
            </w:r>
          </w:p>
          <w:p>
            <w:pPr>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4" w:type="dxa"/>
            <w:vAlign w:val="center"/>
          </w:tcPr>
          <w:p>
            <w:pPr>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p>
        </w:tc>
        <w:tc>
          <w:tcPr>
            <w:tcW w:w="7266" w:type="dxa"/>
            <w:vAlign w:val="center"/>
          </w:tcPr>
          <w:p>
            <w:pPr>
              <w:snapToGrid w:val="0"/>
              <w:spacing w:line="360" w:lineRule="auto"/>
              <w:ind w:right="31" w:rightChars="15"/>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投标人通过项目现场踏勘，针对安保服务特点，列出管理上的难点、重点及解决方案，并提供现场踏勘报告。评标小组按优（</w:t>
            </w: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t>分）、良（</w:t>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t>分）、一般（</w:t>
            </w:r>
            <w:r>
              <w:rPr>
                <w:rFonts w:hint="eastAsia" w:ascii="宋体" w:hAnsi="宋体" w:cs="宋体"/>
                <w:color w:val="auto"/>
                <w:sz w:val="28"/>
                <w:szCs w:val="28"/>
                <w:highlight w:val="none"/>
                <w:lang w:val="en-US" w:eastAsia="zh-CN"/>
              </w:rPr>
              <w:t>0.5</w:t>
            </w:r>
            <w:r>
              <w:rPr>
                <w:rFonts w:hint="eastAsia" w:ascii="宋体" w:hAnsi="宋体" w:eastAsia="宋体" w:cs="宋体"/>
                <w:color w:val="auto"/>
                <w:sz w:val="28"/>
                <w:szCs w:val="28"/>
                <w:highlight w:val="none"/>
              </w:rPr>
              <w:t>分）打分，未提供分析方案或未对现场进行踏勘均不得分。（优：针对本项目服务内容和项目特点进行难点、重点分析全面完整，提出的解决方案具备针对性及可行性，现场踏勘报告完整、图文并茂；良：针对本项目服务内容和项目特点进行难点、重点分析较完整，提出的解决方案具备一定的针对性及可行性，有提供较完整的现场踏勘报告；一般：针对本项目服务内容和项目特点的难点、重点分析不够突出、有欠缺，提出的解决方案针对性及可行性较差，现场踏勘报告简单或者信息不完整）。</w:t>
            </w:r>
          </w:p>
        </w:tc>
        <w:tc>
          <w:tcPr>
            <w:tcW w:w="1013" w:type="dxa"/>
            <w:vAlign w:val="center"/>
          </w:tcPr>
          <w:p>
            <w:pPr>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满分</w:t>
            </w:r>
          </w:p>
          <w:p>
            <w:pPr>
              <w:snapToGrid w:val="0"/>
              <w:spacing w:line="360" w:lineRule="auto"/>
              <w:jc w:val="center"/>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4" w:type="dxa"/>
            <w:tcBorders>
              <w:bottom w:val="single" w:color="auto" w:sz="4" w:space="0"/>
            </w:tcBorders>
            <w:vAlign w:val="center"/>
          </w:tcPr>
          <w:p>
            <w:pPr>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p>
        </w:tc>
        <w:tc>
          <w:tcPr>
            <w:tcW w:w="7266" w:type="dxa"/>
            <w:shd w:val="clear" w:color="auto" w:fill="auto"/>
            <w:vAlign w:val="center"/>
          </w:tcPr>
          <w:p>
            <w:pPr>
              <w:snapToGrid w:val="0"/>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根据投标人针对本项目服务内容及总体要求，提出监控系统、消防系统、车辆人员出入系统等公共设备设施日常维护管理、交通和车辆停放秩序的管理方案。方案详细、具体、完整、合理可行、重点突出、可操作性强的得</w:t>
            </w: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t>分；方案存在缺漏，但基本满足项目实施需要的得</w:t>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t>分；方案存在缺漏，对项目实施影响较大或者未提供方案的不得分。</w:t>
            </w:r>
          </w:p>
        </w:tc>
        <w:tc>
          <w:tcPr>
            <w:tcW w:w="1013" w:type="dxa"/>
            <w:shd w:val="clear" w:color="auto" w:fill="auto"/>
            <w:vAlign w:val="center"/>
          </w:tcPr>
          <w:p>
            <w:pPr>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满分</w:t>
            </w:r>
          </w:p>
          <w:p>
            <w:pPr>
              <w:snapToGrid w:val="0"/>
              <w:spacing w:line="360" w:lineRule="auto"/>
              <w:jc w:val="center"/>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4" w:type="dxa"/>
            <w:tcBorders>
              <w:bottom w:val="single" w:color="auto" w:sz="4" w:space="0"/>
            </w:tcBorders>
            <w:vAlign w:val="center"/>
          </w:tcPr>
          <w:p>
            <w:pPr>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w:t>
            </w:r>
          </w:p>
        </w:tc>
        <w:tc>
          <w:tcPr>
            <w:tcW w:w="7266" w:type="dxa"/>
            <w:vAlign w:val="center"/>
          </w:tcPr>
          <w:p>
            <w:pPr>
              <w:snapToGrid w:val="0"/>
              <w:spacing w:line="360" w:lineRule="auto"/>
              <w:ind w:right="31" w:rightChars="15"/>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根据投标人针对本项目服务内容及总体要求，提出公共安全秩序的维护方案（包括安全监控、巡视、门岗执勤等；建立24小时值班制度及来访人员登记制度，协助接受报修、求助、建议、问询、质疑、投诉等与公共安全有关信息的收集和反馈）。方案详细、具体、完整、合理可行、重点突出、可操作性强的得</w:t>
            </w: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t>分；方案存在缺漏，但基本满足项目实施需要的得</w:t>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t>分；方案存在缺漏，对项目实施影响较大或者未提供方案的不得分。</w:t>
            </w:r>
          </w:p>
        </w:tc>
        <w:tc>
          <w:tcPr>
            <w:tcW w:w="1013" w:type="dxa"/>
            <w:vAlign w:val="center"/>
          </w:tcPr>
          <w:p>
            <w:pPr>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满分</w:t>
            </w:r>
          </w:p>
          <w:p>
            <w:pPr>
              <w:snapToGrid w:val="0"/>
              <w:spacing w:line="360" w:lineRule="auto"/>
              <w:jc w:val="center"/>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4" w:type="dxa"/>
            <w:tcBorders>
              <w:top w:val="single" w:color="auto" w:sz="4" w:space="0"/>
            </w:tcBorders>
            <w:vAlign w:val="center"/>
          </w:tcPr>
          <w:p>
            <w:pPr>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w:t>
            </w:r>
          </w:p>
        </w:tc>
        <w:tc>
          <w:tcPr>
            <w:tcW w:w="7266" w:type="dxa"/>
            <w:vAlign w:val="center"/>
          </w:tcPr>
          <w:p>
            <w:pPr>
              <w:adjustRightInd w:val="0"/>
              <w:snapToGrid w:val="0"/>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根据投标人针对本项目服务内容及总体要求，提出如遇项目举办大型活动、迎接上级检查评估以及处于特殊敏感时期的其它安全保障工作方案。方案详细、具体、完整、合理可行、重点突出、可操作性强的得</w:t>
            </w: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t>分；方案存在缺漏，但基本满足项目实施需要的得</w:t>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t>分；方案存在缺漏，对项目实施影响较大或者未提供方案的不得分。</w:t>
            </w:r>
          </w:p>
        </w:tc>
        <w:tc>
          <w:tcPr>
            <w:tcW w:w="1013" w:type="dxa"/>
            <w:vAlign w:val="center"/>
          </w:tcPr>
          <w:p>
            <w:pPr>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满分</w:t>
            </w:r>
          </w:p>
          <w:p>
            <w:pPr>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4" w:type="dxa"/>
            <w:vAlign w:val="center"/>
          </w:tcPr>
          <w:p>
            <w:pPr>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w:t>
            </w:r>
          </w:p>
        </w:tc>
        <w:tc>
          <w:tcPr>
            <w:tcW w:w="7266" w:type="dxa"/>
            <w:vAlign w:val="center"/>
          </w:tcPr>
          <w:p>
            <w:pPr>
              <w:snapToGrid w:val="0"/>
              <w:spacing w:line="360" w:lineRule="auto"/>
              <w:ind w:right="31" w:rightChars="15"/>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根据投标人拟投入的设备进行评价，所有岗位配备反恐防暴、处突防卫器具：防爆钢叉、防爆盾牌、强光手电筒、辣椒水、防割手套、伸缩棍（且安保器材等威慑犯罪的器具必须由投标人向公安部门报批，并尽可能多配置一些其它安全防卫器具。）投标人应提供设备清单表，详细列出设备品牌、型号、功能、数量等：设备种类众多、功能齐全、质量有保障的得</w:t>
            </w: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t>分；设备只能基本满足项目需要的得1分；其他不得分。</w:t>
            </w:r>
          </w:p>
        </w:tc>
        <w:tc>
          <w:tcPr>
            <w:tcW w:w="1013" w:type="dxa"/>
            <w:vAlign w:val="center"/>
          </w:tcPr>
          <w:p>
            <w:pPr>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满分</w:t>
            </w:r>
          </w:p>
          <w:p>
            <w:pPr>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4" w:type="dxa"/>
            <w:vAlign w:val="center"/>
          </w:tcPr>
          <w:p>
            <w:pPr>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w:t>
            </w:r>
          </w:p>
        </w:tc>
        <w:tc>
          <w:tcPr>
            <w:tcW w:w="7266" w:type="dxa"/>
            <w:vAlign w:val="center"/>
          </w:tcPr>
          <w:p>
            <w:pPr>
              <w:snapToGrid w:val="0"/>
              <w:spacing w:line="360" w:lineRule="auto"/>
              <w:ind w:right="31" w:rightChars="15"/>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根据投标人提供的“维序部”人员（维序员）配置及日常运作管理方案的完整性、合理性、可行性情况，由评标委员会进行横向评议，优得</w:t>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t>分，良得</w:t>
            </w:r>
            <w:r>
              <w:rPr>
                <w:rFonts w:hint="eastAsia" w:ascii="宋体" w:hAnsi="宋体" w:cs="宋体"/>
                <w:color w:val="auto"/>
                <w:sz w:val="28"/>
                <w:szCs w:val="28"/>
                <w:highlight w:val="none"/>
                <w:lang w:val="en-US" w:eastAsia="zh-CN"/>
              </w:rPr>
              <w:t>0.5</w:t>
            </w:r>
            <w:r>
              <w:rPr>
                <w:rFonts w:hint="eastAsia" w:ascii="宋体" w:hAnsi="宋体" w:eastAsia="宋体" w:cs="宋体"/>
                <w:color w:val="auto"/>
                <w:sz w:val="28"/>
                <w:szCs w:val="28"/>
                <w:highlight w:val="none"/>
              </w:rPr>
              <w:t>分，</w:t>
            </w:r>
            <w:r>
              <w:rPr>
                <w:rFonts w:hint="eastAsia" w:ascii="宋体" w:hAnsi="宋体" w:cs="宋体"/>
                <w:color w:val="auto"/>
                <w:sz w:val="28"/>
                <w:szCs w:val="28"/>
                <w:highlight w:val="none"/>
                <w:lang w:val="en-US" w:eastAsia="zh-CN"/>
              </w:rPr>
              <w:t>一般或</w:t>
            </w:r>
            <w:r>
              <w:rPr>
                <w:rFonts w:hint="eastAsia" w:ascii="宋体" w:hAnsi="宋体" w:eastAsia="宋体" w:cs="宋体"/>
                <w:color w:val="auto"/>
                <w:sz w:val="28"/>
                <w:szCs w:val="28"/>
                <w:highlight w:val="none"/>
              </w:rPr>
              <w:t>未提供的不得分。（优：“维序部”人员（维序员）配置及日常运作管理方案完整且合理可行的；良：“维序部”人员（维序员）配置及日常运作管理方案较完整且较合理可行的；一般：“维序部”人员（维序员）配置及日常运作管理方案有偏差、可行性较一般的）</w:t>
            </w:r>
            <w:r>
              <w:rPr>
                <w:rFonts w:hint="eastAsia" w:ascii="宋体" w:hAnsi="宋体" w:eastAsia="宋体" w:cs="宋体"/>
                <w:color w:val="auto"/>
                <w:kern w:val="0"/>
                <w:sz w:val="28"/>
                <w:szCs w:val="28"/>
                <w:highlight w:val="none"/>
              </w:rPr>
              <w:t>。</w:t>
            </w:r>
          </w:p>
        </w:tc>
        <w:tc>
          <w:tcPr>
            <w:tcW w:w="1013" w:type="dxa"/>
            <w:vAlign w:val="center"/>
          </w:tcPr>
          <w:p>
            <w:pPr>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满分</w:t>
            </w:r>
          </w:p>
          <w:p>
            <w:pPr>
              <w:snapToGrid w:val="0"/>
              <w:spacing w:line="360" w:lineRule="auto"/>
              <w:jc w:val="center"/>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4" w:type="dxa"/>
            <w:vAlign w:val="center"/>
          </w:tcPr>
          <w:p>
            <w:pPr>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w:t>
            </w:r>
          </w:p>
        </w:tc>
        <w:tc>
          <w:tcPr>
            <w:tcW w:w="7266" w:type="dxa"/>
            <w:vAlign w:val="center"/>
          </w:tcPr>
          <w:p>
            <w:pPr>
              <w:snapToGrid w:val="0"/>
              <w:spacing w:line="360" w:lineRule="auto"/>
              <w:ind w:right="31" w:rightChars="15"/>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根据投标人针对本项目编制的管理组织架构、管理职责、日常运行管理制度及监督机制、信息反馈渠道及处理机制情况，由评标委员会进行横向评议，优得</w:t>
            </w: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t>分，良得</w:t>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t>分，一般得</w:t>
            </w:r>
            <w:r>
              <w:rPr>
                <w:rFonts w:hint="eastAsia" w:ascii="宋体" w:hAnsi="宋体" w:cs="宋体"/>
                <w:color w:val="auto"/>
                <w:sz w:val="28"/>
                <w:szCs w:val="28"/>
                <w:highlight w:val="none"/>
                <w:lang w:val="en-US" w:eastAsia="zh-CN"/>
              </w:rPr>
              <w:t>0.5</w:t>
            </w:r>
            <w:r>
              <w:rPr>
                <w:rFonts w:hint="eastAsia" w:ascii="宋体" w:hAnsi="宋体" w:eastAsia="宋体" w:cs="宋体"/>
                <w:color w:val="auto"/>
                <w:sz w:val="28"/>
                <w:szCs w:val="28"/>
                <w:highlight w:val="none"/>
              </w:rPr>
              <w:t>分，未提供或偏差较大的不得分。（优：针对本项目编制的管理组织架构、管理职责、日常运行管理制度及监督机制、信息反馈渠道及处理机制完整且配备合理可行的；良：针对本项目编制的管理组织架构、管理职责、日常运行管理制度及监督机制、信息反馈渠道及处理机制较完整、配备较合理可行的；一般：针对本项目编制的管理组织架构、管理职责、日常运行管理制度及监督机制、信息反馈渠道及处理机制虽有偏差、但不影响服务效果，具有一定可行性的）</w:t>
            </w:r>
          </w:p>
        </w:tc>
        <w:tc>
          <w:tcPr>
            <w:tcW w:w="1013" w:type="dxa"/>
            <w:vAlign w:val="center"/>
          </w:tcPr>
          <w:p>
            <w:pPr>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满分</w:t>
            </w:r>
          </w:p>
          <w:p>
            <w:pPr>
              <w:snapToGrid w:val="0"/>
              <w:spacing w:line="360" w:lineRule="auto"/>
              <w:jc w:val="center"/>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4" w:type="dxa"/>
            <w:vAlign w:val="center"/>
          </w:tcPr>
          <w:p>
            <w:pPr>
              <w:adjustRightInd w:val="0"/>
              <w:snapToGrid w:val="0"/>
              <w:spacing w:line="360" w:lineRule="auto"/>
              <w:jc w:val="center"/>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9</w:t>
            </w:r>
          </w:p>
        </w:tc>
        <w:tc>
          <w:tcPr>
            <w:tcW w:w="7266" w:type="dxa"/>
            <w:vAlign w:val="center"/>
          </w:tcPr>
          <w:p>
            <w:pPr>
              <w:adjustRightInd w:val="0"/>
              <w:snapToGrid w:val="0"/>
              <w:spacing w:line="360" w:lineRule="auto"/>
              <w:jc w:val="left"/>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根据投标人针对本项目编制制定的岗位设置、各岗位人数、人员年龄情况进行评议，维序人员年龄不得超过40周岁，其中35周岁以下所占比例不低于55%。优得</w:t>
            </w:r>
            <w:r>
              <w:rPr>
                <w:rFonts w:hint="eastAsia" w:ascii="宋体" w:hAnsi="宋体" w:cs="宋体"/>
                <w:color w:val="auto"/>
                <w:kern w:val="1"/>
                <w:sz w:val="28"/>
                <w:szCs w:val="28"/>
                <w:highlight w:val="none"/>
                <w:lang w:val="en-US" w:eastAsia="zh-CN"/>
              </w:rPr>
              <w:t>2</w:t>
            </w:r>
            <w:r>
              <w:rPr>
                <w:rFonts w:hint="eastAsia" w:ascii="宋体" w:hAnsi="宋体" w:eastAsia="宋体" w:cs="宋体"/>
                <w:color w:val="auto"/>
                <w:kern w:val="1"/>
                <w:sz w:val="28"/>
                <w:szCs w:val="28"/>
                <w:highlight w:val="none"/>
              </w:rPr>
              <w:t>分，良得</w:t>
            </w:r>
            <w:r>
              <w:rPr>
                <w:rFonts w:hint="eastAsia" w:ascii="宋体" w:hAnsi="宋体" w:cs="宋体"/>
                <w:color w:val="auto"/>
                <w:kern w:val="1"/>
                <w:sz w:val="28"/>
                <w:szCs w:val="28"/>
                <w:highlight w:val="none"/>
                <w:lang w:val="en-US" w:eastAsia="zh-CN"/>
              </w:rPr>
              <w:t>1</w:t>
            </w:r>
            <w:r>
              <w:rPr>
                <w:rFonts w:hint="eastAsia" w:ascii="宋体" w:hAnsi="宋体" w:eastAsia="宋体" w:cs="宋体"/>
                <w:color w:val="auto"/>
                <w:kern w:val="1"/>
                <w:sz w:val="28"/>
                <w:szCs w:val="28"/>
                <w:highlight w:val="none"/>
              </w:rPr>
              <w:t>分，一般得</w:t>
            </w:r>
            <w:r>
              <w:rPr>
                <w:rFonts w:hint="eastAsia" w:ascii="宋体" w:hAnsi="宋体" w:cs="宋体"/>
                <w:color w:val="auto"/>
                <w:kern w:val="1"/>
                <w:sz w:val="28"/>
                <w:szCs w:val="28"/>
                <w:highlight w:val="none"/>
                <w:lang w:val="en-US" w:eastAsia="zh-CN"/>
              </w:rPr>
              <w:t>0.5</w:t>
            </w:r>
            <w:r>
              <w:rPr>
                <w:rFonts w:hint="eastAsia" w:ascii="宋体" w:hAnsi="宋体" w:eastAsia="宋体" w:cs="宋体"/>
                <w:color w:val="auto"/>
                <w:kern w:val="1"/>
                <w:sz w:val="28"/>
                <w:szCs w:val="28"/>
                <w:highlight w:val="none"/>
              </w:rPr>
              <w:t>分</w:t>
            </w:r>
            <w:r>
              <w:rPr>
                <w:rFonts w:hint="eastAsia" w:ascii="宋体" w:hAnsi="宋体" w:cs="宋体"/>
                <w:color w:val="auto"/>
                <w:kern w:val="1"/>
                <w:sz w:val="28"/>
                <w:szCs w:val="28"/>
                <w:highlight w:val="none"/>
                <w:lang w:eastAsia="zh-CN"/>
              </w:rPr>
              <w:t>，</w:t>
            </w:r>
            <w:r>
              <w:rPr>
                <w:rFonts w:hint="eastAsia" w:ascii="宋体" w:hAnsi="宋体" w:eastAsia="宋体" w:cs="宋体"/>
                <w:color w:val="auto"/>
                <w:sz w:val="28"/>
                <w:szCs w:val="28"/>
                <w:highlight w:val="none"/>
              </w:rPr>
              <w:t>未提供的不得分</w:t>
            </w:r>
            <w:r>
              <w:rPr>
                <w:rFonts w:hint="eastAsia" w:ascii="宋体" w:hAnsi="宋体" w:eastAsia="宋体" w:cs="宋体"/>
                <w:color w:val="auto"/>
                <w:kern w:val="1"/>
                <w:sz w:val="28"/>
                <w:szCs w:val="28"/>
                <w:highlight w:val="none"/>
              </w:rPr>
              <w:t>。（优：岗位设置、各岗位人数能优于的最低需求、人员年龄结构搭配合理；良：岗位设置、各岗位人数能满足或优于的最低需求、人员年龄结构搭配较合理；一般：岗位设置、各岗位人数能低于的最低需求或人员年龄结构搭配不合理）</w:t>
            </w:r>
          </w:p>
        </w:tc>
        <w:tc>
          <w:tcPr>
            <w:tcW w:w="1013" w:type="dxa"/>
            <w:vAlign w:val="center"/>
          </w:tcPr>
          <w:p>
            <w:pPr>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满分</w:t>
            </w:r>
          </w:p>
          <w:p>
            <w:pPr>
              <w:adjustRightInd w:val="0"/>
              <w:snapToGrid w:val="0"/>
              <w:spacing w:line="360" w:lineRule="auto"/>
              <w:jc w:val="center"/>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4" w:type="dxa"/>
            <w:vAlign w:val="center"/>
          </w:tcPr>
          <w:p>
            <w:pPr>
              <w:adjustRightInd w:val="0"/>
              <w:snapToGrid w:val="0"/>
              <w:spacing w:line="360" w:lineRule="auto"/>
              <w:jc w:val="center"/>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10</w:t>
            </w:r>
          </w:p>
        </w:tc>
        <w:tc>
          <w:tcPr>
            <w:tcW w:w="7266" w:type="dxa"/>
            <w:vAlign w:val="center"/>
          </w:tcPr>
          <w:p>
            <w:pPr>
              <w:adjustRightInd w:val="0"/>
              <w:snapToGrid w:val="0"/>
              <w:spacing w:line="360" w:lineRule="auto"/>
              <w:jc w:val="left"/>
              <w:rPr>
                <w:rFonts w:hint="eastAsia" w:ascii="宋体" w:hAnsi="宋体" w:eastAsia="宋体" w:cs="宋体"/>
                <w:color w:val="auto"/>
                <w:kern w:val="1"/>
                <w:sz w:val="28"/>
                <w:szCs w:val="28"/>
                <w:highlight w:val="none"/>
                <w:lang w:val="en-US" w:eastAsia="zh-CN"/>
              </w:rPr>
            </w:pPr>
            <w:r>
              <w:rPr>
                <w:rFonts w:hint="eastAsia" w:ascii="宋体" w:hAnsi="宋体" w:eastAsia="宋体" w:cs="宋体"/>
                <w:color w:val="auto"/>
                <w:kern w:val="1"/>
                <w:sz w:val="28"/>
                <w:szCs w:val="28"/>
                <w:highlight w:val="none"/>
              </w:rPr>
              <w:t>根据</w:t>
            </w:r>
            <w:r>
              <w:rPr>
                <w:rFonts w:hint="eastAsia" w:ascii="宋体" w:hAnsi="宋体" w:cs="宋体"/>
                <w:color w:val="auto"/>
                <w:kern w:val="1"/>
                <w:sz w:val="28"/>
                <w:szCs w:val="28"/>
                <w:highlight w:val="none"/>
                <w:lang w:val="en-US" w:eastAsia="zh-CN"/>
              </w:rPr>
              <w:t>派遣本</w:t>
            </w:r>
            <w:r>
              <w:rPr>
                <w:rFonts w:hint="eastAsia" w:ascii="宋体" w:hAnsi="宋体" w:eastAsia="宋体" w:cs="宋体"/>
                <w:color w:val="auto"/>
                <w:kern w:val="1"/>
                <w:sz w:val="28"/>
                <w:szCs w:val="28"/>
                <w:highlight w:val="none"/>
              </w:rPr>
              <w:t>项目维序</w:t>
            </w:r>
            <w:r>
              <w:rPr>
                <w:rFonts w:hint="eastAsia" w:ascii="宋体" w:hAnsi="宋体" w:cs="宋体"/>
                <w:color w:val="auto"/>
                <w:kern w:val="1"/>
                <w:sz w:val="28"/>
                <w:szCs w:val="28"/>
                <w:highlight w:val="none"/>
                <w:lang w:val="en-US" w:eastAsia="zh-CN"/>
              </w:rPr>
              <w:t>员</w:t>
            </w:r>
            <w:r>
              <w:rPr>
                <w:rFonts w:hint="eastAsia" w:ascii="宋体" w:hAnsi="宋体" w:eastAsia="宋体" w:cs="宋体"/>
                <w:color w:val="auto"/>
                <w:kern w:val="1"/>
                <w:sz w:val="28"/>
                <w:szCs w:val="28"/>
                <w:highlight w:val="none"/>
              </w:rPr>
              <w:t>的履历情况进行评价（承诺人员须与派遣人员一致）：①具有大专以上（含大专）学历达到30%，同时退役军人员需达到60%，派遣的员工需100%持有保安证，且男性年龄不超过40周岁，需提供本人的身份证及学历、职业证书有效复印件并加盖投标人公章；退伍军人需提供退伍证复印件并加盖投标人公章；②具备3年</w:t>
            </w:r>
            <w:r>
              <w:rPr>
                <w:rFonts w:hint="eastAsia" w:ascii="宋体" w:hAnsi="宋体" w:cs="宋体"/>
                <w:color w:val="auto"/>
                <w:kern w:val="1"/>
                <w:sz w:val="28"/>
                <w:szCs w:val="28"/>
                <w:highlight w:val="none"/>
                <w:lang w:eastAsia="zh-CN"/>
              </w:rPr>
              <w:t>（</w:t>
            </w:r>
            <w:r>
              <w:rPr>
                <w:rFonts w:hint="eastAsia" w:ascii="宋体" w:hAnsi="宋体" w:cs="宋体"/>
                <w:color w:val="auto"/>
                <w:kern w:val="1"/>
                <w:sz w:val="28"/>
                <w:szCs w:val="28"/>
                <w:highlight w:val="none"/>
                <w:lang w:val="en-US" w:eastAsia="zh-CN"/>
              </w:rPr>
              <w:t>含）</w:t>
            </w:r>
            <w:r>
              <w:rPr>
                <w:rFonts w:hint="eastAsia" w:ascii="宋体" w:hAnsi="宋体" w:eastAsia="宋体" w:cs="宋体"/>
                <w:color w:val="auto"/>
                <w:kern w:val="1"/>
                <w:sz w:val="28"/>
                <w:szCs w:val="28"/>
                <w:highlight w:val="none"/>
              </w:rPr>
              <w:t>以上住宅项目、写字楼、高校、政府机关、企事业单位物业安防管理从业经验，身体健康、无犯罪记录；③本企业人员，需提供近半年连续三个月的社保缴交证明。以上条件均符合的得2分；如符合条件①得1分，</w:t>
            </w:r>
            <w:r>
              <w:rPr>
                <w:rFonts w:hint="eastAsia" w:ascii="宋体" w:hAnsi="宋体" w:cs="宋体"/>
                <w:color w:val="auto"/>
                <w:kern w:val="1"/>
                <w:sz w:val="28"/>
                <w:szCs w:val="28"/>
                <w:highlight w:val="none"/>
                <w:lang w:val="en-US" w:eastAsia="zh-CN"/>
              </w:rPr>
              <w:t>符合</w:t>
            </w:r>
            <w:r>
              <w:rPr>
                <w:rFonts w:hint="eastAsia" w:ascii="宋体" w:hAnsi="宋体" w:eastAsia="宋体" w:cs="宋体"/>
                <w:color w:val="auto"/>
                <w:kern w:val="1"/>
                <w:sz w:val="28"/>
                <w:szCs w:val="28"/>
                <w:highlight w:val="none"/>
              </w:rPr>
              <w:t>条件②、③</w:t>
            </w:r>
            <w:r>
              <w:rPr>
                <w:rFonts w:hint="eastAsia" w:ascii="宋体" w:hAnsi="宋体" w:cs="宋体"/>
                <w:color w:val="auto"/>
                <w:kern w:val="1"/>
                <w:sz w:val="28"/>
                <w:szCs w:val="28"/>
                <w:highlight w:val="none"/>
                <w:lang w:val="en-US" w:eastAsia="zh-CN"/>
              </w:rPr>
              <w:t>各得0.5</w:t>
            </w:r>
            <w:r>
              <w:rPr>
                <w:rFonts w:hint="eastAsia" w:ascii="宋体" w:hAnsi="宋体" w:eastAsia="宋体" w:cs="宋体"/>
                <w:color w:val="auto"/>
                <w:kern w:val="1"/>
                <w:sz w:val="28"/>
                <w:szCs w:val="28"/>
                <w:highlight w:val="none"/>
              </w:rPr>
              <w:t>分。三个条件都不符合则不得分。</w:t>
            </w:r>
          </w:p>
        </w:tc>
        <w:tc>
          <w:tcPr>
            <w:tcW w:w="1013" w:type="dxa"/>
            <w:vAlign w:val="center"/>
          </w:tcPr>
          <w:p>
            <w:pPr>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满分</w:t>
            </w:r>
          </w:p>
          <w:p>
            <w:pPr>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4" w:type="dxa"/>
            <w:vAlign w:val="center"/>
          </w:tcPr>
          <w:p>
            <w:pPr>
              <w:adjustRightInd w:val="0"/>
              <w:snapToGrid w:val="0"/>
              <w:spacing w:line="360" w:lineRule="auto"/>
              <w:jc w:val="center"/>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11</w:t>
            </w:r>
          </w:p>
        </w:tc>
        <w:tc>
          <w:tcPr>
            <w:tcW w:w="7266" w:type="dxa"/>
            <w:shd w:val="clear" w:color="auto" w:fill="auto"/>
            <w:vAlign w:val="center"/>
          </w:tcPr>
          <w:p>
            <w:pPr>
              <w:adjustRightInd w:val="0"/>
              <w:snapToGrid w:val="0"/>
              <w:spacing w:line="360" w:lineRule="auto"/>
              <w:jc w:val="left"/>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根据投标人对拟投入的服务人员提供的岗前人员培训计划及不定时培训计划方案进行评审，方案合理可行，有利于工作开展的得</w:t>
            </w:r>
            <w:r>
              <w:rPr>
                <w:rFonts w:hint="eastAsia" w:ascii="宋体" w:hAnsi="宋体" w:cs="宋体"/>
                <w:color w:val="auto"/>
                <w:kern w:val="1"/>
                <w:sz w:val="28"/>
                <w:szCs w:val="28"/>
                <w:highlight w:val="none"/>
                <w:lang w:val="en-US" w:eastAsia="zh-CN"/>
              </w:rPr>
              <w:t>1</w:t>
            </w:r>
            <w:r>
              <w:rPr>
                <w:rFonts w:hint="eastAsia" w:ascii="宋体" w:hAnsi="宋体" w:eastAsia="宋体" w:cs="宋体"/>
                <w:color w:val="auto"/>
                <w:kern w:val="1"/>
                <w:sz w:val="28"/>
                <w:szCs w:val="28"/>
                <w:highlight w:val="none"/>
              </w:rPr>
              <w:t>分</w:t>
            </w:r>
            <w:r>
              <w:rPr>
                <w:rFonts w:hint="eastAsia" w:ascii="宋体" w:hAnsi="宋体" w:cs="宋体"/>
                <w:color w:val="auto"/>
                <w:kern w:val="1"/>
                <w:sz w:val="28"/>
                <w:szCs w:val="28"/>
                <w:highlight w:val="none"/>
                <w:lang w:eastAsia="zh-CN"/>
              </w:rPr>
              <w:t>；</w:t>
            </w:r>
            <w:r>
              <w:rPr>
                <w:rFonts w:hint="eastAsia" w:ascii="宋体" w:hAnsi="宋体" w:eastAsia="宋体" w:cs="宋体"/>
                <w:color w:val="auto"/>
                <w:kern w:val="1"/>
                <w:sz w:val="28"/>
                <w:szCs w:val="28"/>
                <w:highlight w:val="none"/>
              </w:rPr>
              <w:t>方案较一般，可能影响工作进展的得0.5分</w:t>
            </w:r>
            <w:r>
              <w:rPr>
                <w:rFonts w:hint="eastAsia" w:ascii="宋体" w:hAnsi="宋体" w:cs="宋体"/>
                <w:color w:val="auto"/>
                <w:kern w:val="1"/>
                <w:sz w:val="28"/>
                <w:szCs w:val="28"/>
                <w:highlight w:val="none"/>
                <w:lang w:eastAsia="zh-CN"/>
              </w:rPr>
              <w:t>；</w:t>
            </w:r>
            <w:r>
              <w:rPr>
                <w:rFonts w:hint="eastAsia" w:ascii="宋体" w:hAnsi="宋体" w:eastAsia="宋体" w:cs="宋体"/>
                <w:color w:val="auto"/>
                <w:kern w:val="1"/>
                <w:sz w:val="28"/>
                <w:szCs w:val="28"/>
                <w:highlight w:val="none"/>
              </w:rPr>
              <w:t>未提供培训计划方案的不得分。</w:t>
            </w:r>
          </w:p>
        </w:tc>
        <w:tc>
          <w:tcPr>
            <w:tcW w:w="1013" w:type="dxa"/>
            <w:shd w:val="clear" w:color="auto" w:fill="auto"/>
            <w:vAlign w:val="center"/>
          </w:tcPr>
          <w:p>
            <w:pPr>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满分</w:t>
            </w:r>
          </w:p>
          <w:p>
            <w:pPr>
              <w:snapToGrid w:val="0"/>
              <w:spacing w:line="360" w:lineRule="auto"/>
              <w:jc w:val="center"/>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4" w:type="dxa"/>
            <w:vAlign w:val="center"/>
          </w:tcPr>
          <w:p>
            <w:pPr>
              <w:adjustRightInd w:val="0"/>
              <w:snapToGrid w:val="0"/>
              <w:spacing w:line="360" w:lineRule="auto"/>
              <w:jc w:val="center"/>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12</w:t>
            </w:r>
          </w:p>
        </w:tc>
        <w:tc>
          <w:tcPr>
            <w:tcW w:w="7266" w:type="dxa"/>
            <w:vAlign w:val="center"/>
          </w:tcPr>
          <w:p>
            <w:pPr>
              <w:adjustRightInd w:val="0"/>
              <w:snapToGrid w:val="0"/>
              <w:spacing w:line="360" w:lineRule="auto"/>
              <w:jc w:val="left"/>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根据投标人承诺的：拟派的所有维序人员均符合中华人民共和国国务院令第564号《保安服务管理条例》的所有规定，若获得中标资格所有人员均需通过审核同意后方可派驻上岗。显眼岗位（如大门执勤岗和巡逻岗人员）人员，对所派遣人员包括但不限于学历、政治面貌、外形条件等有特殊要求的，中标人应无条件配合要求。完全满足得</w:t>
            </w:r>
            <w:r>
              <w:rPr>
                <w:rFonts w:hint="eastAsia" w:ascii="宋体" w:hAnsi="宋体" w:cs="宋体"/>
                <w:color w:val="auto"/>
                <w:kern w:val="1"/>
                <w:sz w:val="28"/>
                <w:szCs w:val="28"/>
                <w:highlight w:val="none"/>
                <w:lang w:val="en-US" w:eastAsia="zh-CN"/>
              </w:rPr>
              <w:t>1</w:t>
            </w:r>
            <w:r>
              <w:rPr>
                <w:rFonts w:hint="eastAsia" w:ascii="宋体" w:hAnsi="宋体" w:eastAsia="宋体" w:cs="宋体"/>
                <w:color w:val="auto"/>
                <w:kern w:val="1"/>
                <w:sz w:val="28"/>
                <w:szCs w:val="28"/>
                <w:highlight w:val="none"/>
              </w:rPr>
              <w:t>分，否则不得分。</w:t>
            </w:r>
          </w:p>
        </w:tc>
        <w:tc>
          <w:tcPr>
            <w:tcW w:w="1013" w:type="dxa"/>
            <w:vAlign w:val="center"/>
          </w:tcPr>
          <w:p>
            <w:pPr>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满分</w:t>
            </w:r>
          </w:p>
          <w:p>
            <w:pPr>
              <w:snapToGrid w:val="0"/>
              <w:spacing w:line="360" w:lineRule="auto"/>
              <w:jc w:val="center"/>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4" w:type="dxa"/>
            <w:vAlign w:val="center"/>
          </w:tcPr>
          <w:p>
            <w:pPr>
              <w:adjustRightInd w:val="0"/>
              <w:snapToGrid w:val="0"/>
              <w:spacing w:line="360" w:lineRule="auto"/>
              <w:jc w:val="center"/>
              <w:rPr>
                <w:rFonts w:hint="eastAsia" w:ascii="宋体" w:hAnsi="宋体" w:eastAsia="宋体" w:cs="宋体"/>
                <w:color w:val="auto"/>
                <w:kern w:val="1"/>
                <w:sz w:val="28"/>
                <w:szCs w:val="28"/>
                <w:highlight w:val="none"/>
                <w:lang w:eastAsia="zh-CN"/>
              </w:rPr>
            </w:pPr>
            <w:r>
              <w:rPr>
                <w:rFonts w:hint="eastAsia" w:ascii="宋体" w:hAnsi="宋体" w:eastAsia="宋体" w:cs="宋体"/>
                <w:color w:val="auto"/>
                <w:kern w:val="1"/>
                <w:sz w:val="28"/>
                <w:szCs w:val="28"/>
                <w:highlight w:val="none"/>
              </w:rPr>
              <w:t>1</w:t>
            </w:r>
            <w:r>
              <w:rPr>
                <w:rFonts w:hint="eastAsia" w:ascii="宋体" w:hAnsi="宋体" w:cs="宋体"/>
                <w:color w:val="auto"/>
                <w:kern w:val="1"/>
                <w:sz w:val="28"/>
                <w:szCs w:val="28"/>
                <w:highlight w:val="none"/>
                <w:lang w:val="en-US" w:eastAsia="zh-CN"/>
              </w:rPr>
              <w:t>3</w:t>
            </w:r>
          </w:p>
        </w:tc>
        <w:tc>
          <w:tcPr>
            <w:tcW w:w="7266" w:type="dxa"/>
            <w:vAlign w:val="center"/>
          </w:tcPr>
          <w:p>
            <w:pPr>
              <w:numPr>
                <w:ilvl w:val="0"/>
                <w:numId w:val="2"/>
              </w:numPr>
              <w:adjustRightInd w:val="0"/>
              <w:snapToGrid w:val="0"/>
              <w:spacing w:line="360" w:lineRule="auto"/>
              <w:jc w:val="left"/>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根据投标人提供的消（监）控管理方案需包含管理规定及操作流程等，并方便查阅情况进行评价，消（监）控管理方案包含的内容齐全、方案详细、具体重点突出、可操作性强的得</w:t>
            </w:r>
            <w:r>
              <w:rPr>
                <w:rFonts w:hint="eastAsia" w:ascii="宋体" w:hAnsi="宋体" w:cs="宋体"/>
                <w:color w:val="auto"/>
                <w:kern w:val="1"/>
                <w:sz w:val="28"/>
                <w:szCs w:val="28"/>
                <w:highlight w:val="none"/>
                <w:lang w:val="en-US" w:eastAsia="zh-CN"/>
              </w:rPr>
              <w:t>1</w:t>
            </w:r>
            <w:r>
              <w:rPr>
                <w:rFonts w:hint="eastAsia" w:ascii="宋体" w:hAnsi="宋体" w:eastAsia="宋体" w:cs="宋体"/>
                <w:color w:val="auto"/>
                <w:kern w:val="1"/>
                <w:sz w:val="28"/>
                <w:szCs w:val="28"/>
                <w:highlight w:val="none"/>
              </w:rPr>
              <w:t>分；方案存在缺漏，不够详细</w:t>
            </w:r>
            <w:r>
              <w:rPr>
                <w:rFonts w:hint="eastAsia" w:ascii="宋体" w:hAnsi="宋体" w:cs="宋体"/>
                <w:color w:val="auto"/>
                <w:kern w:val="1"/>
                <w:sz w:val="28"/>
                <w:szCs w:val="28"/>
                <w:highlight w:val="none"/>
                <w:lang w:val="en-US" w:eastAsia="zh-CN"/>
              </w:rPr>
              <w:t>得0.5分；</w:t>
            </w:r>
          </w:p>
          <w:p>
            <w:pPr>
              <w:numPr>
                <w:ilvl w:val="-1"/>
                <w:numId w:val="0"/>
              </w:numPr>
              <w:adjustRightInd w:val="0"/>
              <w:snapToGrid w:val="0"/>
              <w:spacing w:line="360" w:lineRule="auto"/>
              <w:jc w:val="left"/>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对项目实施影响较大或者未提供方案的不得分。</w:t>
            </w:r>
          </w:p>
        </w:tc>
        <w:tc>
          <w:tcPr>
            <w:tcW w:w="1013" w:type="dxa"/>
            <w:vAlign w:val="center"/>
          </w:tcPr>
          <w:p>
            <w:pPr>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满分</w:t>
            </w:r>
          </w:p>
          <w:p>
            <w:pPr>
              <w:snapToGrid w:val="0"/>
              <w:spacing w:line="360" w:lineRule="auto"/>
              <w:jc w:val="center"/>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4" w:type="dxa"/>
            <w:vAlign w:val="center"/>
          </w:tcPr>
          <w:p>
            <w:pPr>
              <w:adjustRightInd w:val="0"/>
              <w:snapToGrid w:val="0"/>
              <w:spacing w:line="360" w:lineRule="auto"/>
              <w:jc w:val="center"/>
              <w:rPr>
                <w:rFonts w:hint="eastAsia" w:ascii="宋体" w:hAnsi="宋体" w:eastAsia="宋体" w:cs="宋体"/>
                <w:color w:val="auto"/>
                <w:kern w:val="1"/>
                <w:sz w:val="28"/>
                <w:szCs w:val="28"/>
                <w:highlight w:val="none"/>
                <w:lang w:val="en-US" w:eastAsia="zh-CN"/>
              </w:rPr>
            </w:pPr>
            <w:r>
              <w:rPr>
                <w:rFonts w:hint="eastAsia" w:ascii="宋体" w:hAnsi="宋体" w:eastAsia="宋体" w:cs="宋体"/>
                <w:color w:val="auto"/>
                <w:kern w:val="1"/>
                <w:sz w:val="28"/>
                <w:szCs w:val="28"/>
                <w:highlight w:val="none"/>
              </w:rPr>
              <w:t>1</w:t>
            </w:r>
            <w:r>
              <w:rPr>
                <w:rFonts w:hint="eastAsia" w:ascii="宋体" w:hAnsi="宋体" w:cs="宋体"/>
                <w:color w:val="auto"/>
                <w:kern w:val="1"/>
                <w:sz w:val="28"/>
                <w:szCs w:val="28"/>
                <w:highlight w:val="none"/>
                <w:lang w:val="en-US" w:eastAsia="zh-CN"/>
              </w:rPr>
              <w:t>4</w:t>
            </w:r>
          </w:p>
        </w:tc>
        <w:tc>
          <w:tcPr>
            <w:tcW w:w="7266" w:type="dxa"/>
            <w:vAlign w:val="center"/>
          </w:tcPr>
          <w:p>
            <w:pPr>
              <w:adjustRightInd w:val="0"/>
              <w:snapToGrid w:val="0"/>
              <w:spacing w:line="360" w:lineRule="auto"/>
              <w:jc w:val="left"/>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2）根据投标人提供的监控管理方案中可查阅监控视频的速度进行评价：监控调阅方案可行，且调阅速度（接口头通知起5分钟以内（不含））能够满足快速查阅监控视频的得1分；方案存在瑕疵或者调阅监控时间长的（接口头通知起超过</w:t>
            </w:r>
            <w:r>
              <w:rPr>
                <w:rFonts w:hint="eastAsia" w:ascii="宋体" w:hAnsi="宋体" w:cs="宋体"/>
                <w:color w:val="auto"/>
                <w:kern w:val="1"/>
                <w:sz w:val="28"/>
                <w:szCs w:val="28"/>
                <w:highlight w:val="none"/>
                <w:lang w:val="en-US" w:eastAsia="zh-CN"/>
              </w:rPr>
              <w:t>5</w:t>
            </w:r>
            <w:r>
              <w:rPr>
                <w:rFonts w:hint="eastAsia" w:ascii="宋体" w:hAnsi="宋体" w:eastAsia="宋体" w:cs="宋体"/>
                <w:color w:val="auto"/>
                <w:kern w:val="1"/>
                <w:sz w:val="28"/>
                <w:szCs w:val="28"/>
                <w:highlight w:val="none"/>
              </w:rPr>
              <w:t>分钟）的均不得分。</w:t>
            </w:r>
          </w:p>
        </w:tc>
        <w:tc>
          <w:tcPr>
            <w:tcW w:w="1013" w:type="dxa"/>
            <w:vAlign w:val="center"/>
          </w:tcPr>
          <w:p>
            <w:pPr>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满分</w:t>
            </w:r>
          </w:p>
          <w:p>
            <w:pPr>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50" w:hRule="atLeast"/>
          <w:jc w:val="center"/>
        </w:trPr>
        <w:tc>
          <w:tcPr>
            <w:tcW w:w="804" w:type="dxa"/>
            <w:vAlign w:val="center"/>
          </w:tcPr>
          <w:p>
            <w:pPr>
              <w:adjustRightInd w:val="0"/>
              <w:snapToGrid w:val="0"/>
              <w:spacing w:line="360" w:lineRule="auto"/>
              <w:jc w:val="center"/>
              <w:rPr>
                <w:rFonts w:hint="eastAsia" w:ascii="宋体" w:hAnsi="宋体" w:eastAsia="宋体" w:cs="宋体"/>
                <w:color w:val="auto"/>
                <w:kern w:val="1"/>
                <w:sz w:val="28"/>
                <w:szCs w:val="28"/>
                <w:highlight w:val="none"/>
                <w:lang w:val="en-US" w:eastAsia="zh-CN"/>
              </w:rPr>
            </w:pPr>
            <w:r>
              <w:rPr>
                <w:rFonts w:hint="eastAsia" w:ascii="宋体" w:hAnsi="宋体" w:eastAsia="宋体" w:cs="宋体"/>
                <w:color w:val="auto"/>
                <w:kern w:val="1"/>
                <w:sz w:val="28"/>
                <w:szCs w:val="28"/>
                <w:highlight w:val="none"/>
              </w:rPr>
              <w:t>1</w:t>
            </w:r>
            <w:r>
              <w:rPr>
                <w:rFonts w:hint="eastAsia" w:ascii="宋体" w:hAnsi="宋体" w:cs="宋体"/>
                <w:color w:val="auto"/>
                <w:kern w:val="1"/>
                <w:sz w:val="28"/>
                <w:szCs w:val="28"/>
                <w:highlight w:val="none"/>
                <w:lang w:val="en-US" w:eastAsia="zh-CN"/>
              </w:rPr>
              <w:t>5</w:t>
            </w:r>
          </w:p>
        </w:tc>
        <w:tc>
          <w:tcPr>
            <w:tcW w:w="7266" w:type="dxa"/>
            <w:vAlign w:val="center"/>
          </w:tcPr>
          <w:p>
            <w:pPr>
              <w:adjustRightInd w:val="0"/>
              <w:snapToGrid w:val="0"/>
              <w:spacing w:line="360" w:lineRule="auto"/>
              <w:jc w:val="left"/>
              <w:rPr>
                <w:rFonts w:hint="default" w:ascii="宋体" w:hAnsi="宋体" w:eastAsia="宋体" w:cs="宋体"/>
                <w:color w:val="auto"/>
                <w:kern w:val="1"/>
                <w:sz w:val="28"/>
                <w:szCs w:val="28"/>
                <w:highlight w:val="none"/>
                <w:lang w:val="en-US" w:eastAsia="zh-CN"/>
              </w:rPr>
            </w:pPr>
            <w:r>
              <w:rPr>
                <w:rFonts w:hint="eastAsia" w:ascii="宋体" w:hAnsi="宋体" w:eastAsia="宋体" w:cs="宋体"/>
                <w:color w:val="auto"/>
                <w:kern w:val="1"/>
                <w:sz w:val="28"/>
                <w:szCs w:val="28"/>
                <w:highlight w:val="none"/>
              </w:rPr>
              <w:t>（3）根据项目消（监）控值班员情况进行评价（承诺人员须与派遣人员一致）：监控岗位</w:t>
            </w:r>
            <w:r>
              <w:rPr>
                <w:rFonts w:hint="eastAsia" w:ascii="宋体" w:hAnsi="宋体" w:eastAsia="宋体" w:cs="宋体"/>
                <w:b/>
                <w:bCs/>
                <w:color w:val="auto"/>
                <w:kern w:val="1"/>
                <w:sz w:val="28"/>
                <w:szCs w:val="28"/>
                <w:highlight w:val="none"/>
              </w:rPr>
              <w:t>2名员工</w:t>
            </w:r>
            <w:r>
              <w:rPr>
                <w:rFonts w:hint="eastAsia" w:ascii="宋体" w:hAnsi="宋体" w:cs="宋体"/>
                <w:b/>
                <w:bCs/>
                <w:color w:val="auto"/>
                <w:kern w:val="1"/>
                <w:sz w:val="28"/>
                <w:szCs w:val="28"/>
                <w:highlight w:val="none"/>
                <w:lang w:val="en-US" w:eastAsia="zh-CN"/>
              </w:rPr>
              <w:t>以及2名维序班长</w:t>
            </w:r>
            <w:r>
              <w:rPr>
                <w:rFonts w:hint="eastAsia" w:ascii="宋体" w:hAnsi="宋体" w:eastAsia="宋体" w:cs="宋体"/>
                <w:color w:val="auto"/>
                <w:kern w:val="1"/>
                <w:sz w:val="28"/>
                <w:szCs w:val="28"/>
                <w:highlight w:val="none"/>
              </w:rPr>
              <w:t>必须持有四级消防设施操作员证书</w:t>
            </w:r>
            <w:r>
              <w:rPr>
                <w:rFonts w:hint="eastAsia" w:ascii="宋体" w:hAnsi="宋体" w:cs="宋体"/>
                <w:color w:val="auto"/>
                <w:kern w:val="1"/>
                <w:sz w:val="28"/>
                <w:szCs w:val="28"/>
                <w:highlight w:val="none"/>
                <w:lang w:val="en-US" w:eastAsia="zh-CN"/>
              </w:rPr>
              <w:t>或四级建（构）筑物消防员证</w:t>
            </w:r>
            <w:r>
              <w:rPr>
                <w:rFonts w:hint="eastAsia" w:ascii="宋体" w:hAnsi="宋体" w:eastAsia="宋体" w:cs="宋体"/>
                <w:color w:val="auto"/>
                <w:kern w:val="1"/>
                <w:sz w:val="28"/>
                <w:szCs w:val="28"/>
                <w:highlight w:val="none"/>
              </w:rPr>
              <w:t>共计</w:t>
            </w:r>
            <w:r>
              <w:rPr>
                <w:rFonts w:hint="eastAsia" w:ascii="宋体" w:hAnsi="宋体" w:cs="宋体"/>
                <w:b/>
                <w:bCs/>
                <w:color w:val="auto"/>
                <w:kern w:val="1"/>
                <w:sz w:val="28"/>
                <w:szCs w:val="28"/>
                <w:highlight w:val="none"/>
                <w:lang w:val="en-US" w:eastAsia="zh-CN"/>
              </w:rPr>
              <w:t>四</w:t>
            </w:r>
            <w:r>
              <w:rPr>
                <w:rFonts w:hint="eastAsia" w:ascii="宋体" w:hAnsi="宋体" w:eastAsia="宋体" w:cs="宋体"/>
                <w:b/>
                <w:bCs/>
                <w:color w:val="auto"/>
                <w:kern w:val="1"/>
                <w:sz w:val="28"/>
                <w:szCs w:val="28"/>
                <w:highlight w:val="none"/>
              </w:rPr>
              <w:t>本</w:t>
            </w:r>
            <w:r>
              <w:rPr>
                <w:rFonts w:hint="eastAsia" w:ascii="宋体" w:hAnsi="宋体" w:eastAsia="宋体" w:cs="宋体"/>
                <w:color w:val="auto"/>
                <w:kern w:val="1"/>
                <w:sz w:val="28"/>
                <w:szCs w:val="28"/>
                <w:highlight w:val="none"/>
              </w:rPr>
              <w:t>、职业证书有效复印件并加盖投标人公章；满足得1分，否则不得分。</w:t>
            </w:r>
          </w:p>
        </w:tc>
        <w:tc>
          <w:tcPr>
            <w:tcW w:w="1013" w:type="dxa"/>
            <w:vAlign w:val="center"/>
          </w:tcPr>
          <w:p>
            <w:pPr>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满分</w:t>
            </w:r>
          </w:p>
          <w:p>
            <w:pPr>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4" w:type="dxa"/>
            <w:vAlign w:val="center"/>
          </w:tcPr>
          <w:p>
            <w:pPr>
              <w:adjustRightInd w:val="0"/>
              <w:snapToGrid w:val="0"/>
              <w:spacing w:line="360" w:lineRule="auto"/>
              <w:jc w:val="center"/>
              <w:rPr>
                <w:rFonts w:hint="eastAsia" w:ascii="宋体" w:hAnsi="宋体" w:eastAsia="宋体" w:cs="宋体"/>
                <w:color w:val="auto"/>
                <w:kern w:val="1"/>
                <w:sz w:val="28"/>
                <w:szCs w:val="28"/>
                <w:highlight w:val="none"/>
                <w:lang w:val="en-US" w:eastAsia="zh-CN"/>
              </w:rPr>
            </w:pPr>
            <w:r>
              <w:rPr>
                <w:rFonts w:hint="eastAsia" w:ascii="宋体" w:hAnsi="宋体" w:eastAsia="宋体" w:cs="宋体"/>
                <w:color w:val="auto"/>
                <w:kern w:val="1"/>
                <w:sz w:val="28"/>
                <w:szCs w:val="28"/>
                <w:highlight w:val="none"/>
              </w:rPr>
              <w:t>1</w:t>
            </w:r>
            <w:r>
              <w:rPr>
                <w:rFonts w:hint="eastAsia" w:ascii="宋体" w:hAnsi="宋体" w:cs="宋体"/>
                <w:color w:val="auto"/>
                <w:kern w:val="1"/>
                <w:sz w:val="28"/>
                <w:szCs w:val="28"/>
                <w:highlight w:val="none"/>
                <w:lang w:val="en-US" w:eastAsia="zh-CN"/>
              </w:rPr>
              <w:t>6</w:t>
            </w:r>
          </w:p>
        </w:tc>
        <w:tc>
          <w:tcPr>
            <w:tcW w:w="7266" w:type="dxa"/>
            <w:vAlign w:val="center"/>
          </w:tcPr>
          <w:p>
            <w:pPr>
              <w:adjustRightInd w:val="0"/>
              <w:snapToGrid w:val="0"/>
              <w:spacing w:line="360" w:lineRule="auto"/>
              <w:jc w:val="left"/>
              <w:rPr>
                <w:rFonts w:hint="eastAsia" w:ascii="宋体" w:hAnsi="宋体" w:eastAsia="宋体" w:cs="宋体"/>
                <w:color w:val="auto"/>
                <w:kern w:val="1"/>
                <w:sz w:val="28"/>
                <w:szCs w:val="28"/>
                <w:highlight w:val="none"/>
                <w:lang w:eastAsia="zh-CN"/>
              </w:rPr>
            </w:pPr>
            <w:r>
              <w:rPr>
                <w:rFonts w:hint="eastAsia" w:ascii="宋体" w:hAnsi="宋体" w:eastAsia="宋体" w:cs="宋体"/>
                <w:color w:val="auto"/>
                <w:kern w:val="1"/>
                <w:sz w:val="28"/>
                <w:szCs w:val="28"/>
                <w:highlight w:val="none"/>
              </w:rPr>
              <w:t>根据投标人提供的进场计划安排与组织实施的情况进行评价，方案详细、具体、完整、合理可行，可操作性强的得</w:t>
            </w:r>
            <w:r>
              <w:rPr>
                <w:rFonts w:hint="eastAsia" w:ascii="宋体" w:hAnsi="宋体" w:cs="宋体"/>
                <w:color w:val="auto"/>
                <w:kern w:val="1"/>
                <w:sz w:val="28"/>
                <w:szCs w:val="28"/>
                <w:highlight w:val="none"/>
                <w:lang w:val="en-US" w:eastAsia="zh-CN"/>
              </w:rPr>
              <w:t>1</w:t>
            </w:r>
            <w:r>
              <w:rPr>
                <w:rFonts w:hint="eastAsia" w:ascii="宋体" w:hAnsi="宋体" w:eastAsia="宋体" w:cs="宋体"/>
                <w:color w:val="auto"/>
                <w:kern w:val="1"/>
                <w:sz w:val="28"/>
                <w:szCs w:val="28"/>
                <w:highlight w:val="none"/>
              </w:rPr>
              <w:t>分</w:t>
            </w:r>
            <w:r>
              <w:rPr>
                <w:rFonts w:hint="eastAsia" w:ascii="宋体" w:hAnsi="宋体" w:cs="宋体"/>
                <w:color w:val="auto"/>
                <w:kern w:val="1"/>
                <w:sz w:val="28"/>
                <w:szCs w:val="28"/>
                <w:highlight w:val="none"/>
                <w:lang w:eastAsia="zh-CN"/>
              </w:rPr>
              <w:t>；</w:t>
            </w:r>
            <w:r>
              <w:rPr>
                <w:rFonts w:hint="eastAsia" w:ascii="宋体" w:hAnsi="宋体" w:eastAsia="宋体" w:cs="宋体"/>
                <w:color w:val="auto"/>
                <w:kern w:val="1"/>
                <w:sz w:val="28"/>
                <w:szCs w:val="28"/>
                <w:highlight w:val="none"/>
              </w:rPr>
              <w:t>方案存在缺漏，但基本满足项目实施需要的得0.5分</w:t>
            </w:r>
            <w:r>
              <w:rPr>
                <w:rFonts w:hint="eastAsia" w:ascii="宋体" w:hAnsi="宋体" w:cs="宋体"/>
                <w:color w:val="auto"/>
                <w:kern w:val="1"/>
                <w:sz w:val="28"/>
                <w:szCs w:val="28"/>
                <w:highlight w:val="none"/>
                <w:lang w:eastAsia="zh-CN"/>
              </w:rPr>
              <w:t>；</w:t>
            </w:r>
            <w:r>
              <w:rPr>
                <w:rFonts w:hint="eastAsia" w:ascii="宋体" w:hAnsi="宋体" w:eastAsia="宋体" w:cs="宋体"/>
                <w:color w:val="auto"/>
                <w:kern w:val="1"/>
                <w:sz w:val="28"/>
                <w:szCs w:val="28"/>
                <w:highlight w:val="none"/>
              </w:rPr>
              <w:t>方案存在缺漏，对项目实施影响较大的不得分</w:t>
            </w:r>
            <w:r>
              <w:rPr>
                <w:rFonts w:hint="eastAsia" w:ascii="宋体" w:hAnsi="宋体" w:cs="宋体"/>
                <w:color w:val="auto"/>
                <w:kern w:val="1"/>
                <w:sz w:val="28"/>
                <w:szCs w:val="28"/>
                <w:highlight w:val="none"/>
                <w:lang w:eastAsia="zh-CN"/>
              </w:rPr>
              <w:t>。</w:t>
            </w:r>
          </w:p>
        </w:tc>
        <w:tc>
          <w:tcPr>
            <w:tcW w:w="1013" w:type="dxa"/>
            <w:vAlign w:val="center"/>
          </w:tcPr>
          <w:p>
            <w:pPr>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满分</w:t>
            </w:r>
          </w:p>
          <w:p>
            <w:pPr>
              <w:snapToGrid w:val="0"/>
              <w:spacing w:line="360" w:lineRule="auto"/>
              <w:jc w:val="center"/>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t>分</w:t>
            </w:r>
          </w:p>
        </w:tc>
      </w:tr>
    </w:tbl>
    <w:p>
      <w:pPr>
        <w:snapToGrid w:val="0"/>
        <w:spacing w:line="360" w:lineRule="auto"/>
        <w:ind w:firstLine="413" w:firstLineChars="147"/>
        <w:rPr>
          <w:rStyle w:val="22"/>
          <w:rFonts w:hint="eastAsia" w:ascii="宋体" w:hAnsi="宋体" w:eastAsia="宋体" w:cs="宋体"/>
          <w:color w:val="auto"/>
          <w:sz w:val="28"/>
          <w:szCs w:val="28"/>
          <w:highlight w:val="none"/>
        </w:rPr>
      </w:pPr>
    </w:p>
    <w:p>
      <w:pPr>
        <w:snapToGrid w:val="0"/>
        <w:spacing w:before="120" w:beforeLines="50" w:after="120" w:afterLines="50" w:line="360" w:lineRule="auto"/>
        <w:ind w:left="-99" w:leftChars="-47" w:right="-78" w:firstLine="275" w:firstLineChars="98"/>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（2）商务分F2（满分</w:t>
      </w:r>
      <w:r>
        <w:rPr>
          <w:rFonts w:hint="eastAsia" w:ascii="宋体" w:hAnsi="宋体" w:cs="宋体"/>
          <w:b/>
          <w:color w:val="auto"/>
          <w:sz w:val="28"/>
          <w:szCs w:val="28"/>
          <w:highlight w:val="none"/>
          <w:lang w:val="en-US" w:eastAsia="zh-CN"/>
        </w:rPr>
        <w:t>15</w:t>
      </w:r>
      <w:r>
        <w:rPr>
          <w:rFonts w:hint="eastAsia" w:ascii="宋体" w:hAnsi="宋体" w:eastAsia="宋体" w:cs="宋体"/>
          <w:b/>
          <w:color w:val="auto"/>
          <w:sz w:val="28"/>
          <w:szCs w:val="28"/>
          <w:highlight w:val="none"/>
        </w:rPr>
        <w:t>分）</w:t>
      </w:r>
    </w:p>
    <w:tbl>
      <w:tblPr>
        <w:tblStyle w:val="19"/>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7356"/>
        <w:gridCol w:w="99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06" w:type="dxa"/>
            <w:vAlign w:val="center"/>
          </w:tcPr>
          <w:p>
            <w:pPr>
              <w:snapToGrid w:val="0"/>
              <w:spacing w:line="360" w:lineRule="auto"/>
              <w:jc w:val="center"/>
              <w:rPr>
                <w:rFonts w:hint="eastAsia" w:ascii="宋体" w:hAnsi="宋体" w:eastAsia="宋体" w:cs="宋体"/>
                <w:b/>
                <w:bCs w:val="0"/>
                <w:color w:val="auto"/>
                <w:kern w:val="10"/>
                <w:sz w:val="28"/>
                <w:szCs w:val="28"/>
                <w:highlight w:val="none"/>
              </w:rPr>
            </w:pPr>
            <w:r>
              <w:rPr>
                <w:rFonts w:hint="eastAsia" w:ascii="宋体" w:hAnsi="宋体" w:eastAsia="宋体" w:cs="宋体"/>
                <w:b/>
                <w:bCs w:val="0"/>
                <w:color w:val="auto"/>
                <w:kern w:val="10"/>
                <w:sz w:val="28"/>
                <w:szCs w:val="28"/>
                <w:highlight w:val="none"/>
              </w:rPr>
              <w:t>序号</w:t>
            </w:r>
          </w:p>
        </w:tc>
        <w:tc>
          <w:tcPr>
            <w:tcW w:w="7356" w:type="dxa"/>
            <w:vAlign w:val="center"/>
          </w:tcPr>
          <w:p>
            <w:pPr>
              <w:snapToGrid w:val="0"/>
              <w:spacing w:line="360" w:lineRule="auto"/>
              <w:jc w:val="center"/>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评分界定</w:t>
            </w:r>
          </w:p>
        </w:tc>
        <w:tc>
          <w:tcPr>
            <w:tcW w:w="993" w:type="dxa"/>
            <w:vAlign w:val="center"/>
          </w:tcPr>
          <w:p>
            <w:pPr>
              <w:snapToGrid w:val="0"/>
              <w:spacing w:line="360" w:lineRule="auto"/>
              <w:jc w:val="center"/>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vAlign w:val="center"/>
          </w:tcPr>
          <w:p>
            <w:pPr>
              <w:snapToGrid w:val="0"/>
              <w:spacing w:line="360" w:lineRule="auto"/>
              <w:ind w:left="-85"/>
              <w:jc w:val="center"/>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1</w:t>
            </w:r>
          </w:p>
        </w:tc>
        <w:tc>
          <w:tcPr>
            <w:tcW w:w="7356" w:type="dxa"/>
            <w:vAlign w:val="center"/>
          </w:tcPr>
          <w:p>
            <w:pPr>
              <w:snapToGrid w:val="0"/>
              <w:spacing w:line="360" w:lineRule="auto"/>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投标人具备有效的安保服务企业①ISO9001质量管理体系认证证书；②OHSAS18001或ISO45001职业健康安全管理体系认证证书；③ISO14001环境管理体系认证证书。三项同时满足者得</w:t>
            </w:r>
            <w:r>
              <w:rPr>
                <w:rFonts w:hint="eastAsia" w:ascii="宋体" w:hAnsi="宋体" w:cs="宋体"/>
                <w:color w:val="auto"/>
                <w:kern w:val="1"/>
                <w:sz w:val="28"/>
                <w:szCs w:val="28"/>
                <w:highlight w:val="none"/>
                <w:lang w:val="en-US" w:eastAsia="zh-CN"/>
              </w:rPr>
              <w:t>2</w:t>
            </w:r>
            <w:r>
              <w:rPr>
                <w:rFonts w:hint="eastAsia" w:ascii="宋体" w:hAnsi="宋体" w:eastAsia="宋体" w:cs="宋体"/>
                <w:color w:val="auto"/>
                <w:kern w:val="1"/>
                <w:sz w:val="28"/>
                <w:szCs w:val="28"/>
                <w:highlight w:val="none"/>
              </w:rPr>
              <w:t>分；满足任意两项者得</w:t>
            </w:r>
            <w:r>
              <w:rPr>
                <w:rFonts w:hint="eastAsia" w:ascii="宋体" w:hAnsi="宋体" w:cs="宋体"/>
                <w:color w:val="auto"/>
                <w:kern w:val="1"/>
                <w:sz w:val="28"/>
                <w:szCs w:val="28"/>
                <w:highlight w:val="none"/>
                <w:lang w:val="en-US" w:eastAsia="zh-CN"/>
              </w:rPr>
              <w:t>1</w:t>
            </w:r>
            <w:r>
              <w:rPr>
                <w:rFonts w:hint="eastAsia" w:ascii="宋体" w:hAnsi="宋体" w:eastAsia="宋体" w:cs="宋体"/>
                <w:color w:val="auto"/>
                <w:kern w:val="1"/>
                <w:sz w:val="28"/>
                <w:szCs w:val="28"/>
                <w:highlight w:val="none"/>
              </w:rPr>
              <w:t>分；其他情况不得分。提供相关证书复印件，原件备查。</w:t>
            </w:r>
          </w:p>
        </w:tc>
        <w:tc>
          <w:tcPr>
            <w:tcW w:w="993" w:type="dxa"/>
            <w:vAlign w:val="center"/>
          </w:tcPr>
          <w:p>
            <w:pPr>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满分</w:t>
            </w:r>
          </w:p>
          <w:p>
            <w:pPr>
              <w:snapToGrid w:val="0"/>
              <w:spacing w:line="360" w:lineRule="auto"/>
              <w:jc w:val="center"/>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vAlign w:val="center"/>
          </w:tcPr>
          <w:p>
            <w:pPr>
              <w:snapToGrid w:val="0"/>
              <w:spacing w:line="360" w:lineRule="auto"/>
              <w:ind w:left="-85"/>
              <w:jc w:val="center"/>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2</w:t>
            </w:r>
          </w:p>
        </w:tc>
        <w:tc>
          <w:tcPr>
            <w:tcW w:w="7356" w:type="dxa"/>
            <w:vAlign w:val="center"/>
          </w:tcPr>
          <w:p>
            <w:pPr>
              <w:snapToGrid w:val="0"/>
              <w:spacing w:line="360" w:lineRule="auto"/>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投标人提供第三方机构评定的资信等级评定为AAA级的得1分，其他情况不得分。提供相关证书复印件，原件备查。</w:t>
            </w:r>
          </w:p>
        </w:tc>
        <w:tc>
          <w:tcPr>
            <w:tcW w:w="993" w:type="dxa"/>
            <w:vAlign w:val="center"/>
          </w:tcPr>
          <w:p>
            <w:pPr>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满分</w:t>
            </w:r>
          </w:p>
          <w:p>
            <w:pPr>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vAlign w:val="center"/>
          </w:tcPr>
          <w:p>
            <w:pPr>
              <w:snapToGrid w:val="0"/>
              <w:spacing w:line="360" w:lineRule="auto"/>
              <w:ind w:left="-85"/>
              <w:jc w:val="center"/>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3</w:t>
            </w:r>
          </w:p>
        </w:tc>
        <w:tc>
          <w:tcPr>
            <w:tcW w:w="7356" w:type="dxa"/>
            <w:vAlign w:val="center"/>
          </w:tcPr>
          <w:p>
            <w:pPr>
              <w:snapToGrid w:val="0"/>
              <w:spacing w:line="360" w:lineRule="auto"/>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投标人负责维序队伍培训的教练，形式不仅限于内训以及外部聘请相符资质机构，需要的培训师资资格：①大专及以上学历或持有国家认证的高级保安师证书；②警校或武术学校毕业；③部队退役人员</w:t>
            </w:r>
            <w:r>
              <w:rPr>
                <w:rFonts w:hint="eastAsia" w:ascii="宋体" w:hAnsi="宋体" w:cs="宋体"/>
                <w:color w:val="auto"/>
                <w:kern w:val="1"/>
                <w:sz w:val="28"/>
                <w:szCs w:val="28"/>
                <w:highlight w:val="none"/>
                <w:lang w:eastAsia="zh-CN"/>
              </w:rPr>
              <w:t>。</w:t>
            </w:r>
            <w:r>
              <w:rPr>
                <w:rFonts w:hint="eastAsia" w:ascii="宋体" w:hAnsi="宋体" w:eastAsia="宋体" w:cs="宋体"/>
                <w:color w:val="auto"/>
                <w:kern w:val="1"/>
                <w:sz w:val="28"/>
                <w:szCs w:val="28"/>
                <w:highlight w:val="none"/>
              </w:rPr>
              <w:t>满足</w:t>
            </w:r>
            <w:r>
              <w:rPr>
                <w:rFonts w:hint="eastAsia" w:ascii="宋体" w:hAnsi="宋体" w:cs="宋体"/>
                <w:color w:val="auto"/>
                <w:kern w:val="1"/>
                <w:sz w:val="28"/>
                <w:szCs w:val="28"/>
                <w:highlight w:val="none"/>
                <w:lang w:val="en-US" w:eastAsia="zh-CN"/>
              </w:rPr>
              <w:t>三项</w:t>
            </w:r>
            <w:r>
              <w:rPr>
                <w:rFonts w:hint="eastAsia" w:ascii="宋体" w:hAnsi="宋体" w:eastAsia="宋体" w:cs="宋体"/>
                <w:color w:val="auto"/>
                <w:kern w:val="1"/>
                <w:sz w:val="28"/>
                <w:szCs w:val="28"/>
                <w:highlight w:val="none"/>
              </w:rPr>
              <w:t>者得</w:t>
            </w:r>
            <w:r>
              <w:rPr>
                <w:rFonts w:hint="eastAsia" w:ascii="宋体" w:hAnsi="宋体" w:cs="宋体"/>
                <w:color w:val="auto"/>
                <w:kern w:val="1"/>
                <w:sz w:val="28"/>
                <w:szCs w:val="28"/>
                <w:highlight w:val="none"/>
                <w:lang w:val="en-US" w:eastAsia="zh-CN"/>
              </w:rPr>
              <w:t>2</w:t>
            </w:r>
            <w:r>
              <w:rPr>
                <w:rFonts w:hint="eastAsia" w:ascii="宋体" w:hAnsi="宋体" w:eastAsia="宋体" w:cs="宋体"/>
                <w:color w:val="auto"/>
                <w:kern w:val="1"/>
                <w:sz w:val="28"/>
                <w:szCs w:val="28"/>
                <w:highlight w:val="none"/>
              </w:rPr>
              <w:t>分；满足任意</w:t>
            </w:r>
            <w:r>
              <w:rPr>
                <w:rFonts w:hint="eastAsia" w:ascii="宋体" w:hAnsi="宋体" w:cs="宋体"/>
                <w:color w:val="auto"/>
                <w:kern w:val="1"/>
                <w:sz w:val="28"/>
                <w:szCs w:val="28"/>
                <w:highlight w:val="none"/>
                <w:lang w:val="en-US" w:eastAsia="zh-CN"/>
              </w:rPr>
              <w:t>两</w:t>
            </w:r>
            <w:r>
              <w:rPr>
                <w:rFonts w:hint="eastAsia" w:ascii="宋体" w:hAnsi="宋体" w:eastAsia="宋体" w:cs="宋体"/>
                <w:color w:val="auto"/>
                <w:kern w:val="1"/>
                <w:sz w:val="28"/>
                <w:szCs w:val="28"/>
                <w:highlight w:val="none"/>
              </w:rPr>
              <w:t>项者得1分</w:t>
            </w:r>
            <w:r>
              <w:rPr>
                <w:rFonts w:hint="eastAsia" w:ascii="宋体" w:hAnsi="宋体" w:cs="宋体"/>
                <w:color w:val="auto"/>
                <w:kern w:val="1"/>
                <w:sz w:val="28"/>
                <w:szCs w:val="28"/>
                <w:highlight w:val="none"/>
                <w:lang w:eastAsia="zh-CN"/>
              </w:rPr>
              <w:t>；</w:t>
            </w:r>
            <w:r>
              <w:rPr>
                <w:rFonts w:hint="eastAsia" w:ascii="宋体" w:hAnsi="宋体" w:eastAsia="宋体" w:cs="宋体"/>
                <w:color w:val="auto"/>
                <w:kern w:val="1"/>
                <w:sz w:val="28"/>
                <w:szCs w:val="28"/>
                <w:highlight w:val="none"/>
              </w:rPr>
              <w:t>其他情况不得分。提供相关培训的证明文书复印件，原件备查。</w:t>
            </w:r>
          </w:p>
        </w:tc>
        <w:tc>
          <w:tcPr>
            <w:tcW w:w="993" w:type="dxa"/>
            <w:vAlign w:val="center"/>
          </w:tcPr>
          <w:p>
            <w:pPr>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满分</w:t>
            </w:r>
          </w:p>
          <w:p>
            <w:pPr>
              <w:snapToGrid w:val="0"/>
              <w:spacing w:line="360" w:lineRule="auto"/>
              <w:jc w:val="center"/>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vAlign w:val="center"/>
          </w:tcPr>
          <w:p>
            <w:pPr>
              <w:snapToGrid w:val="0"/>
              <w:spacing w:line="360" w:lineRule="auto"/>
              <w:ind w:left="-85"/>
              <w:jc w:val="center"/>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4</w:t>
            </w:r>
          </w:p>
        </w:tc>
        <w:tc>
          <w:tcPr>
            <w:tcW w:w="7356" w:type="dxa"/>
            <w:vAlign w:val="center"/>
          </w:tcPr>
          <w:p>
            <w:pPr>
              <w:snapToGrid w:val="0"/>
              <w:spacing w:line="360" w:lineRule="auto"/>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投标人有加入上海市内市级保安协会会员和曾获得政府机关单位颁发的奖状，任意一项者得1分。提供有效证明资料，原件备查。</w:t>
            </w:r>
          </w:p>
        </w:tc>
        <w:tc>
          <w:tcPr>
            <w:tcW w:w="993" w:type="dxa"/>
            <w:vAlign w:val="center"/>
          </w:tcPr>
          <w:p>
            <w:pPr>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满分</w:t>
            </w:r>
          </w:p>
          <w:p>
            <w:pPr>
              <w:snapToGrid w:val="0"/>
              <w:spacing w:line="360" w:lineRule="auto"/>
              <w:jc w:val="center"/>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vAlign w:val="center"/>
          </w:tcPr>
          <w:p>
            <w:pPr>
              <w:snapToGrid w:val="0"/>
              <w:spacing w:line="360" w:lineRule="auto"/>
              <w:ind w:left="-85"/>
              <w:jc w:val="center"/>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5</w:t>
            </w:r>
          </w:p>
        </w:tc>
        <w:tc>
          <w:tcPr>
            <w:tcW w:w="7356" w:type="dxa"/>
            <w:vAlign w:val="center"/>
          </w:tcPr>
          <w:p>
            <w:pPr>
              <w:autoSpaceDE w:val="0"/>
              <w:autoSpaceDN w:val="0"/>
              <w:snapToGrid w:val="0"/>
              <w:spacing w:line="360" w:lineRule="auto"/>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根据投标人所提供2020年1月以来（以合同签订时间为准）承接管理物业费单价为4元</w:t>
            </w:r>
            <w:r>
              <w:rPr>
                <w:rFonts w:hint="eastAsia" w:ascii="宋体" w:hAnsi="宋体" w:cs="宋体"/>
                <w:color w:val="auto"/>
                <w:kern w:val="1"/>
                <w:sz w:val="28"/>
                <w:szCs w:val="28"/>
                <w:highlight w:val="none"/>
                <w:lang w:val="en-US" w:eastAsia="zh-CN"/>
              </w:rPr>
              <w:t>及以上</w:t>
            </w:r>
            <w:r>
              <w:rPr>
                <w:rFonts w:hint="eastAsia" w:ascii="宋体" w:hAnsi="宋体" w:eastAsia="宋体" w:cs="宋体"/>
                <w:color w:val="auto"/>
                <w:kern w:val="1"/>
                <w:sz w:val="28"/>
                <w:szCs w:val="28"/>
                <w:highlight w:val="none"/>
              </w:rPr>
              <w:t>的高端住宅项目安保服务项目，由评委进行评议并打分，有提供</w:t>
            </w:r>
            <w:r>
              <w:rPr>
                <w:rFonts w:hint="eastAsia" w:ascii="宋体" w:hAnsi="宋体" w:cs="宋体"/>
                <w:color w:val="auto"/>
                <w:kern w:val="1"/>
                <w:sz w:val="28"/>
                <w:szCs w:val="28"/>
                <w:highlight w:val="none"/>
                <w:lang w:val="en-US" w:eastAsia="zh-CN"/>
              </w:rPr>
              <w:t>2</w:t>
            </w:r>
            <w:r>
              <w:rPr>
                <w:rFonts w:hint="eastAsia" w:ascii="宋体" w:hAnsi="宋体" w:eastAsia="宋体" w:cs="宋体"/>
                <w:color w:val="auto"/>
                <w:kern w:val="1"/>
                <w:sz w:val="28"/>
                <w:szCs w:val="28"/>
                <w:highlight w:val="none"/>
              </w:rPr>
              <w:t>份完整资料的得</w:t>
            </w:r>
            <w:r>
              <w:rPr>
                <w:rFonts w:hint="eastAsia" w:ascii="宋体" w:hAnsi="宋体" w:cs="宋体"/>
                <w:color w:val="auto"/>
                <w:kern w:val="1"/>
                <w:sz w:val="28"/>
                <w:szCs w:val="28"/>
                <w:highlight w:val="none"/>
                <w:lang w:val="en-US" w:eastAsia="zh-CN"/>
              </w:rPr>
              <w:t>3</w:t>
            </w:r>
            <w:r>
              <w:rPr>
                <w:rFonts w:hint="eastAsia" w:ascii="宋体" w:hAnsi="宋体" w:eastAsia="宋体" w:cs="宋体"/>
                <w:color w:val="auto"/>
                <w:kern w:val="1"/>
                <w:sz w:val="28"/>
                <w:szCs w:val="28"/>
                <w:highlight w:val="none"/>
              </w:rPr>
              <w:t>分，</w:t>
            </w:r>
            <w:r>
              <w:rPr>
                <w:rFonts w:hint="eastAsia" w:ascii="宋体" w:hAnsi="宋体" w:cs="宋体"/>
                <w:color w:val="auto"/>
                <w:kern w:val="1"/>
                <w:sz w:val="28"/>
                <w:szCs w:val="28"/>
                <w:highlight w:val="none"/>
                <w:lang w:val="en-US" w:eastAsia="zh-CN"/>
              </w:rPr>
              <w:t>每份1.5分，2份</w:t>
            </w:r>
            <w:r>
              <w:rPr>
                <w:rFonts w:hint="eastAsia" w:ascii="宋体" w:hAnsi="宋体" w:eastAsia="宋体" w:cs="宋体"/>
                <w:color w:val="auto"/>
                <w:kern w:val="1"/>
                <w:sz w:val="28"/>
                <w:szCs w:val="28"/>
                <w:highlight w:val="none"/>
              </w:rPr>
              <w:t>最高</w:t>
            </w:r>
            <w:r>
              <w:rPr>
                <w:rFonts w:hint="eastAsia" w:ascii="宋体" w:hAnsi="宋体" w:cs="宋体"/>
                <w:color w:val="auto"/>
                <w:kern w:val="1"/>
                <w:sz w:val="28"/>
                <w:szCs w:val="28"/>
                <w:highlight w:val="none"/>
                <w:lang w:val="en-US" w:eastAsia="zh-CN"/>
              </w:rPr>
              <w:t>3</w:t>
            </w:r>
            <w:r>
              <w:rPr>
                <w:rFonts w:hint="eastAsia" w:ascii="宋体" w:hAnsi="宋体" w:eastAsia="宋体" w:cs="宋体"/>
                <w:color w:val="auto"/>
                <w:kern w:val="1"/>
                <w:sz w:val="28"/>
                <w:szCs w:val="28"/>
                <w:highlight w:val="none"/>
              </w:rPr>
              <w:t>分。注：投标人应如实业绩证明文件，每</w:t>
            </w:r>
            <w:r>
              <w:rPr>
                <w:rFonts w:hint="eastAsia" w:ascii="宋体" w:hAnsi="宋体" w:cs="宋体"/>
                <w:color w:val="auto"/>
                <w:kern w:val="1"/>
                <w:sz w:val="28"/>
                <w:szCs w:val="28"/>
                <w:highlight w:val="none"/>
                <w:lang w:val="en-US" w:eastAsia="zh-CN"/>
              </w:rPr>
              <w:t>份</w:t>
            </w:r>
            <w:r>
              <w:rPr>
                <w:rFonts w:hint="eastAsia" w:ascii="宋体" w:hAnsi="宋体" w:eastAsia="宋体" w:cs="宋体"/>
                <w:color w:val="auto"/>
                <w:kern w:val="1"/>
                <w:sz w:val="28"/>
                <w:szCs w:val="28"/>
                <w:highlight w:val="none"/>
              </w:rPr>
              <w:t>业绩应同时提供①该业绩的中标（成交）公告（提供相关网站中标（成交）公告的下载网页及其网址）；②中标（成交）通知书复印件； ③采购合同文本复印件； ④投标人有获得过业主单位出具的服务评价</w:t>
            </w:r>
            <w:r>
              <w:rPr>
                <w:rFonts w:hint="eastAsia" w:ascii="宋体" w:hAnsi="宋体" w:cs="宋体"/>
                <w:color w:val="auto"/>
                <w:kern w:val="1"/>
                <w:sz w:val="28"/>
                <w:szCs w:val="28"/>
                <w:highlight w:val="none"/>
                <w:lang w:eastAsia="zh-CN"/>
              </w:rPr>
              <w:t>（</w:t>
            </w:r>
            <w:r>
              <w:rPr>
                <w:rFonts w:hint="eastAsia" w:ascii="宋体" w:hAnsi="宋体" w:cs="宋体"/>
                <w:color w:val="auto"/>
                <w:kern w:val="1"/>
                <w:sz w:val="28"/>
                <w:szCs w:val="28"/>
                <w:highlight w:val="none"/>
                <w:lang w:val="en-US" w:eastAsia="zh-CN"/>
              </w:rPr>
              <w:t>满意或优秀</w:t>
            </w:r>
            <w:r>
              <w:rPr>
                <w:rFonts w:hint="eastAsia" w:ascii="宋体" w:hAnsi="宋体" w:cs="宋体"/>
                <w:color w:val="auto"/>
                <w:kern w:val="1"/>
                <w:sz w:val="28"/>
                <w:szCs w:val="28"/>
                <w:highlight w:val="none"/>
                <w:lang w:eastAsia="zh-CN"/>
              </w:rPr>
              <w:t>）</w:t>
            </w:r>
            <w:r>
              <w:rPr>
                <w:rFonts w:hint="eastAsia" w:ascii="宋体" w:hAnsi="宋体" w:eastAsia="宋体" w:cs="宋体"/>
                <w:color w:val="auto"/>
                <w:kern w:val="1"/>
                <w:sz w:val="28"/>
                <w:szCs w:val="28"/>
                <w:highlight w:val="none"/>
              </w:rPr>
              <w:t>复印件；</w:t>
            </w:r>
          </w:p>
          <w:p>
            <w:pPr>
              <w:autoSpaceDE w:val="0"/>
              <w:autoSpaceDN w:val="0"/>
              <w:snapToGrid w:val="0"/>
              <w:spacing w:line="360" w:lineRule="auto"/>
              <w:rPr>
                <w:rFonts w:hint="default" w:ascii="宋体" w:hAnsi="宋体" w:cs="宋体"/>
                <w:color w:val="auto"/>
                <w:kern w:val="1"/>
                <w:sz w:val="28"/>
                <w:szCs w:val="28"/>
                <w:highlight w:val="none"/>
                <w:lang w:val="en-US" w:eastAsia="zh-CN"/>
              </w:rPr>
            </w:pPr>
            <w:r>
              <w:rPr>
                <w:rFonts w:hint="eastAsia" w:ascii="宋体" w:hAnsi="宋体" w:cs="宋体"/>
                <w:color w:val="auto"/>
                <w:kern w:val="1"/>
                <w:sz w:val="28"/>
                <w:szCs w:val="28"/>
                <w:highlight w:val="none"/>
                <w:lang w:val="en-US" w:eastAsia="zh-CN"/>
              </w:rPr>
              <w:t>每份服务项目的以上</w:t>
            </w:r>
            <w:r>
              <w:rPr>
                <w:rFonts w:hint="eastAsia" w:ascii="宋体" w:hAnsi="宋体" w:eastAsia="宋体" w:cs="宋体"/>
                <w:color w:val="auto"/>
                <w:kern w:val="1"/>
                <w:sz w:val="28"/>
                <w:szCs w:val="28"/>
                <w:highlight w:val="none"/>
              </w:rPr>
              <w:t>4项资料</w:t>
            </w:r>
            <w:r>
              <w:rPr>
                <w:rFonts w:hint="eastAsia" w:ascii="宋体" w:hAnsi="宋体" w:cs="宋体"/>
                <w:color w:val="auto"/>
                <w:kern w:val="1"/>
                <w:sz w:val="28"/>
                <w:szCs w:val="28"/>
                <w:highlight w:val="none"/>
                <w:lang w:val="en-US" w:eastAsia="zh-CN"/>
              </w:rPr>
              <w:t>提供①、②、③的，得1分；提供①②③④的，得1.5分；其他提供数量组合不得分；</w:t>
            </w:r>
          </w:p>
          <w:p>
            <w:pPr>
              <w:autoSpaceDE w:val="0"/>
              <w:autoSpaceDN w:val="0"/>
              <w:snapToGrid w:val="0"/>
              <w:spacing w:line="360" w:lineRule="auto"/>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评委会将保留要求投标人提供原件予以核查的权利。评标过程中如发现填报不实，本项不得分。合同履行过程中发现虚假信息，将取消其中标资格，并追究相应法律责任和相应赔偿。</w:t>
            </w:r>
          </w:p>
          <w:p>
            <w:pPr>
              <w:autoSpaceDE w:val="0"/>
              <w:autoSpaceDN w:val="0"/>
              <w:snapToGrid w:val="0"/>
              <w:spacing w:line="360" w:lineRule="auto"/>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注：与满意度证明材料为同一服务项目的不重复得分。</w:t>
            </w:r>
          </w:p>
        </w:tc>
        <w:tc>
          <w:tcPr>
            <w:tcW w:w="993" w:type="dxa"/>
            <w:vAlign w:val="center"/>
          </w:tcPr>
          <w:p>
            <w:pPr>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满分</w:t>
            </w:r>
          </w:p>
          <w:p>
            <w:pPr>
              <w:snapToGrid w:val="0"/>
              <w:spacing w:line="360" w:lineRule="auto"/>
              <w:jc w:val="center"/>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vAlign w:val="center"/>
          </w:tcPr>
          <w:p>
            <w:pPr>
              <w:snapToGrid w:val="0"/>
              <w:spacing w:line="360" w:lineRule="auto"/>
              <w:ind w:left="-85"/>
              <w:jc w:val="center"/>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6</w:t>
            </w:r>
          </w:p>
        </w:tc>
        <w:tc>
          <w:tcPr>
            <w:tcW w:w="7356" w:type="dxa"/>
            <w:vAlign w:val="center"/>
          </w:tcPr>
          <w:p>
            <w:pPr>
              <w:snapToGrid w:val="0"/>
              <w:spacing w:line="360" w:lineRule="auto"/>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根据投标人所提供2020年1月以来由投标人独立承接并已完成或正在履行的保安服务项目获得业主单位满意评价的，每提供一份完整的满意证明材料的得1分，满分2分。注：完整的满意证明材料包括合同文本复印件，以及业主满意度的相关证明文件复印件，所有材料缺一不可且须加盖业主公章，否则不得分。</w:t>
            </w:r>
          </w:p>
        </w:tc>
        <w:tc>
          <w:tcPr>
            <w:tcW w:w="993" w:type="dxa"/>
            <w:vAlign w:val="center"/>
          </w:tcPr>
          <w:p>
            <w:pPr>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满分</w:t>
            </w:r>
          </w:p>
          <w:p>
            <w:pPr>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vAlign w:val="center"/>
          </w:tcPr>
          <w:p>
            <w:pPr>
              <w:snapToGrid w:val="0"/>
              <w:spacing w:line="360" w:lineRule="auto"/>
              <w:ind w:left="-85"/>
              <w:jc w:val="center"/>
              <w:rPr>
                <w:rFonts w:hint="eastAsia" w:ascii="宋体" w:hAnsi="宋体" w:eastAsia="宋体" w:cs="宋体"/>
                <w:color w:val="auto"/>
                <w:kern w:val="1"/>
                <w:sz w:val="28"/>
                <w:szCs w:val="28"/>
                <w:highlight w:val="none"/>
                <w:lang w:eastAsia="zh-CN"/>
              </w:rPr>
            </w:pPr>
            <w:r>
              <w:rPr>
                <w:rFonts w:hint="eastAsia" w:ascii="宋体" w:hAnsi="宋体" w:eastAsia="宋体" w:cs="宋体"/>
                <w:color w:val="auto"/>
                <w:kern w:val="1"/>
                <w:sz w:val="28"/>
                <w:szCs w:val="28"/>
                <w:highlight w:val="none"/>
                <w:lang w:val="en-US" w:eastAsia="zh-CN"/>
              </w:rPr>
              <w:t>7</w:t>
            </w:r>
          </w:p>
        </w:tc>
        <w:tc>
          <w:tcPr>
            <w:tcW w:w="7356" w:type="dxa"/>
            <w:vAlign w:val="center"/>
          </w:tcPr>
          <w:p>
            <w:pPr>
              <w:autoSpaceDE w:val="0"/>
              <w:autoSpaceDN w:val="0"/>
              <w:snapToGrid w:val="0"/>
              <w:spacing w:line="360" w:lineRule="auto"/>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根据投标人承诺的为本项目所有保安员投保意外伤害保险进行评价：保意外伤害保险金额≥80万元，得2分；80万元＞保意外伤害保险金额≥50万元，得1分，其它不得分，需提供承诺函并加盖投标人公章，否则不得分。</w:t>
            </w:r>
          </w:p>
        </w:tc>
        <w:tc>
          <w:tcPr>
            <w:tcW w:w="993" w:type="dxa"/>
            <w:vAlign w:val="center"/>
          </w:tcPr>
          <w:p>
            <w:pPr>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满分</w:t>
            </w:r>
          </w:p>
          <w:p>
            <w:pPr>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vAlign w:val="center"/>
          </w:tcPr>
          <w:p>
            <w:pPr>
              <w:snapToGrid w:val="0"/>
              <w:spacing w:line="360" w:lineRule="auto"/>
              <w:ind w:left="-85"/>
              <w:jc w:val="center"/>
              <w:rPr>
                <w:rFonts w:hint="default" w:ascii="宋体" w:hAnsi="宋体" w:eastAsia="宋体" w:cs="宋体"/>
                <w:color w:val="auto"/>
                <w:kern w:val="1"/>
                <w:sz w:val="28"/>
                <w:szCs w:val="28"/>
                <w:highlight w:val="none"/>
                <w:lang w:val="en-US" w:eastAsia="zh-CN"/>
              </w:rPr>
            </w:pPr>
            <w:r>
              <w:rPr>
                <w:rFonts w:hint="eastAsia" w:ascii="宋体" w:hAnsi="宋体" w:cs="宋体"/>
                <w:color w:val="auto"/>
                <w:kern w:val="1"/>
                <w:sz w:val="28"/>
                <w:szCs w:val="28"/>
                <w:highlight w:val="none"/>
                <w:lang w:val="en-US" w:eastAsia="zh-CN"/>
              </w:rPr>
              <w:t>8</w:t>
            </w:r>
          </w:p>
        </w:tc>
        <w:tc>
          <w:tcPr>
            <w:tcW w:w="7356" w:type="dxa"/>
            <w:vAlign w:val="center"/>
          </w:tcPr>
          <w:p>
            <w:pPr>
              <w:autoSpaceDE w:val="0"/>
              <w:autoSpaceDN w:val="0"/>
              <w:snapToGrid w:val="0"/>
              <w:spacing w:line="360" w:lineRule="auto"/>
              <w:rPr>
                <w:rFonts w:hint="default" w:ascii="宋体" w:hAnsi="宋体" w:eastAsia="宋体" w:cs="宋体"/>
                <w:color w:val="auto"/>
                <w:kern w:val="1"/>
                <w:sz w:val="28"/>
                <w:szCs w:val="28"/>
                <w:highlight w:val="none"/>
                <w:lang w:val="en-US" w:eastAsia="zh-CN"/>
              </w:rPr>
            </w:pPr>
            <w:r>
              <w:rPr>
                <w:rFonts w:hint="eastAsia" w:ascii="宋体" w:hAnsi="宋体" w:cs="宋体"/>
                <w:color w:val="auto"/>
                <w:sz w:val="28"/>
                <w:szCs w:val="28"/>
                <w:highlight w:val="none"/>
                <w:lang w:val="en-US" w:eastAsia="zh-CN"/>
              </w:rPr>
              <w:t>根据</w:t>
            </w:r>
            <w:r>
              <w:rPr>
                <w:rFonts w:hint="eastAsia" w:ascii="宋体" w:hAnsi="宋体" w:eastAsia="宋体" w:cs="宋体"/>
                <w:color w:val="auto"/>
                <w:sz w:val="28"/>
                <w:szCs w:val="28"/>
                <w:highlight w:val="none"/>
              </w:rPr>
              <w:t>投标人投入使用安保相关管理信息系统的</w:t>
            </w:r>
            <w:r>
              <w:rPr>
                <w:rFonts w:hint="eastAsia" w:ascii="宋体" w:hAnsi="宋体" w:cs="宋体"/>
                <w:color w:val="auto"/>
                <w:sz w:val="28"/>
                <w:szCs w:val="28"/>
                <w:highlight w:val="none"/>
                <w:lang w:val="en-US" w:eastAsia="zh-CN"/>
              </w:rPr>
              <w:t>情况进行评价：</w:t>
            </w:r>
            <w:r>
              <w:rPr>
                <w:rFonts w:hint="eastAsia" w:ascii="宋体" w:hAnsi="宋体" w:eastAsia="宋体" w:cs="宋体"/>
                <w:color w:val="auto"/>
                <w:sz w:val="28"/>
                <w:szCs w:val="28"/>
                <w:highlight w:val="none"/>
              </w:rPr>
              <w:t>提供</w:t>
            </w:r>
            <w:r>
              <w:rPr>
                <w:rFonts w:hint="eastAsia" w:ascii="宋体" w:hAnsi="宋体" w:cs="宋体"/>
                <w:color w:val="auto"/>
                <w:sz w:val="28"/>
                <w:szCs w:val="28"/>
                <w:highlight w:val="none"/>
                <w:lang w:val="en-US" w:eastAsia="zh-CN"/>
              </w:rPr>
              <w:t>投入</w:t>
            </w:r>
            <w:r>
              <w:rPr>
                <w:rFonts w:hint="eastAsia" w:ascii="宋体" w:hAnsi="宋体" w:eastAsia="宋体" w:cs="宋体"/>
                <w:color w:val="auto"/>
                <w:sz w:val="28"/>
                <w:szCs w:val="28"/>
                <w:highlight w:val="none"/>
              </w:rPr>
              <w:t>系统软件著作权登记证书复印件</w:t>
            </w:r>
            <w:r>
              <w:rPr>
                <w:rFonts w:hint="eastAsia" w:ascii="宋体" w:hAnsi="宋体" w:cs="宋体"/>
                <w:color w:val="auto"/>
                <w:sz w:val="28"/>
                <w:szCs w:val="28"/>
                <w:highlight w:val="none"/>
                <w:lang w:val="en-US" w:eastAsia="zh-CN"/>
              </w:rPr>
              <w:t>的得1分，</w:t>
            </w:r>
            <w:r>
              <w:rPr>
                <w:rFonts w:hint="eastAsia" w:ascii="宋体" w:hAnsi="宋体" w:eastAsia="宋体" w:cs="宋体"/>
                <w:color w:val="auto"/>
                <w:kern w:val="1"/>
                <w:sz w:val="28"/>
                <w:szCs w:val="28"/>
                <w:highlight w:val="none"/>
              </w:rPr>
              <w:t>否则不得分。</w:t>
            </w:r>
          </w:p>
        </w:tc>
        <w:tc>
          <w:tcPr>
            <w:tcW w:w="993" w:type="dxa"/>
            <w:vAlign w:val="center"/>
          </w:tcPr>
          <w:p>
            <w:pPr>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满分</w:t>
            </w:r>
          </w:p>
          <w:p>
            <w:pPr>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6" w:type="dxa"/>
            <w:vAlign w:val="center"/>
          </w:tcPr>
          <w:p>
            <w:pPr>
              <w:snapToGrid w:val="0"/>
              <w:spacing w:line="360" w:lineRule="auto"/>
              <w:ind w:left="-85"/>
              <w:jc w:val="center"/>
              <w:rPr>
                <w:rFonts w:hint="default" w:ascii="宋体" w:hAnsi="宋体" w:eastAsia="宋体" w:cs="宋体"/>
                <w:color w:val="auto"/>
                <w:kern w:val="1"/>
                <w:sz w:val="28"/>
                <w:szCs w:val="28"/>
                <w:highlight w:val="none"/>
                <w:lang w:val="en-US" w:eastAsia="zh-CN"/>
              </w:rPr>
            </w:pPr>
            <w:r>
              <w:rPr>
                <w:rFonts w:hint="eastAsia" w:ascii="宋体" w:hAnsi="宋体" w:cs="宋体"/>
                <w:color w:val="auto"/>
                <w:kern w:val="1"/>
                <w:sz w:val="28"/>
                <w:szCs w:val="28"/>
                <w:highlight w:val="none"/>
                <w:lang w:val="en-US" w:eastAsia="zh-CN"/>
              </w:rPr>
              <w:t>9</w:t>
            </w:r>
          </w:p>
        </w:tc>
        <w:tc>
          <w:tcPr>
            <w:tcW w:w="7356" w:type="dxa"/>
            <w:vAlign w:val="center"/>
          </w:tcPr>
          <w:p>
            <w:pPr>
              <w:autoSpaceDE w:val="0"/>
              <w:autoSpaceDN w:val="0"/>
              <w:snapToGrid w:val="0"/>
              <w:spacing w:line="360" w:lineRule="auto"/>
              <w:rPr>
                <w:rFonts w:hint="eastAsia"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rPr>
              <w:t>投标文件的资料提交完整度、编排水平以及链接情况：投标文件完全按照评分办法及系统编制要求逐一进行响应，便于评标委员会进行评审的得1分，编排混乱、内容缺失或难以一一对应的不得分。</w:t>
            </w:r>
          </w:p>
        </w:tc>
        <w:tc>
          <w:tcPr>
            <w:tcW w:w="993" w:type="dxa"/>
            <w:vAlign w:val="center"/>
          </w:tcPr>
          <w:p>
            <w:pPr>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满分</w:t>
            </w:r>
          </w:p>
          <w:p>
            <w:pPr>
              <w:snapToGrid w:val="0"/>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1分</w:t>
            </w:r>
          </w:p>
        </w:tc>
      </w:tr>
    </w:tbl>
    <w:p>
      <w:pPr>
        <w:spacing w:before="120" w:beforeLines="50" w:line="360" w:lineRule="auto"/>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（3）价格分F3（</w:t>
      </w:r>
      <w:r>
        <w:rPr>
          <w:rFonts w:hint="eastAsia" w:ascii="宋体" w:hAnsi="宋体" w:eastAsia="宋体" w:cs="宋体"/>
          <w:b/>
          <w:bCs w:val="0"/>
          <w:color w:val="auto"/>
          <w:sz w:val="28"/>
          <w:szCs w:val="28"/>
          <w:highlight w:val="none"/>
        </w:rPr>
        <w:t>满分</w:t>
      </w:r>
      <w:r>
        <w:rPr>
          <w:rFonts w:hint="eastAsia" w:ascii="宋体" w:hAnsi="宋体" w:cs="宋体"/>
          <w:b/>
          <w:bCs w:val="0"/>
          <w:color w:val="auto"/>
          <w:sz w:val="28"/>
          <w:szCs w:val="28"/>
          <w:highlight w:val="none"/>
          <w:lang w:val="en-US" w:eastAsia="zh-CN"/>
        </w:rPr>
        <w:t>6</w:t>
      </w:r>
      <w:r>
        <w:rPr>
          <w:rFonts w:hint="eastAsia" w:ascii="宋体" w:hAnsi="宋体" w:eastAsia="宋体" w:cs="宋体"/>
          <w:b/>
          <w:bCs w:val="0"/>
          <w:color w:val="auto"/>
          <w:sz w:val="28"/>
          <w:szCs w:val="28"/>
          <w:highlight w:val="none"/>
        </w:rPr>
        <w:t>0分</w:t>
      </w:r>
      <w:r>
        <w:rPr>
          <w:rFonts w:hint="eastAsia" w:ascii="宋体" w:hAnsi="宋体" w:eastAsia="宋体" w:cs="宋体"/>
          <w:b/>
          <w:color w:val="auto"/>
          <w:sz w:val="28"/>
          <w:szCs w:val="28"/>
          <w:highlight w:val="none"/>
        </w:rPr>
        <w:t>）</w:t>
      </w:r>
    </w:p>
    <w:p>
      <w:pPr>
        <w:spacing w:line="360" w:lineRule="auto"/>
        <w:ind w:firstLine="554" w:firstLineChars="198"/>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评标基准价计算方法采用低价优先法，即满足招标文件要求且评标价最低的评标价作为评标基准价，其价格分为满分。其他投标人价格分按下列公式计算：</w:t>
      </w:r>
    </w:p>
    <w:p>
      <w:pPr>
        <w:spacing w:line="360" w:lineRule="auto"/>
        <w:ind w:firstLine="275" w:firstLineChars="98"/>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价格分=评标基准价/投标人的评标价×</w:t>
      </w:r>
      <w:r>
        <w:rPr>
          <w:rFonts w:hint="eastAsia" w:ascii="宋体" w:hAnsi="宋体" w:cs="宋体"/>
          <w:b/>
          <w:bCs/>
          <w:color w:val="auto"/>
          <w:sz w:val="28"/>
          <w:szCs w:val="28"/>
          <w:highlight w:val="none"/>
          <w:lang w:val="en-US" w:eastAsia="zh-CN"/>
        </w:rPr>
        <w:t>6</w:t>
      </w:r>
      <w:r>
        <w:rPr>
          <w:rFonts w:hint="eastAsia" w:ascii="宋体" w:hAnsi="宋体" w:eastAsia="宋体" w:cs="宋体"/>
          <w:b/>
          <w:bCs/>
          <w:color w:val="auto"/>
          <w:sz w:val="28"/>
          <w:szCs w:val="28"/>
          <w:highlight w:val="none"/>
        </w:rPr>
        <w:t>0</w:t>
      </w:r>
    </w:p>
    <w:p>
      <w:pPr>
        <w:spacing w:line="360" w:lineRule="auto"/>
        <w:ind w:firstLine="274" w:firstLineChars="98"/>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注：如投标人的投标报价存在漏（缺）项的，按废标处理。</w:t>
      </w:r>
    </w:p>
    <w:p>
      <w:pPr>
        <w:spacing w:line="360" w:lineRule="auto"/>
        <w:ind w:firstLine="274" w:firstLineChars="98"/>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（由评标委员会当场统一计算）。</w:t>
      </w:r>
    </w:p>
    <w:p>
      <w:pPr>
        <w:spacing w:line="360" w:lineRule="auto"/>
        <w:ind w:firstLine="281" w:firstLineChars="1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（4）各初审合格投标人综合得分= F1＋F2＋F3 </w:t>
      </w:r>
    </w:p>
    <w:p>
      <w:pPr>
        <w:spacing w:line="360" w:lineRule="auto"/>
        <w:ind w:firstLine="280" w:firstLineChars="1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说明：计算技术汇总得分、商务汇总得分及价格分时，经四舍五入后保留三位小数，计算投标人综合得分时，经四舍五入后保留两位小数。</w:t>
      </w:r>
    </w:p>
    <w:p>
      <w:pPr>
        <w:spacing w:line="360" w:lineRule="auto"/>
        <w:ind w:firstLine="413" w:firstLineChars="147"/>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18.2 推荐中标候选人原则</w:t>
      </w:r>
    </w:p>
    <w:p>
      <w:pPr>
        <w:shd w:val="clear" w:color="auto" w:fill="FFFFFF"/>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18.2.1 排名及排名规则：评标委员会根据以下原则对初审合格的投标人进行排名：</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（1）综合得分高者排名在前，即：综合得分最高者排名第一，综合得分次高者排名第二，以此类推。</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（2）综合得分相同时，投标报价低者排名在前；</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（3）综合得分相同且投标报价相同时，技术分得分高者（即F1得分高者）排名在前；</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（4）以上办法都不能确定排名时，评标委员会根据有利于项目实施的原则确定排名。</w:t>
      </w:r>
    </w:p>
    <w:p>
      <w:pPr>
        <w:shd w:val="clear" w:color="auto" w:fill="FFFFFF"/>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18.2.2推荐中标候选人：评标委员会将按比较与评价最优先原则，推荐出中标候选单位，其余的合格投标单位为备选供应商。</w:t>
      </w:r>
    </w:p>
    <w:bookmarkEnd w:id="346"/>
    <w:p>
      <w:pPr>
        <w:spacing w:line="360" w:lineRule="auto"/>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18.3.定标准则</w:t>
      </w:r>
    </w:p>
    <w:p>
      <w:pPr>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18.3.1 招标人将按照评标报告中推荐的中标候选人顺序确定拟中标人。</w:t>
      </w:r>
    </w:p>
    <w:p>
      <w:pPr>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18.3.2 招标人将审查拟中标人的投标人资格、信誉、生产条件、产品技术状态、性能以及其它投标人认为有必要了解的问题。</w:t>
      </w:r>
    </w:p>
    <w:p>
      <w:pPr>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18.3.3 如果确定拟中标人无能力履行合同，其投标将被拒绝，招标人将对下一个可能中标的投标人做类似审查。</w:t>
      </w:r>
    </w:p>
    <w:p>
      <w:pPr>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18.3.4 接受审查的拟中标人必须如实回答询问或接受招标人的考察，并提供所需的有关资料。</w:t>
      </w:r>
    </w:p>
    <w:p>
      <w:pPr>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18.3.5 中标通知书生效后，如果已中标的投标人不能按投标文件中承诺的条件履行签约行为，招标人有权在评标委员会推荐的中标候选人名单中按顺序选择新的合同授予人。</w:t>
      </w:r>
    </w:p>
    <w:p>
      <w:pPr>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 xml:space="preserve">18.3.6 </w:t>
      </w:r>
      <w:r>
        <w:rPr>
          <w:rFonts w:hint="eastAsia" w:ascii="宋体" w:hAnsi="宋体" w:eastAsia="宋体" w:cs="宋体"/>
          <w:color w:val="auto"/>
          <w:sz w:val="28"/>
          <w:szCs w:val="28"/>
          <w:highlight w:val="none"/>
        </w:rPr>
        <w:t>招标人有权在任何时间终止本项目的招标程序，投标人应承担项目终止的所有风险，招标人对此不承担任何责任并且无需向投标人作出任何解释。</w:t>
      </w:r>
    </w:p>
    <w:p>
      <w:pPr>
        <w:pStyle w:val="4"/>
        <w:keepNext w:val="0"/>
        <w:keepLines w:val="0"/>
        <w:spacing w:before="0" w:after="0" w:line="360" w:lineRule="auto"/>
        <w:ind w:firstLine="562" w:firstLineChars="200"/>
        <w:rPr>
          <w:rFonts w:hint="eastAsia" w:ascii="宋体" w:hAnsi="宋体" w:eastAsia="宋体" w:cs="宋体"/>
          <w:color w:val="auto"/>
          <w:sz w:val="28"/>
          <w:szCs w:val="28"/>
          <w:highlight w:val="none"/>
        </w:rPr>
      </w:pPr>
      <w:bookmarkStart w:id="347" w:name="_Toc26943"/>
      <w:bookmarkStart w:id="348" w:name="_Toc21418"/>
      <w:bookmarkStart w:id="349" w:name="_Toc6657"/>
      <w:bookmarkStart w:id="350" w:name="_Toc191892321"/>
      <w:bookmarkStart w:id="351" w:name="_Toc31244"/>
      <w:bookmarkStart w:id="352" w:name="_Toc26303"/>
      <w:bookmarkStart w:id="353" w:name="_Toc9539"/>
      <w:bookmarkStart w:id="354" w:name="_Toc22859"/>
      <w:bookmarkStart w:id="355" w:name="_Toc192925669"/>
      <w:bookmarkStart w:id="356" w:name="_Toc23720"/>
      <w:bookmarkStart w:id="357" w:name="_Toc20247"/>
      <w:bookmarkStart w:id="358" w:name="_Toc11932"/>
      <w:r>
        <w:rPr>
          <w:rFonts w:hint="eastAsia" w:ascii="宋体" w:hAnsi="宋体" w:eastAsia="宋体" w:cs="宋体"/>
          <w:color w:val="auto"/>
          <w:sz w:val="28"/>
          <w:szCs w:val="28"/>
          <w:highlight w:val="none"/>
        </w:rPr>
        <w:t>19. 投标文件的澄清</w:t>
      </w:r>
      <w:bookmarkEnd w:id="347"/>
      <w:bookmarkEnd w:id="348"/>
      <w:bookmarkEnd w:id="349"/>
      <w:bookmarkEnd w:id="350"/>
      <w:bookmarkEnd w:id="351"/>
      <w:bookmarkEnd w:id="352"/>
      <w:bookmarkEnd w:id="353"/>
      <w:bookmarkEnd w:id="354"/>
      <w:bookmarkEnd w:id="355"/>
      <w:bookmarkEnd w:id="356"/>
      <w:bookmarkEnd w:id="357"/>
      <w:bookmarkEnd w:id="358"/>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19.1 对投标文件中含义不明确、同类问题表述不一致或者有明显文字和计算错误的内容，评标委员会将以书面形式，要求投标人作出必要的澄清、说明或者纠正。投标人的澄清、说明或者纠正，应当在评标委员会规定的时间内以书面形式作出，由其法定代表人或者授权代表签字，并不得超出投标文件的范围或者改变投标文件的实质性内容。</w:t>
      </w:r>
    </w:p>
    <w:p>
      <w:pPr>
        <w:pStyle w:val="4"/>
        <w:keepNext w:val="0"/>
        <w:keepLines w:val="0"/>
        <w:spacing w:before="0" w:after="0" w:line="360" w:lineRule="auto"/>
        <w:ind w:firstLine="562" w:firstLineChars="200"/>
        <w:rPr>
          <w:rFonts w:hint="eastAsia" w:ascii="宋体" w:hAnsi="宋体" w:eastAsia="宋体" w:cs="宋体"/>
          <w:color w:val="auto"/>
          <w:sz w:val="28"/>
          <w:szCs w:val="28"/>
          <w:highlight w:val="none"/>
        </w:rPr>
      </w:pPr>
      <w:bookmarkStart w:id="359" w:name="_Toc23086"/>
      <w:bookmarkStart w:id="360" w:name="_Toc28361"/>
      <w:bookmarkStart w:id="361" w:name="_Toc26807"/>
      <w:bookmarkStart w:id="362" w:name="_Toc192925670"/>
      <w:bookmarkStart w:id="363" w:name="_Toc28136"/>
      <w:bookmarkStart w:id="364" w:name="_Toc10403"/>
      <w:bookmarkStart w:id="365" w:name="_Toc7648"/>
      <w:bookmarkStart w:id="366" w:name="_Toc14195"/>
      <w:bookmarkStart w:id="367" w:name="_Toc3267"/>
      <w:bookmarkStart w:id="368" w:name="_Toc191892322"/>
      <w:bookmarkStart w:id="369" w:name="_Toc22650"/>
      <w:bookmarkStart w:id="370" w:name="_Toc1874"/>
      <w:r>
        <w:rPr>
          <w:rFonts w:hint="eastAsia" w:ascii="宋体" w:hAnsi="宋体" w:eastAsia="宋体" w:cs="宋体"/>
          <w:color w:val="auto"/>
          <w:sz w:val="28"/>
          <w:szCs w:val="28"/>
          <w:highlight w:val="none"/>
        </w:rPr>
        <w:t>20. 比较与评价</w:t>
      </w:r>
      <w:bookmarkEnd w:id="359"/>
      <w:bookmarkEnd w:id="360"/>
      <w:bookmarkEnd w:id="361"/>
      <w:bookmarkEnd w:id="362"/>
      <w:bookmarkEnd w:id="363"/>
      <w:bookmarkEnd w:id="364"/>
      <w:bookmarkEnd w:id="365"/>
      <w:bookmarkEnd w:id="366"/>
      <w:bookmarkEnd w:id="367"/>
      <w:bookmarkEnd w:id="368"/>
      <w:bookmarkEnd w:id="369"/>
      <w:bookmarkEnd w:id="370"/>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20.1 评标委员会将根据评标方法与标准，对资格性检查和符合性检查合格的投标文件，进行商务和技术评估，综合比较与评价。  </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20.2 对漏（缺）报项的处理：招标文件中要求列入报价的费用（含配置、功能），漏（缺）报的视同已含在投标总价中。但在评标时取有效投标人该项最高报价加入漏（缺）报人的评标价进行评标。对多报项及赠送项的价格，评标时不予核减，全部进入评标价评议。</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20.3 若投标人的报价明显低于其他报价，使得其投标报价将低于其个别成本的，将会影响服务质量或不能诚信履约的，投标人须按评标委员会要求做出书面说明并提供相关证明材料，不能合理说明或不能提供相关证明材料的，将作无效投标处理。</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20.4 评标委员会将按比较与评价最优在先原则，排列评价顺序，根据在投标人须知前附表中确定的中标候选人数量，推荐出中标候选人。</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20.5 在评标期间，若出现符合本须知规定的所有投标条件的投标人不足三家情形的，本次招标程序终止，除招标任务取消情形外，招标人将依法重新组织招标或者采取竞争性谈判等其他方式采购。</w:t>
      </w:r>
    </w:p>
    <w:p>
      <w:pPr>
        <w:pStyle w:val="3"/>
        <w:keepNext w:val="0"/>
        <w:keepLines w:val="0"/>
        <w:spacing w:before="0" w:after="0" w:line="360" w:lineRule="auto"/>
        <w:ind w:firstLine="314"/>
        <w:rPr>
          <w:rFonts w:hint="eastAsia" w:ascii="宋体" w:hAnsi="宋体" w:eastAsia="宋体" w:cs="宋体"/>
          <w:color w:val="auto"/>
          <w:sz w:val="28"/>
          <w:szCs w:val="28"/>
          <w:highlight w:val="none"/>
        </w:rPr>
      </w:pPr>
      <w:bookmarkStart w:id="371" w:name="_Toc9679"/>
      <w:bookmarkStart w:id="372" w:name="_Toc15898"/>
      <w:bookmarkStart w:id="373" w:name="_Toc14843"/>
      <w:bookmarkStart w:id="374" w:name="_Toc191892323"/>
      <w:bookmarkStart w:id="375" w:name="_Toc21060"/>
      <w:bookmarkStart w:id="376" w:name="_Toc16654"/>
      <w:bookmarkStart w:id="377" w:name="_Toc27987"/>
      <w:bookmarkStart w:id="378" w:name="_Toc15282"/>
      <w:bookmarkStart w:id="379" w:name="_Toc18644"/>
      <w:bookmarkStart w:id="380" w:name="_Toc192925671"/>
      <w:bookmarkStart w:id="381" w:name="_Toc303"/>
    </w:p>
    <w:p>
      <w:pPr>
        <w:pStyle w:val="3"/>
        <w:keepNext w:val="0"/>
        <w:keepLines w:val="0"/>
        <w:spacing w:before="0" w:after="0" w:line="360" w:lineRule="auto"/>
        <w:ind w:firstLine="314"/>
        <w:rPr>
          <w:rFonts w:hint="eastAsia" w:ascii="宋体" w:hAnsi="宋体" w:eastAsia="宋体" w:cs="宋体"/>
          <w:color w:val="auto"/>
          <w:sz w:val="28"/>
          <w:szCs w:val="28"/>
          <w:highlight w:val="none"/>
        </w:rPr>
      </w:pPr>
      <w:bookmarkStart w:id="382" w:name="_Toc26716"/>
      <w:r>
        <w:rPr>
          <w:rFonts w:hint="eastAsia" w:ascii="宋体" w:hAnsi="宋体" w:eastAsia="宋体" w:cs="宋体"/>
          <w:color w:val="auto"/>
          <w:sz w:val="28"/>
          <w:szCs w:val="28"/>
          <w:highlight w:val="none"/>
        </w:rPr>
        <w:t>第六节 定标与签订合同</w:t>
      </w:r>
      <w:bookmarkEnd w:id="371"/>
      <w:bookmarkEnd w:id="372"/>
      <w:bookmarkEnd w:id="373"/>
      <w:bookmarkEnd w:id="374"/>
      <w:bookmarkEnd w:id="375"/>
      <w:bookmarkEnd w:id="376"/>
      <w:bookmarkEnd w:id="377"/>
      <w:bookmarkEnd w:id="378"/>
      <w:bookmarkEnd w:id="379"/>
      <w:bookmarkEnd w:id="380"/>
      <w:bookmarkEnd w:id="381"/>
      <w:bookmarkEnd w:id="382"/>
    </w:p>
    <w:p>
      <w:pPr>
        <w:pStyle w:val="4"/>
        <w:keepNext w:val="0"/>
        <w:keepLines w:val="0"/>
        <w:spacing w:before="0" w:after="0" w:line="360" w:lineRule="auto"/>
        <w:ind w:firstLine="562" w:firstLineChars="200"/>
        <w:rPr>
          <w:rFonts w:hint="eastAsia" w:ascii="宋体" w:hAnsi="宋体" w:eastAsia="宋体" w:cs="宋体"/>
          <w:color w:val="auto"/>
          <w:sz w:val="28"/>
          <w:szCs w:val="28"/>
          <w:highlight w:val="none"/>
        </w:rPr>
      </w:pPr>
      <w:bookmarkStart w:id="383" w:name="_Toc9667"/>
      <w:bookmarkStart w:id="384" w:name="_Toc18570"/>
      <w:bookmarkStart w:id="385" w:name="_Toc192925672"/>
      <w:bookmarkStart w:id="386" w:name="_Toc20961"/>
      <w:bookmarkStart w:id="387" w:name="_Toc27640"/>
      <w:bookmarkStart w:id="388" w:name="_Toc14686"/>
      <w:bookmarkStart w:id="389" w:name="_Toc6057"/>
      <w:bookmarkStart w:id="390" w:name="_Toc191892324"/>
      <w:bookmarkStart w:id="391" w:name="_Toc1041"/>
      <w:bookmarkStart w:id="392" w:name="_Toc24016"/>
      <w:bookmarkStart w:id="393" w:name="_Toc13260"/>
      <w:bookmarkStart w:id="394" w:name="_Toc4963"/>
      <w:r>
        <w:rPr>
          <w:rFonts w:hint="eastAsia" w:ascii="宋体" w:hAnsi="宋体" w:eastAsia="宋体" w:cs="宋体"/>
          <w:color w:val="auto"/>
          <w:sz w:val="28"/>
          <w:szCs w:val="28"/>
          <w:highlight w:val="none"/>
        </w:rPr>
        <w:t>21. 定标准则</w:t>
      </w:r>
      <w:bookmarkEnd w:id="383"/>
      <w:bookmarkEnd w:id="384"/>
      <w:bookmarkEnd w:id="385"/>
      <w:bookmarkEnd w:id="386"/>
      <w:bookmarkEnd w:id="387"/>
      <w:bookmarkEnd w:id="388"/>
      <w:bookmarkEnd w:id="389"/>
      <w:bookmarkEnd w:id="390"/>
      <w:bookmarkEnd w:id="391"/>
      <w:bookmarkEnd w:id="392"/>
      <w:bookmarkEnd w:id="393"/>
      <w:bookmarkEnd w:id="394"/>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投标人的投标文件符合招标文件要求，按招标文件确定评标标准、方法，经评委评审并推荐中标候选人。</w:t>
      </w:r>
    </w:p>
    <w:p>
      <w:pPr>
        <w:pStyle w:val="4"/>
        <w:keepNext w:val="0"/>
        <w:keepLines w:val="0"/>
        <w:spacing w:before="0" w:after="0" w:line="360" w:lineRule="auto"/>
        <w:ind w:firstLine="562" w:firstLineChars="200"/>
        <w:rPr>
          <w:rFonts w:hint="eastAsia" w:ascii="宋体" w:hAnsi="宋体" w:eastAsia="宋体" w:cs="宋体"/>
          <w:color w:val="auto"/>
          <w:sz w:val="28"/>
          <w:szCs w:val="28"/>
          <w:highlight w:val="none"/>
        </w:rPr>
      </w:pPr>
      <w:bookmarkStart w:id="395" w:name="_Toc14214"/>
      <w:bookmarkStart w:id="396" w:name="_Toc28332"/>
      <w:bookmarkStart w:id="397" w:name="_Toc23960"/>
      <w:bookmarkStart w:id="398" w:name="_Toc21152"/>
      <w:bookmarkStart w:id="399" w:name="_Toc192925673"/>
      <w:bookmarkStart w:id="400" w:name="_Toc4418"/>
      <w:bookmarkStart w:id="401" w:name="_Toc15175"/>
      <w:bookmarkStart w:id="402" w:name="_Toc191892325"/>
      <w:bookmarkStart w:id="403" w:name="_Toc28902"/>
      <w:bookmarkStart w:id="404" w:name="_Toc7336"/>
      <w:bookmarkStart w:id="405" w:name="_Toc29968"/>
      <w:bookmarkStart w:id="406" w:name="_Toc7328"/>
      <w:r>
        <w:rPr>
          <w:rFonts w:hint="eastAsia" w:ascii="宋体" w:hAnsi="宋体" w:eastAsia="宋体" w:cs="宋体"/>
          <w:color w:val="auto"/>
          <w:sz w:val="28"/>
          <w:szCs w:val="28"/>
          <w:highlight w:val="none"/>
        </w:rPr>
        <w:t>22. 中标通知</w:t>
      </w:r>
      <w:bookmarkEnd w:id="395"/>
      <w:bookmarkEnd w:id="396"/>
      <w:bookmarkEnd w:id="397"/>
      <w:bookmarkEnd w:id="398"/>
      <w:bookmarkEnd w:id="399"/>
      <w:bookmarkEnd w:id="400"/>
      <w:bookmarkEnd w:id="401"/>
      <w:bookmarkEnd w:id="402"/>
      <w:bookmarkEnd w:id="403"/>
      <w:bookmarkEnd w:id="404"/>
      <w:bookmarkEnd w:id="405"/>
      <w:bookmarkEnd w:id="406"/>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22.1 评标结束后，评标结果经招标人流程确认后，招标人将向中标人发出中标通知书。中标通知书对招标人和中标人具有同等法律效力。中标通知书发出后，中标人放弃中标，应承担相应的法律责任。</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22.2 招标人将向中标单位发出《中标通知书》，没有中标的其他投标人不另行通知。</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22.3《中标通知书》将作为签订采购合同的依据。采购合同签订后，《中标通知书》成为合同的一部分。</w:t>
      </w:r>
    </w:p>
    <w:p>
      <w:pPr>
        <w:pStyle w:val="4"/>
        <w:keepNext w:val="0"/>
        <w:keepLines w:val="0"/>
        <w:spacing w:before="0" w:after="0" w:line="360" w:lineRule="auto"/>
        <w:ind w:firstLine="562" w:firstLineChars="200"/>
        <w:rPr>
          <w:rFonts w:hint="eastAsia" w:ascii="宋体" w:hAnsi="宋体" w:eastAsia="宋体" w:cs="宋体"/>
          <w:color w:val="auto"/>
          <w:sz w:val="28"/>
          <w:szCs w:val="28"/>
          <w:highlight w:val="none"/>
        </w:rPr>
      </w:pPr>
      <w:bookmarkStart w:id="407" w:name="_Toc13402"/>
      <w:bookmarkStart w:id="408" w:name="_Toc22516"/>
      <w:bookmarkStart w:id="409" w:name="_Toc17153"/>
      <w:bookmarkStart w:id="410" w:name="_Toc10131"/>
      <w:bookmarkStart w:id="411" w:name="_Toc192925674"/>
      <w:bookmarkStart w:id="412" w:name="_Toc191892326"/>
      <w:bookmarkStart w:id="413" w:name="_Toc1530"/>
      <w:bookmarkStart w:id="414" w:name="_Toc20773"/>
      <w:bookmarkStart w:id="415" w:name="_Toc29933"/>
      <w:bookmarkStart w:id="416" w:name="_Toc11987"/>
      <w:bookmarkStart w:id="417" w:name="_Toc13433"/>
      <w:bookmarkStart w:id="418" w:name="_Toc26788"/>
      <w:r>
        <w:rPr>
          <w:rFonts w:hint="eastAsia" w:ascii="宋体" w:hAnsi="宋体" w:eastAsia="宋体" w:cs="宋体"/>
          <w:color w:val="auto"/>
          <w:sz w:val="28"/>
          <w:szCs w:val="28"/>
          <w:highlight w:val="none"/>
        </w:rPr>
        <w:t>23. 签订合同</w:t>
      </w:r>
      <w:bookmarkEnd w:id="407"/>
      <w:bookmarkEnd w:id="408"/>
      <w:bookmarkEnd w:id="409"/>
      <w:bookmarkEnd w:id="410"/>
      <w:bookmarkEnd w:id="411"/>
      <w:bookmarkEnd w:id="412"/>
      <w:bookmarkEnd w:id="413"/>
      <w:bookmarkEnd w:id="414"/>
      <w:bookmarkEnd w:id="415"/>
      <w:bookmarkEnd w:id="416"/>
      <w:bookmarkEnd w:id="417"/>
      <w:bookmarkEnd w:id="418"/>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23.1中标人在《中标通知书》发出之日起30日内，根据招标文件确定的事项和中标人投标文件，与招标人签订采购合同。双方所签订的采购合同，不得对招标文件和中标人投标文件作实质性修改。逾期未签订采购合同，按照有关法律规定承担相应的法律责任；属于中标人责任的，招标人将没收其投标保证金，以抵偿对招标人造成的损失。</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23.2招标文件、招标文件的修改文件、中标人的投标文件、补充或修改的文件及澄清或承诺文件等，均为双方签订采购合同的组成部分，并与采购合同一并作为本招标文件所列采购项目的互补性法律文件，与采购合同具有同等法律效力。</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23.3中标人因不可抗力或者自身原因不能履行采购合同的，招标人将与排位在中标人之后第一位的中标候选人签订采购合同，以此类推。</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23.4 中标人未能按招标人的要求，随时提供投标文件中出具的相关证明材料的原件，招标人有权认定投标人存在弄虚作假、骗取中标的行为。</w:t>
      </w:r>
    </w:p>
    <w:p>
      <w:pPr>
        <w:spacing w:line="360" w:lineRule="auto"/>
        <w:ind w:firstLine="560" w:firstLineChars="200"/>
        <w:rPr>
          <w:rFonts w:hint="eastAsia" w:ascii="宋体" w:hAnsi="宋体" w:eastAsia="宋体" w:cs="宋体"/>
          <w:color w:val="auto"/>
          <w:sz w:val="28"/>
          <w:szCs w:val="28"/>
          <w:highlight w:val="none"/>
        </w:rPr>
      </w:pPr>
    </w:p>
    <w:p>
      <w:pPr>
        <w:pStyle w:val="2"/>
        <w:keepNext w:val="0"/>
        <w:keepLines w:val="0"/>
        <w:spacing w:before="0" w:after="0" w:line="360" w:lineRule="auto"/>
        <w:ind w:firstLine="314"/>
        <w:jc w:val="center"/>
        <w:rPr>
          <w:rFonts w:hint="eastAsia" w:ascii="宋体" w:hAnsi="宋体" w:eastAsia="宋体" w:cs="宋体"/>
          <w:color w:val="auto"/>
          <w:sz w:val="32"/>
          <w:szCs w:val="32"/>
          <w:highlight w:val="none"/>
        </w:rPr>
      </w:pPr>
      <w:bookmarkStart w:id="419" w:name="_Toc10075"/>
      <w:bookmarkStart w:id="420" w:name="_Toc23130"/>
      <w:bookmarkStart w:id="421" w:name="_Toc11485"/>
      <w:bookmarkStart w:id="422" w:name="_Toc18849"/>
      <w:bookmarkStart w:id="423" w:name="_Toc26713"/>
      <w:bookmarkStart w:id="424" w:name="_Toc15750"/>
      <w:bookmarkStart w:id="425" w:name="_Toc16262"/>
      <w:bookmarkStart w:id="426" w:name="_Toc12474"/>
      <w:bookmarkStart w:id="427" w:name="_Toc5746"/>
      <w:bookmarkStart w:id="428" w:name="_Toc4366"/>
      <w:r>
        <w:rPr>
          <w:rFonts w:hint="eastAsia" w:ascii="宋体" w:hAnsi="宋体" w:eastAsia="宋体" w:cs="宋体"/>
          <w:color w:val="auto"/>
          <w:sz w:val="32"/>
          <w:szCs w:val="32"/>
          <w:highlight w:val="none"/>
        </w:rPr>
        <w:t>第三章　招标内容及要求</w:t>
      </w:r>
      <w:bookmarkEnd w:id="419"/>
      <w:bookmarkEnd w:id="420"/>
      <w:bookmarkEnd w:id="421"/>
      <w:bookmarkEnd w:id="422"/>
      <w:bookmarkEnd w:id="423"/>
      <w:bookmarkEnd w:id="424"/>
      <w:bookmarkEnd w:id="425"/>
      <w:bookmarkEnd w:id="426"/>
      <w:bookmarkEnd w:id="427"/>
      <w:bookmarkEnd w:id="428"/>
    </w:p>
    <w:p>
      <w:pPr>
        <w:pStyle w:val="3"/>
        <w:keepNext w:val="0"/>
        <w:keepLines w:val="0"/>
        <w:spacing w:before="0" w:after="0" w:line="360" w:lineRule="auto"/>
        <w:ind w:firstLine="314"/>
        <w:jc w:val="left"/>
        <w:rPr>
          <w:rFonts w:hint="eastAsia" w:ascii="宋体" w:hAnsi="宋体" w:eastAsia="宋体" w:cs="宋体"/>
          <w:color w:val="auto"/>
          <w:sz w:val="28"/>
          <w:szCs w:val="28"/>
          <w:highlight w:val="none"/>
        </w:rPr>
      </w:pPr>
      <w:bookmarkStart w:id="429" w:name="_Toc29999"/>
      <w:bookmarkStart w:id="430" w:name="_Toc7158"/>
      <w:bookmarkStart w:id="431" w:name="_Toc16790"/>
      <w:bookmarkStart w:id="432" w:name="_Toc32677"/>
      <w:bookmarkStart w:id="433" w:name="_Toc18457"/>
      <w:bookmarkStart w:id="434" w:name="_Toc20777"/>
      <w:bookmarkStart w:id="435" w:name="_Toc27998"/>
      <w:bookmarkStart w:id="436" w:name="_Toc23820"/>
      <w:bookmarkStart w:id="437" w:name="_Toc27727"/>
      <w:bookmarkStart w:id="438" w:name="_Toc11204"/>
      <w:r>
        <w:rPr>
          <w:rFonts w:hint="eastAsia" w:ascii="宋体" w:hAnsi="宋体" w:eastAsia="宋体" w:cs="宋体"/>
          <w:color w:val="auto"/>
          <w:sz w:val="28"/>
          <w:szCs w:val="28"/>
          <w:highlight w:val="none"/>
        </w:rPr>
        <w:t>第一节 招标项目需求</w:t>
      </w:r>
      <w:bookmarkEnd w:id="429"/>
      <w:bookmarkEnd w:id="430"/>
      <w:bookmarkEnd w:id="431"/>
      <w:bookmarkEnd w:id="432"/>
      <w:bookmarkEnd w:id="433"/>
      <w:bookmarkEnd w:id="434"/>
      <w:bookmarkEnd w:id="435"/>
      <w:bookmarkEnd w:id="436"/>
      <w:bookmarkEnd w:id="437"/>
      <w:bookmarkEnd w:id="438"/>
    </w:p>
    <w:p>
      <w:pPr>
        <w:spacing w:line="360" w:lineRule="auto"/>
        <w:ind w:firstLine="562" w:firstLineChars="200"/>
        <w:rPr>
          <w:rFonts w:hint="eastAsia" w:ascii="宋体" w:hAnsi="宋体" w:eastAsia="宋体" w:cs="宋体"/>
          <w:b/>
          <w:color w:val="auto"/>
          <w:sz w:val="28"/>
          <w:szCs w:val="28"/>
          <w:highlight w:val="none"/>
        </w:rPr>
      </w:pPr>
      <w:bookmarkStart w:id="439" w:name="_bookmark18"/>
      <w:bookmarkEnd w:id="439"/>
      <w:r>
        <w:rPr>
          <w:rFonts w:hint="eastAsia" w:ascii="宋体" w:hAnsi="宋体" w:eastAsia="宋体" w:cs="宋体"/>
          <w:b/>
          <w:color w:val="auto"/>
          <w:sz w:val="28"/>
          <w:szCs w:val="28"/>
          <w:highlight w:val="none"/>
        </w:rPr>
        <w:t>一、招标项目基本情况概述</w:t>
      </w:r>
    </w:p>
    <w:p>
      <w:pPr>
        <w:spacing w:line="360" w:lineRule="auto"/>
        <w:ind w:firstLine="560" w:firstLineChars="200"/>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上海</w:t>
      </w:r>
      <w:r>
        <w:rPr>
          <w:rFonts w:hint="eastAsia" w:ascii="宋体" w:hAnsi="宋体" w:cs="宋体"/>
          <w:color w:val="auto"/>
          <w:sz w:val="28"/>
          <w:szCs w:val="28"/>
          <w:highlight w:val="none"/>
          <w:lang w:eastAsia="zh-CN"/>
        </w:rPr>
        <w:t>国贸璟上</w:t>
      </w:r>
      <w:r>
        <w:rPr>
          <w:rFonts w:hint="eastAsia" w:ascii="宋体" w:hAnsi="宋体" w:eastAsia="宋体" w:cs="宋体"/>
          <w:color w:val="auto"/>
          <w:sz w:val="28"/>
          <w:szCs w:val="28"/>
          <w:highlight w:val="none"/>
        </w:rPr>
        <w:t>（以下简称“项目”</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含云河、观澜、上悦3个地块</w:t>
      </w:r>
      <w:r>
        <w:rPr>
          <w:rFonts w:hint="eastAsia" w:ascii="宋体" w:hAnsi="宋体" w:eastAsia="宋体" w:cs="宋体"/>
          <w:color w:val="auto"/>
          <w:sz w:val="28"/>
          <w:szCs w:val="28"/>
          <w:highlight w:val="none"/>
        </w:rPr>
        <w:t>），位于上海市</w:t>
      </w:r>
      <w:r>
        <w:rPr>
          <w:rFonts w:hint="eastAsia" w:ascii="宋体" w:hAnsi="宋体" w:cs="宋体"/>
          <w:color w:val="auto"/>
          <w:sz w:val="28"/>
          <w:szCs w:val="28"/>
          <w:highlight w:val="none"/>
          <w:lang w:val="en-US" w:eastAsia="zh-CN"/>
        </w:rPr>
        <w:t>青浦区赵巷镇佳旭路</w:t>
      </w:r>
      <w:r>
        <w:rPr>
          <w:rFonts w:hint="eastAsia" w:ascii="宋体" w:hAnsi="宋体" w:eastAsia="宋体" w:cs="宋体"/>
          <w:color w:val="auto"/>
          <w:sz w:val="28"/>
          <w:szCs w:val="28"/>
          <w:highlight w:val="none"/>
        </w:rPr>
        <w:t>，总用地面积</w:t>
      </w:r>
      <w:r>
        <w:rPr>
          <w:rFonts w:hint="eastAsia" w:ascii="宋体" w:hAnsi="宋体" w:cs="宋体"/>
          <w:color w:val="auto"/>
          <w:sz w:val="28"/>
          <w:szCs w:val="28"/>
          <w:highlight w:val="none"/>
          <w:lang w:val="en-US" w:eastAsia="zh-CN"/>
        </w:rPr>
        <w:t>61415.4</w:t>
      </w:r>
      <w:r>
        <w:rPr>
          <w:rFonts w:hint="eastAsia" w:ascii="宋体" w:hAnsi="宋体" w:eastAsia="宋体" w:cs="宋体"/>
          <w:color w:val="auto"/>
          <w:sz w:val="28"/>
          <w:szCs w:val="28"/>
          <w:highlight w:val="none"/>
        </w:rPr>
        <w:t>平</w:t>
      </w:r>
      <w:r>
        <w:rPr>
          <w:rFonts w:hint="eastAsia" w:ascii="宋体" w:hAnsi="宋体" w:cs="宋体"/>
          <w:color w:val="auto"/>
          <w:sz w:val="28"/>
          <w:szCs w:val="28"/>
          <w:highlight w:val="none"/>
          <w:lang w:val="en-US" w:eastAsia="zh-CN"/>
        </w:rPr>
        <w:t>方米</w:t>
      </w:r>
      <w:r>
        <w:rPr>
          <w:rFonts w:hint="eastAsia" w:ascii="宋体" w:hAnsi="宋体" w:eastAsia="宋体" w:cs="宋体"/>
          <w:color w:val="auto"/>
          <w:sz w:val="28"/>
          <w:szCs w:val="28"/>
          <w:highlight w:val="none"/>
        </w:rPr>
        <w:t>，总建筑面积</w:t>
      </w:r>
      <w:r>
        <w:rPr>
          <w:rFonts w:hint="eastAsia" w:ascii="宋体" w:hAnsi="宋体" w:cs="宋体"/>
          <w:color w:val="auto"/>
          <w:sz w:val="28"/>
          <w:szCs w:val="28"/>
          <w:highlight w:val="none"/>
          <w:lang w:val="en-US" w:eastAsia="zh-CN"/>
        </w:rPr>
        <w:t>198274.4</w:t>
      </w:r>
      <w:r>
        <w:rPr>
          <w:rFonts w:hint="eastAsia" w:ascii="宋体" w:hAnsi="宋体" w:eastAsia="宋体" w:cs="宋体"/>
          <w:color w:val="auto"/>
          <w:sz w:val="28"/>
          <w:szCs w:val="28"/>
          <w:highlight w:val="none"/>
        </w:rPr>
        <w:t>平</w:t>
      </w:r>
      <w:r>
        <w:rPr>
          <w:rFonts w:hint="eastAsia" w:ascii="宋体" w:hAnsi="宋体" w:cs="宋体"/>
          <w:color w:val="auto"/>
          <w:sz w:val="28"/>
          <w:szCs w:val="28"/>
          <w:highlight w:val="none"/>
          <w:lang w:val="en-US" w:eastAsia="zh-CN"/>
        </w:rPr>
        <w:t>方米</w:t>
      </w:r>
      <w:r>
        <w:rPr>
          <w:rFonts w:hint="eastAsia" w:ascii="宋体" w:hAnsi="宋体" w:eastAsia="宋体" w:cs="宋体"/>
          <w:color w:val="auto"/>
          <w:sz w:val="28"/>
          <w:szCs w:val="28"/>
          <w:highlight w:val="none"/>
          <w:lang w:eastAsia="zh-CN"/>
        </w:rPr>
        <w:t>。</w:t>
      </w:r>
      <w:r>
        <w:rPr>
          <w:rFonts w:hint="eastAsia" w:ascii="宋体" w:hAnsi="宋体" w:cs="宋体"/>
          <w:color w:val="auto"/>
          <w:sz w:val="28"/>
          <w:szCs w:val="28"/>
          <w:highlight w:val="none"/>
          <w:lang w:val="en-US" w:eastAsia="zh-CN"/>
        </w:rPr>
        <w:t>其中云河地块总用地面积26817.3平方米，总建筑面积86315.2平方米；观澜地块总用地面积17363.4平方米，总建筑面积57323.6平方米；上悦总用地面积17234.4平方米，总建筑面积54635.4平方米。</w:t>
      </w:r>
    </w:p>
    <w:p>
      <w:pPr>
        <w:spacing w:line="360" w:lineRule="auto"/>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二、保安服务内容</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（1）固定岗、巡逻、中控室值班、秩序维护等，提供24小时秩序维护服务。</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（2）事件应急处理：发生突发事件应及时赶往现场进行处理并组织秩序维护工作，同时报告项目方及有关部门。</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夜间进行安全巡查，维护本项目范围内业主及使用人的人身、财产安全，维护正常治安、消防秩序，做好防抢、防盗、防火、防破坏等工作；熟练掌握火灾、治安、自然灾害等突发事件应急预案，事发时积极采取相应措施，立即报告项目方人员或拨打紧急救助电话，同时要保护好现场，并详细记录备查。</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（4）定期完善应急预案，根据项目方要求开展应急预案演练和相关知识技能培训。</w:t>
      </w:r>
    </w:p>
    <w:p>
      <w:pPr>
        <w:spacing w:line="360" w:lineRule="auto"/>
        <w:ind w:firstLine="562" w:firstLineChars="200"/>
        <w:rPr>
          <w:rFonts w:hint="default"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rPr>
        <w:t>三、人员要求</w:t>
      </w:r>
      <w:r>
        <w:rPr>
          <w:rFonts w:hint="eastAsia" w:ascii="宋体" w:hAnsi="宋体" w:cs="宋体"/>
          <w:b/>
          <w:color w:val="auto"/>
          <w:sz w:val="28"/>
          <w:szCs w:val="28"/>
          <w:highlight w:val="none"/>
          <w:lang w:val="en-US" w:eastAsia="zh-CN"/>
        </w:rPr>
        <w:t xml:space="preserve">     </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（1）本次招标需要人员配置数为</w:t>
      </w:r>
      <w:r>
        <w:rPr>
          <w:rFonts w:hint="eastAsia" w:ascii="宋体" w:hAnsi="宋体" w:cs="宋体"/>
          <w:color w:val="auto"/>
          <w:sz w:val="28"/>
          <w:szCs w:val="28"/>
          <w:highlight w:val="none"/>
          <w:lang w:val="en-US" w:eastAsia="zh-CN"/>
        </w:rPr>
        <w:t>24</w:t>
      </w:r>
      <w:r>
        <w:rPr>
          <w:rFonts w:hint="eastAsia" w:ascii="宋体" w:hAnsi="宋体" w:eastAsia="宋体" w:cs="宋体"/>
          <w:color w:val="auto"/>
          <w:sz w:val="28"/>
          <w:szCs w:val="28"/>
          <w:highlight w:val="none"/>
        </w:rPr>
        <w:t>岗，每天至少每岗配置1名保安人员，包含门岗、消控岗、巡逻岗等岗位。具体岗位安排由甲方现场安排，招标人可根据工作量进行</w:t>
      </w:r>
      <w:r>
        <w:rPr>
          <w:rFonts w:hint="eastAsia" w:ascii="宋体" w:hAnsi="宋体" w:eastAsia="宋体" w:cs="宋体"/>
          <w:b/>
          <w:bCs/>
          <w:color w:val="auto"/>
          <w:sz w:val="28"/>
          <w:szCs w:val="28"/>
          <w:highlight w:val="none"/>
        </w:rPr>
        <w:t>人员</w:t>
      </w:r>
      <w:r>
        <w:rPr>
          <w:rFonts w:hint="eastAsia" w:ascii="宋体" w:hAnsi="宋体" w:eastAsia="宋体" w:cs="宋体"/>
          <w:b/>
          <w:bCs/>
          <w:color w:val="auto"/>
          <w:sz w:val="28"/>
          <w:szCs w:val="28"/>
          <w:highlight w:val="none"/>
          <w:lang w:val="en-US" w:eastAsia="zh-CN"/>
        </w:rPr>
        <w:t>数量或岗位</w:t>
      </w:r>
      <w:r>
        <w:rPr>
          <w:rFonts w:hint="eastAsia" w:ascii="宋体" w:hAnsi="宋体" w:eastAsia="宋体" w:cs="宋体"/>
          <w:b/>
          <w:bCs/>
          <w:color w:val="auto"/>
          <w:sz w:val="28"/>
          <w:szCs w:val="28"/>
          <w:highlight w:val="none"/>
        </w:rPr>
        <w:t>配置调整</w:t>
      </w:r>
      <w:r>
        <w:rPr>
          <w:rFonts w:hint="eastAsia" w:ascii="宋体" w:hAnsi="宋体" w:eastAsia="宋体" w:cs="宋体"/>
          <w:color w:val="auto"/>
          <w:sz w:val="28"/>
          <w:szCs w:val="28"/>
          <w:highlight w:val="none"/>
        </w:rPr>
        <w:t>，中标人须无条件配合</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并充分评估报价</w:t>
      </w:r>
      <w:r>
        <w:rPr>
          <w:rFonts w:hint="eastAsia" w:ascii="宋体" w:hAnsi="宋体" w:eastAsia="宋体" w:cs="宋体"/>
          <w:color w:val="auto"/>
          <w:sz w:val="28"/>
          <w:szCs w:val="28"/>
          <w:highlight w:val="none"/>
        </w:rPr>
        <w:t>。</w:t>
      </w:r>
    </w:p>
    <w:p>
      <w:pPr>
        <w:spacing w:line="360" w:lineRule="auto"/>
        <w:ind w:firstLine="560" w:firstLineChars="200"/>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2）所有配置的保安人员应持证上岗，年龄应在18至40周岁之间，其中门岗身高需在178cm以上年龄不得超过35周岁，维序领班岗不得超过40周岁，其他岗位身高在175cm以上，不得超过35周岁。所有岗位均须持有保安证，消控岗须持四级消防设备设施操作员证书</w:t>
      </w:r>
      <w:r>
        <w:rPr>
          <w:rFonts w:hint="eastAsia" w:ascii="宋体" w:hAnsi="宋体" w:cs="宋体"/>
          <w:color w:val="auto"/>
          <w:kern w:val="1"/>
          <w:sz w:val="28"/>
          <w:szCs w:val="28"/>
          <w:highlight w:val="none"/>
          <w:lang w:val="en-US" w:eastAsia="zh-CN"/>
        </w:rPr>
        <w:t>或四级建（构）筑物消防员证</w:t>
      </w:r>
      <w:r>
        <w:rPr>
          <w:rFonts w:hint="eastAsia" w:ascii="宋体" w:hAnsi="宋体" w:eastAsia="宋体" w:cs="宋体"/>
          <w:color w:val="auto"/>
          <w:sz w:val="28"/>
          <w:szCs w:val="28"/>
          <w:highlight w:val="none"/>
        </w:rPr>
        <w:t>。确保所有保安人员无刑事和治安管理处罚记录，并提供无犯罪记录证明。</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（3）所有岗位的保安人员在上班期间严禁从事与工作无关的活动。如：睡觉、玩手机、打游戏、看报纸、聚集聊天、吸烟等。</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（4）巡逻岗位的保安人员应对项目任何角落，包括楼顶、房屋转角等地方都必须认真巡逻，任何突发情况如因巡逻未及时发现将给予重罚。</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（5）要求中标供应商必须承诺对上岗的每名保安人员购买相关的保险，如有突发疾病或其他意外伤害均与项目方无关，由中标供应商自行负责。</w:t>
      </w:r>
    </w:p>
    <w:p>
      <w:pPr>
        <w:spacing w:line="360" w:lineRule="auto"/>
        <w:ind w:firstLine="560" w:firstLineChars="200"/>
        <w:rPr>
          <w:rFonts w:hint="eastAsia" w:ascii="宋体" w:hAnsi="宋体" w:cs="宋体"/>
          <w:b/>
          <w:bCs/>
          <w:color w:val="auto"/>
          <w:sz w:val="28"/>
          <w:szCs w:val="28"/>
          <w:highlight w:val="none"/>
          <w:lang w:val="en-US" w:eastAsia="zh-CN"/>
        </w:rPr>
      </w:pPr>
      <w:r>
        <w:rPr>
          <w:rFonts w:hint="eastAsia" w:ascii="宋体" w:hAnsi="宋体" w:eastAsia="宋体" w:cs="宋体"/>
          <w:color w:val="auto"/>
          <w:sz w:val="28"/>
          <w:szCs w:val="28"/>
          <w:highlight w:val="none"/>
        </w:rPr>
        <w:t>（6）要求中标供应商为每名保安人员统一配发服装（含工作服、制式保安服装、帽子、肩章、反光背心、武装腰带等）</w:t>
      </w:r>
      <w:r>
        <w:rPr>
          <w:rFonts w:hint="eastAsia" w:ascii="宋体" w:hAnsi="宋体" w:eastAsia="宋体" w:cs="宋体"/>
          <w:b/>
          <w:bCs/>
          <w:color w:val="auto"/>
          <w:sz w:val="28"/>
          <w:szCs w:val="28"/>
          <w:highlight w:val="none"/>
        </w:rPr>
        <w:t>。</w:t>
      </w:r>
      <w:r>
        <w:rPr>
          <w:rFonts w:hint="eastAsia" w:ascii="宋体" w:hAnsi="宋体" w:cs="宋体"/>
          <w:b/>
          <w:bCs/>
          <w:color w:val="auto"/>
          <w:sz w:val="28"/>
          <w:szCs w:val="28"/>
          <w:highlight w:val="none"/>
          <w:lang w:val="en-US" w:eastAsia="zh-CN"/>
        </w:rPr>
        <w:t>其中工作服需按照甲方指定款式及供方购买，成本约2950元/人/年，明细如下：</w:t>
      </w:r>
    </w:p>
    <w:p>
      <w:pPr>
        <w:spacing w:line="360" w:lineRule="auto"/>
        <w:ind w:firstLine="562" w:firstLineChars="200"/>
        <w:rPr>
          <w:rFonts w:hint="eastAsia" w:ascii="宋体" w:hAnsi="宋体" w:cs="宋体"/>
          <w:b/>
          <w:bCs/>
          <w:color w:val="auto"/>
          <w:sz w:val="28"/>
          <w:szCs w:val="28"/>
          <w:highlight w:val="none"/>
          <w:lang w:val="en-US" w:eastAsia="zh-CN"/>
        </w:rPr>
      </w:pPr>
    </w:p>
    <w:p>
      <w:pPr>
        <w:spacing w:line="360" w:lineRule="auto"/>
        <w:ind w:firstLine="562" w:firstLineChars="200"/>
        <w:rPr>
          <w:rFonts w:hint="eastAsia" w:ascii="宋体" w:hAnsi="宋体" w:cs="宋体"/>
          <w:b/>
          <w:bCs/>
          <w:color w:val="auto"/>
          <w:sz w:val="28"/>
          <w:szCs w:val="28"/>
          <w:highlight w:val="none"/>
          <w:lang w:val="en-US" w:eastAsia="zh-CN"/>
        </w:rPr>
      </w:pPr>
    </w:p>
    <w:p>
      <w:pPr>
        <w:spacing w:line="360" w:lineRule="auto"/>
        <w:ind w:firstLine="562" w:firstLineChars="200"/>
        <w:rPr>
          <w:rFonts w:hint="eastAsia" w:ascii="宋体" w:hAnsi="宋体" w:cs="宋体"/>
          <w:b/>
          <w:bCs/>
          <w:color w:val="auto"/>
          <w:sz w:val="28"/>
          <w:szCs w:val="28"/>
          <w:highlight w:val="none"/>
          <w:lang w:val="en-US" w:eastAsia="zh-CN"/>
        </w:rPr>
      </w:pPr>
    </w:p>
    <w:p>
      <w:pPr>
        <w:spacing w:line="360" w:lineRule="auto"/>
        <w:ind w:firstLine="562" w:firstLineChars="200"/>
        <w:rPr>
          <w:rFonts w:hint="eastAsia" w:ascii="宋体" w:hAnsi="宋体" w:cs="宋体"/>
          <w:b/>
          <w:bCs/>
          <w:color w:val="auto"/>
          <w:sz w:val="28"/>
          <w:szCs w:val="28"/>
          <w:highlight w:val="none"/>
          <w:lang w:val="en-US" w:eastAsia="zh-CN"/>
        </w:rPr>
      </w:pPr>
    </w:p>
    <w:p>
      <w:pPr>
        <w:spacing w:line="360" w:lineRule="auto"/>
        <w:ind w:firstLine="562" w:firstLineChars="200"/>
        <w:rPr>
          <w:rFonts w:hint="eastAsia" w:ascii="宋体" w:hAnsi="宋体" w:cs="宋体"/>
          <w:b/>
          <w:bCs/>
          <w:color w:val="auto"/>
          <w:sz w:val="28"/>
          <w:szCs w:val="28"/>
          <w:highlight w:val="none"/>
          <w:lang w:val="en-US" w:eastAsia="zh-CN"/>
        </w:rPr>
      </w:pPr>
    </w:p>
    <w:p>
      <w:pPr>
        <w:spacing w:line="360" w:lineRule="auto"/>
        <w:ind w:firstLine="562" w:firstLineChars="200"/>
        <w:rPr>
          <w:rFonts w:hint="eastAsia" w:ascii="宋体" w:hAnsi="宋体" w:cs="宋体"/>
          <w:b/>
          <w:bCs/>
          <w:color w:val="auto"/>
          <w:sz w:val="28"/>
          <w:szCs w:val="28"/>
          <w:highlight w:val="none"/>
          <w:lang w:val="en-US" w:eastAsia="zh-CN"/>
        </w:rPr>
      </w:pPr>
    </w:p>
    <w:p>
      <w:pPr>
        <w:spacing w:line="360" w:lineRule="auto"/>
        <w:ind w:firstLine="420" w:firstLineChars="200"/>
        <w:rPr>
          <w:rFonts w:hint="eastAsia" w:ascii="宋体" w:hAnsi="宋体" w:cs="宋体"/>
          <w:b/>
          <w:bCs/>
          <w:color w:val="auto"/>
          <w:sz w:val="28"/>
          <w:szCs w:val="28"/>
          <w:highlight w:val="none"/>
          <w:lang w:val="en-US" w:eastAsia="zh-CN"/>
        </w:rPr>
      </w:pPr>
      <w:r>
        <w:rPr>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4039870</wp:posOffset>
                </wp:positionH>
                <wp:positionV relativeFrom="paragraph">
                  <wp:posOffset>2540</wp:posOffset>
                </wp:positionV>
                <wp:extent cx="851535" cy="368935"/>
                <wp:effectExtent l="0" t="0" r="0" b="0"/>
                <wp:wrapNone/>
                <wp:docPr id="7" name="文本框 10"/>
                <wp:cNvGraphicFramePr/>
                <a:graphic xmlns:a="http://schemas.openxmlformats.org/drawingml/2006/main">
                  <a:graphicData uri="http://schemas.microsoft.com/office/word/2010/wordprocessingShape">
                    <wps:wsp>
                      <wps:cNvSpPr txBox="1"/>
                      <wps:spPr>
                        <a:xfrm>
                          <a:off x="0" y="0"/>
                          <a:ext cx="851535" cy="368935"/>
                        </a:xfrm>
                        <a:prstGeom prst="rect">
                          <a:avLst/>
                        </a:prstGeom>
                        <a:noFill/>
                      </wps:spPr>
                      <wps:txbx>
                        <w:txbxContent>
                          <w:p>
                            <w:pPr>
                              <w:pStyle w:val="17"/>
                              <w:overflowPunct w:val="0"/>
                              <w:spacing w:before="0" w:after="0" w:line="240" w:lineRule="auto"/>
                              <w:ind w:left="0" w:firstLine="0"/>
                              <w:jc w:val="left"/>
                              <w:textAlignment w:val="baseline"/>
                              <w:rPr>
                                <w:rFonts w:hint="default" w:ascii="微软雅黑" w:hAnsi="微软雅黑" w:eastAsia="微软雅黑" w:cs="微软雅黑"/>
                                <w:b/>
                                <w:bCs/>
                                <w:color w:val="FF0000"/>
                                <w:sz w:val="32"/>
                                <w:szCs w:val="32"/>
                                <w:lang w:val="en-US" w:eastAsia="zh-CN"/>
                              </w:rPr>
                            </w:pPr>
                            <w:r>
                              <w:rPr>
                                <w:rFonts w:hint="eastAsia" w:ascii="微软雅黑" w:hAnsi="微软雅黑" w:eastAsia="微软雅黑" w:cs="微软雅黑"/>
                                <w:b/>
                                <w:bCs/>
                                <w:color w:val="FF0000"/>
                                <w:sz w:val="32"/>
                                <w:szCs w:val="32"/>
                                <w:lang w:val="en-US" w:eastAsia="zh-CN"/>
                              </w:rPr>
                              <w:t>大衣</w:t>
                            </w:r>
                          </w:p>
                        </w:txbxContent>
                      </wps:txbx>
                      <wps:bodyPr wrap="square" rtlCol="0">
                        <a:spAutoFit/>
                      </wps:bodyPr>
                    </wps:wsp>
                  </a:graphicData>
                </a:graphic>
              </wp:anchor>
            </w:drawing>
          </mc:Choice>
          <mc:Fallback>
            <w:pict>
              <v:shape id="文本框 10" o:spid="_x0000_s1026" o:spt="202" type="#_x0000_t202" style="position:absolute;left:0pt;margin-left:318.1pt;margin-top:0.2pt;height:29.05pt;width:67.05pt;z-index:251662336;mso-width-relative:page;mso-height-relative:page;" filled="f" stroked="f" coordsize="21600,21600" o:gfxdata="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v6Fj9UAAAAHAQAADwAAAAAAAAABACAAAAAiAAAAZHJzL2Rvd25yZXYueG1sUEsBAhQAFAAA&#10;AAgAh07iQIjWdhi5AQAAXQMAAA4AAAAAAAAAAQAgAAAAJAEAAGRycy9lMm9Eb2MueG1sUEsFBgAA&#10;AAAGAAYAWQEAAE8FAAAAAA==&#10;">
                <v:fill on="f" focussize="0,0"/>
                <v:stroke on="f"/>
                <v:imagedata o:title=""/>
                <o:lock v:ext="edit" aspectratio="f"/>
                <v:textbox style="mso-fit-shape-to-text:t;">
                  <w:txbxContent>
                    <w:p>
                      <w:pPr>
                        <w:pStyle w:val="17"/>
                        <w:overflowPunct w:val="0"/>
                        <w:spacing w:before="0" w:after="0" w:line="240" w:lineRule="auto"/>
                        <w:ind w:left="0" w:firstLine="0"/>
                        <w:jc w:val="left"/>
                        <w:textAlignment w:val="baseline"/>
                        <w:rPr>
                          <w:rFonts w:hint="default" w:ascii="微软雅黑" w:hAnsi="微软雅黑" w:eastAsia="微软雅黑" w:cs="微软雅黑"/>
                          <w:b/>
                          <w:bCs/>
                          <w:color w:val="FF0000"/>
                          <w:sz w:val="32"/>
                          <w:szCs w:val="32"/>
                          <w:lang w:val="en-US" w:eastAsia="zh-CN"/>
                        </w:rPr>
                      </w:pPr>
                      <w:r>
                        <w:rPr>
                          <w:rFonts w:hint="eastAsia" w:ascii="微软雅黑" w:hAnsi="微软雅黑" w:eastAsia="微软雅黑" w:cs="微软雅黑"/>
                          <w:b/>
                          <w:bCs/>
                          <w:color w:val="FF0000"/>
                          <w:sz w:val="32"/>
                          <w:szCs w:val="32"/>
                          <w:lang w:val="en-US" w:eastAsia="zh-CN"/>
                        </w:rPr>
                        <w:t>大衣</w:t>
                      </w:r>
                    </w:p>
                  </w:txbxContent>
                </v:textbox>
              </v:shape>
            </w:pict>
          </mc:Fallback>
        </mc:AlternateContent>
      </w: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2110105</wp:posOffset>
                </wp:positionH>
                <wp:positionV relativeFrom="paragraph">
                  <wp:posOffset>67945</wp:posOffset>
                </wp:positionV>
                <wp:extent cx="851535" cy="368935"/>
                <wp:effectExtent l="0" t="0" r="0" b="0"/>
                <wp:wrapNone/>
                <wp:docPr id="5" name="文本框 10"/>
                <wp:cNvGraphicFramePr/>
                <a:graphic xmlns:a="http://schemas.openxmlformats.org/drawingml/2006/main">
                  <a:graphicData uri="http://schemas.microsoft.com/office/word/2010/wordprocessingShape">
                    <wps:wsp>
                      <wps:cNvSpPr txBox="1"/>
                      <wps:spPr>
                        <a:xfrm>
                          <a:off x="0" y="0"/>
                          <a:ext cx="851535" cy="368935"/>
                        </a:xfrm>
                        <a:prstGeom prst="rect">
                          <a:avLst/>
                        </a:prstGeom>
                        <a:noFill/>
                      </wps:spPr>
                      <wps:txbx>
                        <w:txbxContent>
                          <w:p>
                            <w:pPr>
                              <w:pStyle w:val="17"/>
                              <w:overflowPunct w:val="0"/>
                              <w:spacing w:before="0" w:after="0" w:line="240" w:lineRule="auto"/>
                              <w:ind w:left="0" w:firstLine="0"/>
                              <w:jc w:val="left"/>
                              <w:textAlignment w:val="baseline"/>
                              <w:rPr>
                                <w:rFonts w:hint="default" w:ascii="微软雅黑" w:hAnsi="微软雅黑" w:eastAsia="微软雅黑" w:cs="微软雅黑"/>
                                <w:b/>
                                <w:bCs/>
                                <w:color w:val="FF0000"/>
                                <w:sz w:val="32"/>
                                <w:szCs w:val="32"/>
                                <w:lang w:val="en-US" w:eastAsia="zh-CN"/>
                              </w:rPr>
                            </w:pPr>
                            <w:r>
                              <w:rPr>
                                <w:rFonts w:hint="eastAsia" w:ascii="微软雅黑" w:hAnsi="微软雅黑" w:eastAsia="微软雅黑" w:cs="微软雅黑"/>
                                <w:b/>
                                <w:bCs/>
                                <w:color w:val="FF0000"/>
                                <w:sz w:val="32"/>
                                <w:szCs w:val="32"/>
                                <w:lang w:val="en-US" w:eastAsia="zh-CN"/>
                              </w:rPr>
                              <w:t>冬装</w:t>
                            </w:r>
                          </w:p>
                        </w:txbxContent>
                      </wps:txbx>
                      <wps:bodyPr wrap="square" rtlCol="0">
                        <a:spAutoFit/>
                      </wps:bodyPr>
                    </wps:wsp>
                  </a:graphicData>
                </a:graphic>
              </wp:anchor>
            </w:drawing>
          </mc:Choice>
          <mc:Fallback>
            <w:pict>
              <v:shape id="文本框 10" o:spid="_x0000_s1026" o:spt="202" type="#_x0000_t202" style="position:absolute;left:0pt;margin-left:166.15pt;margin-top:5.35pt;height:29.05pt;width:67.05pt;z-index:251660288;mso-width-relative:page;mso-height-relative:page;" filled="f" stroked="f" coordsize="21600,21600" o:gfxdata="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Tw0oo1wAAAAkBAAAPAAAAAAAAAAEAIAAAACIAAABkcnMvZG93bnJldi54bWxQSwECFAAU&#10;AAAACACHTuJAr2GuRrkBAABdAwAADgAAAAAAAAABACAAAAAmAQAAZHJzL2Uyb0RvYy54bWxQSwUG&#10;AAAAAAYABgBZAQAAUQUAAAAA&#10;">
                <v:fill on="f" focussize="0,0"/>
                <v:stroke on="f"/>
                <v:imagedata o:title=""/>
                <o:lock v:ext="edit" aspectratio="f"/>
                <v:textbox style="mso-fit-shape-to-text:t;">
                  <w:txbxContent>
                    <w:p>
                      <w:pPr>
                        <w:pStyle w:val="17"/>
                        <w:overflowPunct w:val="0"/>
                        <w:spacing w:before="0" w:after="0" w:line="240" w:lineRule="auto"/>
                        <w:ind w:left="0" w:firstLine="0"/>
                        <w:jc w:val="left"/>
                        <w:textAlignment w:val="baseline"/>
                        <w:rPr>
                          <w:rFonts w:hint="default" w:ascii="微软雅黑" w:hAnsi="微软雅黑" w:eastAsia="微软雅黑" w:cs="微软雅黑"/>
                          <w:b/>
                          <w:bCs/>
                          <w:color w:val="FF0000"/>
                          <w:sz w:val="32"/>
                          <w:szCs w:val="32"/>
                          <w:lang w:val="en-US" w:eastAsia="zh-CN"/>
                        </w:rPr>
                      </w:pPr>
                      <w:r>
                        <w:rPr>
                          <w:rFonts w:hint="eastAsia" w:ascii="微软雅黑" w:hAnsi="微软雅黑" w:eastAsia="微软雅黑" w:cs="微软雅黑"/>
                          <w:b/>
                          <w:bCs/>
                          <w:color w:val="FF0000"/>
                          <w:sz w:val="32"/>
                          <w:szCs w:val="32"/>
                          <w:lang w:val="en-US" w:eastAsia="zh-CN"/>
                        </w:rPr>
                        <w:t>冬装</w:t>
                      </w:r>
                    </w:p>
                  </w:txbxContent>
                </v:textbox>
              </v:shape>
            </w:pict>
          </mc:Fallback>
        </mc:AlternateContent>
      </w: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274955</wp:posOffset>
                </wp:positionH>
                <wp:positionV relativeFrom="paragraph">
                  <wp:posOffset>10795</wp:posOffset>
                </wp:positionV>
                <wp:extent cx="851535" cy="368935"/>
                <wp:effectExtent l="0" t="0" r="0" b="0"/>
                <wp:wrapNone/>
                <wp:docPr id="11" name="文本框 10"/>
                <wp:cNvGraphicFramePr/>
                <a:graphic xmlns:a="http://schemas.openxmlformats.org/drawingml/2006/main">
                  <a:graphicData uri="http://schemas.microsoft.com/office/word/2010/wordprocessingShape">
                    <wps:wsp>
                      <wps:cNvSpPr txBox="1"/>
                      <wps:spPr>
                        <a:xfrm>
                          <a:off x="0" y="0"/>
                          <a:ext cx="851535" cy="369332"/>
                        </a:xfrm>
                        <a:prstGeom prst="rect">
                          <a:avLst/>
                        </a:prstGeom>
                        <a:noFill/>
                      </wps:spPr>
                      <wps:txbx>
                        <w:txbxContent>
                          <w:p>
                            <w:pPr>
                              <w:pStyle w:val="17"/>
                              <w:overflowPunct w:val="0"/>
                              <w:spacing w:before="0" w:after="0" w:line="240" w:lineRule="auto"/>
                              <w:ind w:left="0" w:firstLine="0"/>
                              <w:jc w:val="left"/>
                              <w:textAlignment w:val="baseline"/>
                              <w:rPr>
                                <w:rFonts w:hint="eastAsia" w:ascii="微软雅黑" w:hAnsi="微软雅黑" w:eastAsia="微软雅黑" w:cs="微软雅黑"/>
                                <w:b/>
                                <w:bCs/>
                                <w:color w:val="FF0000"/>
                                <w:sz w:val="32"/>
                                <w:szCs w:val="32"/>
                              </w:rPr>
                            </w:pPr>
                            <w:r>
                              <w:rPr>
                                <w:rFonts w:hint="eastAsia" w:ascii="微软雅黑" w:hAnsi="微软雅黑" w:eastAsia="微软雅黑" w:cs="微软雅黑"/>
                                <w:b/>
                                <w:bCs/>
                                <w:color w:val="FF0000"/>
                                <w:kern w:val="24"/>
                                <w:sz w:val="44"/>
                                <w:szCs w:val="44"/>
                              </w:rPr>
                              <w:t>夏装</w:t>
                            </w:r>
                          </w:p>
                        </w:txbxContent>
                      </wps:txbx>
                      <wps:bodyPr wrap="square" rtlCol="0">
                        <a:spAutoFit/>
                      </wps:bodyPr>
                    </wps:wsp>
                  </a:graphicData>
                </a:graphic>
              </wp:anchor>
            </w:drawing>
          </mc:Choice>
          <mc:Fallback>
            <w:pict>
              <v:shape id="文本框 10" o:spid="_x0000_s1026" o:spt="202" type="#_x0000_t202" style="position:absolute;left:0pt;margin-left:21.65pt;margin-top:0.85pt;height:29.05pt;width:67.05pt;z-index:251659264;mso-width-relative:page;mso-height-relative:page;" filled="f" stroked="f" coordsize="21600,21600" o:gfxdata="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XW6RbUAAAABwEAAA8AAAAAAAAAAQAgAAAAIgAAAGRycy9kb3ducmV2LnhtbFBLAQIUABQAAAAI&#10;AIdO4kAFnyS5uAEAAF4DAAAOAAAAAAAAAAEAIAAAACMBAABkcnMvZTJvRG9jLnhtbFBLBQYAAAAA&#10;BgAGAFkBAABNBQAAAAA=&#10;">
                <v:fill on="f" focussize="0,0"/>
                <v:stroke on="f"/>
                <v:imagedata o:title=""/>
                <o:lock v:ext="edit" aspectratio="f"/>
                <v:textbox style="mso-fit-shape-to-text:t;">
                  <w:txbxContent>
                    <w:p>
                      <w:pPr>
                        <w:pStyle w:val="17"/>
                        <w:overflowPunct w:val="0"/>
                        <w:spacing w:before="0" w:after="0" w:line="240" w:lineRule="auto"/>
                        <w:ind w:left="0" w:firstLine="0"/>
                        <w:jc w:val="left"/>
                        <w:textAlignment w:val="baseline"/>
                        <w:rPr>
                          <w:rFonts w:hint="eastAsia" w:ascii="微软雅黑" w:hAnsi="微软雅黑" w:eastAsia="微软雅黑" w:cs="微软雅黑"/>
                          <w:b/>
                          <w:bCs/>
                          <w:color w:val="FF0000"/>
                          <w:sz w:val="32"/>
                          <w:szCs w:val="32"/>
                        </w:rPr>
                      </w:pPr>
                      <w:r>
                        <w:rPr>
                          <w:rFonts w:hint="eastAsia" w:ascii="微软雅黑" w:hAnsi="微软雅黑" w:eastAsia="微软雅黑" w:cs="微软雅黑"/>
                          <w:b/>
                          <w:bCs/>
                          <w:color w:val="FF0000"/>
                          <w:kern w:val="24"/>
                          <w:sz w:val="44"/>
                          <w:szCs w:val="44"/>
                        </w:rPr>
                        <w:t>夏装</w:t>
                      </w:r>
                    </w:p>
                  </w:txbxContent>
                </v:textbox>
              </v:shape>
            </w:pict>
          </mc:Fallback>
        </mc:AlternateContent>
      </w:r>
      <w:r>
        <w:rPr>
          <w:color w:val="auto"/>
          <w:highlight w:val="none"/>
        </w:rPr>
        <w:drawing>
          <wp:inline distT="0" distB="0" distL="114300" distR="114300">
            <wp:extent cx="1809750" cy="26670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1809750" cy="2667000"/>
                    </a:xfrm>
                    <a:prstGeom prst="rect">
                      <a:avLst/>
                    </a:prstGeom>
                    <a:noFill/>
                    <a:ln>
                      <a:noFill/>
                    </a:ln>
                  </pic:spPr>
                </pic:pic>
              </a:graphicData>
            </a:graphic>
          </wp:inline>
        </w:drawing>
      </w:r>
      <w:r>
        <w:rPr>
          <w:color w:val="auto"/>
          <w:highlight w:val="none"/>
        </w:rPr>
        <w:drawing>
          <wp:inline distT="0" distB="0" distL="114300" distR="114300">
            <wp:extent cx="1976120" cy="2611755"/>
            <wp:effectExtent l="0" t="0" r="5080" b="1714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1976120" cy="2611755"/>
                    </a:xfrm>
                    <a:prstGeom prst="rect">
                      <a:avLst/>
                    </a:prstGeom>
                    <a:noFill/>
                    <a:ln>
                      <a:noFill/>
                    </a:ln>
                  </pic:spPr>
                </pic:pic>
              </a:graphicData>
            </a:graphic>
          </wp:inline>
        </w:drawing>
      </w:r>
      <w:r>
        <w:rPr>
          <w:color w:val="auto"/>
          <w:highlight w:val="none"/>
        </w:rPr>
        <w:drawing>
          <wp:inline distT="0" distB="0" distL="114300" distR="114300">
            <wp:extent cx="1619250" cy="2707005"/>
            <wp:effectExtent l="0" t="0" r="0" b="1714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8"/>
                    <a:stretch>
                      <a:fillRect/>
                    </a:stretch>
                  </pic:blipFill>
                  <pic:spPr>
                    <a:xfrm>
                      <a:off x="0" y="0"/>
                      <a:ext cx="1619250" cy="2707005"/>
                    </a:xfrm>
                    <a:prstGeom prst="rect">
                      <a:avLst/>
                    </a:prstGeom>
                    <a:noFill/>
                    <a:ln>
                      <a:noFill/>
                    </a:ln>
                  </pic:spPr>
                </pic:pic>
              </a:graphicData>
            </a:graphic>
          </wp:inline>
        </w:drawing>
      </w:r>
    </w:p>
    <w:p>
      <w:pPr>
        <w:spacing w:line="360" w:lineRule="auto"/>
        <w:ind w:firstLine="562" w:firstLineChars="200"/>
        <w:rPr>
          <w:rFonts w:hint="default"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夏装：（短袖藏蓝色衬衫2件+西裤2条+帽子1个）/人</w:t>
      </w:r>
    </w:p>
    <w:p>
      <w:pPr>
        <w:spacing w:line="360" w:lineRule="auto"/>
        <w:ind w:firstLine="562" w:firstLineChars="200"/>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冬装：（长袖藏蓝色衬衫2件+西裤2条+外套2件+大衣1件）/人</w:t>
      </w:r>
    </w:p>
    <w:p>
      <w:pPr>
        <w:spacing w:line="360" w:lineRule="auto"/>
        <w:ind w:firstLine="562" w:firstLineChars="200"/>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价格：夏装680元/2套，冬装1520元/2套，大衣750元/件</w:t>
      </w:r>
    </w:p>
    <w:p>
      <w:pPr>
        <w:numPr>
          <w:ilvl w:val="-1"/>
          <w:numId w:val="0"/>
        </w:numPr>
        <w:spacing w:line="360" w:lineRule="auto"/>
        <w:ind w:firstLine="560" w:firstLineChars="200"/>
        <w:rPr>
          <w:rFonts w:hint="eastAsia" w:ascii="宋体" w:hAnsi="宋体" w:cs="宋体"/>
          <w:b/>
          <w:bCs/>
          <w:color w:val="auto"/>
          <w:sz w:val="28"/>
          <w:szCs w:val="28"/>
          <w:highlight w:val="none"/>
          <w:lang w:val="en-US" w:eastAsia="zh-CN"/>
        </w:rPr>
      </w:pPr>
      <w:r>
        <w:rPr>
          <w:rFonts w:hint="eastAsia" w:ascii="宋体" w:hAnsi="宋体" w:eastAsia="宋体" w:cs="宋体"/>
          <w:color w:val="auto"/>
          <w:sz w:val="28"/>
          <w:szCs w:val="28"/>
          <w:highlight w:val="none"/>
        </w:rPr>
        <w:t>基于岗位需求，要求中标供应商</w:t>
      </w:r>
      <w:r>
        <w:rPr>
          <w:rFonts w:hint="eastAsia" w:ascii="宋体" w:hAnsi="宋体" w:cs="宋体"/>
          <w:color w:val="auto"/>
          <w:sz w:val="28"/>
          <w:szCs w:val="28"/>
          <w:highlight w:val="none"/>
          <w:lang w:val="en-US" w:eastAsia="zh-CN"/>
        </w:rPr>
        <w:t>最低配置物资及工具和数量如下：</w:t>
      </w:r>
      <w:r>
        <w:rPr>
          <w:rFonts w:hint="eastAsia" w:ascii="宋体" w:hAnsi="宋体" w:eastAsia="宋体" w:cs="宋体"/>
          <w:b/>
          <w:bCs/>
          <w:color w:val="auto"/>
          <w:sz w:val="28"/>
          <w:szCs w:val="28"/>
          <w:highlight w:val="none"/>
        </w:rPr>
        <w:t>统一配发对讲机、</w:t>
      </w:r>
      <w:r>
        <w:rPr>
          <w:rFonts w:hint="eastAsia" w:ascii="宋体" w:hAnsi="宋体" w:cs="宋体"/>
          <w:b/>
          <w:bCs/>
          <w:color w:val="auto"/>
          <w:sz w:val="28"/>
          <w:szCs w:val="28"/>
          <w:highlight w:val="none"/>
          <w:lang w:val="en-US" w:eastAsia="zh-CN"/>
        </w:rPr>
        <w:t>耳机、</w:t>
      </w:r>
      <w:r>
        <w:rPr>
          <w:rFonts w:hint="eastAsia" w:ascii="宋体" w:hAnsi="宋体" w:eastAsia="宋体" w:cs="宋体"/>
          <w:b/>
          <w:bCs/>
          <w:color w:val="auto"/>
          <w:sz w:val="28"/>
          <w:szCs w:val="28"/>
          <w:highlight w:val="none"/>
        </w:rPr>
        <w:t>强光手电、雨具及必要的警具（</w:t>
      </w:r>
      <w:r>
        <w:rPr>
          <w:rFonts w:hint="eastAsia" w:ascii="宋体" w:hAnsi="宋体" w:cs="宋体"/>
          <w:b/>
          <w:bCs/>
          <w:color w:val="auto"/>
          <w:sz w:val="28"/>
          <w:szCs w:val="28"/>
          <w:highlight w:val="none"/>
          <w:lang w:val="en-US" w:eastAsia="zh-CN"/>
        </w:rPr>
        <w:t>包含3套</w:t>
      </w:r>
      <w:r>
        <w:rPr>
          <w:rFonts w:hint="eastAsia" w:ascii="宋体" w:hAnsi="宋体" w:eastAsia="宋体" w:cs="宋体"/>
          <w:color w:val="auto"/>
          <w:sz w:val="28"/>
          <w:szCs w:val="28"/>
          <w:highlight w:val="none"/>
          <w:lang w:val="en-US" w:eastAsia="zh-CN"/>
        </w:rPr>
        <w:t>防暴盾牌、防暴钢叉、防暴头盔、</w:t>
      </w:r>
      <w:r>
        <w:rPr>
          <w:rFonts w:hint="eastAsia" w:ascii="宋体" w:hAnsi="宋体" w:eastAsia="宋体" w:cs="宋体"/>
          <w:color w:val="auto"/>
          <w:sz w:val="28"/>
          <w:szCs w:val="28"/>
          <w:highlight w:val="none"/>
        </w:rPr>
        <w:t>伸缩警棍、辣椒水</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6套消防服套装、消防绳等</w:t>
      </w:r>
      <w:r>
        <w:rPr>
          <w:rFonts w:hint="eastAsia" w:ascii="宋体" w:hAnsi="宋体" w:eastAsia="宋体" w:cs="宋体"/>
          <w:b/>
          <w:bCs/>
          <w:color w:val="auto"/>
          <w:sz w:val="28"/>
          <w:szCs w:val="28"/>
          <w:highlight w:val="none"/>
        </w:rPr>
        <w:t>）</w:t>
      </w:r>
      <w:r>
        <w:rPr>
          <w:rFonts w:hint="eastAsia" w:ascii="宋体" w:hAnsi="宋体" w:eastAsia="宋体" w:cs="宋体"/>
          <w:color w:val="auto"/>
          <w:sz w:val="28"/>
          <w:szCs w:val="28"/>
          <w:highlight w:val="none"/>
        </w:rPr>
        <w:t>，便于保安人员统一高效地开展工作</w:t>
      </w:r>
      <w:r>
        <w:rPr>
          <w:rFonts w:hint="eastAsia" w:ascii="宋体" w:hAnsi="宋体" w:cs="宋体"/>
          <w:color w:val="auto"/>
          <w:sz w:val="28"/>
          <w:szCs w:val="28"/>
          <w:highlight w:val="none"/>
          <w:lang w:eastAsia="zh-CN"/>
        </w:rPr>
        <w:t>；</w:t>
      </w:r>
      <w:r>
        <w:rPr>
          <w:rFonts w:hint="eastAsia" w:ascii="宋体" w:hAnsi="宋体" w:cs="宋体"/>
          <w:b/>
          <w:bCs/>
          <w:color w:val="auto"/>
          <w:sz w:val="28"/>
          <w:szCs w:val="28"/>
          <w:highlight w:val="none"/>
          <w:lang w:val="en-US" w:eastAsia="zh-CN"/>
        </w:rPr>
        <w:t>本项目要求安全对讲机无噪音巡逻，配置耳机；巡逻岗配置3辆平衡车，2辆2轮电瓶车，具体款式如下要求：</w:t>
      </w:r>
    </w:p>
    <w:p>
      <w:pPr>
        <w:widowControl w:val="0"/>
        <w:numPr>
          <w:ilvl w:val="0"/>
          <w:numId w:val="0"/>
        </w:numPr>
        <w:spacing w:line="360" w:lineRule="auto"/>
        <w:jc w:val="both"/>
        <w:rPr>
          <w:rFonts w:hint="eastAsia" w:ascii="宋体" w:hAnsi="宋体" w:cs="宋体"/>
          <w:b/>
          <w:bCs/>
          <w:color w:val="auto"/>
          <w:sz w:val="28"/>
          <w:szCs w:val="28"/>
          <w:highlight w:val="none"/>
          <w:lang w:val="en-US" w:eastAsia="zh-CN"/>
        </w:rPr>
      </w:pPr>
      <w:r>
        <w:rPr>
          <w:color w:val="auto"/>
          <w:highlight w:val="none"/>
        </w:rPr>
        <w:drawing>
          <wp:anchor distT="0" distB="0" distL="114300" distR="114300" simplePos="0" relativeHeight="251663360" behindDoc="0" locked="0" layoutInCell="1" allowOverlap="1">
            <wp:simplePos x="0" y="0"/>
            <wp:positionH relativeFrom="column">
              <wp:posOffset>4196080</wp:posOffset>
            </wp:positionH>
            <wp:positionV relativeFrom="paragraph">
              <wp:posOffset>29845</wp:posOffset>
            </wp:positionV>
            <wp:extent cx="2021205" cy="2015490"/>
            <wp:effectExtent l="0" t="0" r="17145" b="3810"/>
            <wp:wrapNone/>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9"/>
                    <a:stretch>
                      <a:fillRect/>
                    </a:stretch>
                  </pic:blipFill>
                  <pic:spPr>
                    <a:xfrm>
                      <a:off x="0" y="0"/>
                      <a:ext cx="2021205" cy="2015490"/>
                    </a:xfrm>
                    <a:prstGeom prst="rect">
                      <a:avLst/>
                    </a:prstGeom>
                    <a:noFill/>
                    <a:ln>
                      <a:noFill/>
                    </a:ln>
                  </pic:spPr>
                </pic:pic>
              </a:graphicData>
            </a:graphic>
          </wp:anchor>
        </w:drawing>
      </w:r>
      <w:r>
        <w:rPr>
          <w:color w:val="auto"/>
          <w:highlight w:val="none"/>
        </w:rPr>
        <w:drawing>
          <wp:anchor distT="0" distB="0" distL="114300" distR="114300" simplePos="0" relativeHeight="251665408" behindDoc="0" locked="0" layoutInCell="1" allowOverlap="1">
            <wp:simplePos x="0" y="0"/>
            <wp:positionH relativeFrom="column">
              <wp:posOffset>2078990</wp:posOffset>
            </wp:positionH>
            <wp:positionV relativeFrom="paragraph">
              <wp:posOffset>20955</wp:posOffset>
            </wp:positionV>
            <wp:extent cx="2069465" cy="2002790"/>
            <wp:effectExtent l="0" t="0" r="6985" b="16510"/>
            <wp:wrapNone/>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r:embed="rId10"/>
                    <a:stretch>
                      <a:fillRect/>
                    </a:stretch>
                  </pic:blipFill>
                  <pic:spPr>
                    <a:xfrm>
                      <a:off x="0" y="0"/>
                      <a:ext cx="2069465" cy="2002790"/>
                    </a:xfrm>
                    <a:prstGeom prst="rect">
                      <a:avLst/>
                    </a:prstGeom>
                    <a:noFill/>
                    <a:ln>
                      <a:noFill/>
                    </a:ln>
                  </pic:spPr>
                </pic:pic>
              </a:graphicData>
            </a:graphic>
          </wp:anchor>
        </w:drawing>
      </w:r>
      <w:r>
        <w:rPr>
          <w:color w:val="auto"/>
          <w:highlight w:val="none"/>
        </w:rPr>
        <w:drawing>
          <wp:anchor distT="0" distB="0" distL="114300" distR="114300" simplePos="0" relativeHeight="251664384" behindDoc="0" locked="0" layoutInCell="1" allowOverlap="1">
            <wp:simplePos x="0" y="0"/>
            <wp:positionH relativeFrom="column">
              <wp:posOffset>16510</wp:posOffset>
            </wp:positionH>
            <wp:positionV relativeFrom="paragraph">
              <wp:posOffset>41910</wp:posOffset>
            </wp:positionV>
            <wp:extent cx="2011045" cy="1983105"/>
            <wp:effectExtent l="0" t="0" r="8255" b="17145"/>
            <wp:wrapNone/>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11"/>
                    <a:stretch>
                      <a:fillRect/>
                    </a:stretch>
                  </pic:blipFill>
                  <pic:spPr>
                    <a:xfrm>
                      <a:off x="0" y="0"/>
                      <a:ext cx="2011045" cy="1983105"/>
                    </a:xfrm>
                    <a:prstGeom prst="rect">
                      <a:avLst/>
                    </a:prstGeom>
                    <a:noFill/>
                    <a:ln>
                      <a:noFill/>
                    </a:ln>
                  </pic:spPr>
                </pic:pic>
              </a:graphicData>
            </a:graphic>
          </wp:anchor>
        </w:drawing>
      </w:r>
    </w:p>
    <w:p>
      <w:pPr>
        <w:widowControl w:val="0"/>
        <w:numPr>
          <w:ilvl w:val="0"/>
          <w:numId w:val="0"/>
        </w:numPr>
        <w:spacing w:line="360" w:lineRule="auto"/>
        <w:jc w:val="both"/>
        <w:rPr>
          <w:rFonts w:hint="eastAsia" w:ascii="宋体" w:hAnsi="宋体" w:cs="宋体"/>
          <w:b/>
          <w:bCs/>
          <w:color w:val="auto"/>
          <w:sz w:val="28"/>
          <w:szCs w:val="28"/>
          <w:highlight w:val="none"/>
          <w:lang w:val="en-US" w:eastAsia="zh-CN"/>
        </w:rPr>
      </w:pPr>
    </w:p>
    <w:p>
      <w:pPr>
        <w:widowControl w:val="0"/>
        <w:numPr>
          <w:ilvl w:val="0"/>
          <w:numId w:val="0"/>
        </w:numPr>
        <w:spacing w:line="360" w:lineRule="auto"/>
        <w:jc w:val="both"/>
        <w:rPr>
          <w:rFonts w:hint="eastAsia" w:ascii="宋体" w:hAnsi="宋体" w:cs="宋体"/>
          <w:b/>
          <w:bCs/>
          <w:color w:val="auto"/>
          <w:sz w:val="28"/>
          <w:szCs w:val="28"/>
          <w:highlight w:val="none"/>
          <w:lang w:val="en-US" w:eastAsia="zh-CN"/>
        </w:rPr>
      </w:pPr>
    </w:p>
    <w:p>
      <w:pPr>
        <w:widowControl w:val="0"/>
        <w:numPr>
          <w:ilvl w:val="0"/>
          <w:numId w:val="0"/>
        </w:numPr>
        <w:spacing w:line="360" w:lineRule="auto"/>
        <w:jc w:val="both"/>
        <w:rPr>
          <w:rFonts w:hint="eastAsia" w:ascii="宋体" w:hAnsi="宋体" w:cs="宋体"/>
          <w:b/>
          <w:bCs/>
          <w:color w:val="auto"/>
          <w:sz w:val="28"/>
          <w:szCs w:val="28"/>
          <w:highlight w:val="none"/>
          <w:lang w:val="en-US" w:eastAsia="zh-CN"/>
        </w:rPr>
      </w:pPr>
    </w:p>
    <w:p>
      <w:pPr>
        <w:widowControl w:val="0"/>
        <w:numPr>
          <w:ilvl w:val="0"/>
          <w:numId w:val="0"/>
        </w:numPr>
        <w:spacing w:line="360" w:lineRule="auto"/>
        <w:jc w:val="both"/>
        <w:rPr>
          <w:rFonts w:hint="eastAsia" w:ascii="宋体" w:hAnsi="宋体" w:cs="宋体"/>
          <w:b/>
          <w:bCs/>
          <w:color w:val="auto"/>
          <w:sz w:val="28"/>
          <w:szCs w:val="28"/>
          <w:highlight w:val="none"/>
          <w:lang w:val="en-US" w:eastAsia="zh-CN"/>
        </w:rPr>
      </w:pPr>
    </w:p>
    <w:p>
      <w:pPr>
        <w:widowControl w:val="0"/>
        <w:numPr>
          <w:ilvl w:val="0"/>
          <w:numId w:val="0"/>
        </w:numPr>
        <w:spacing w:line="360" w:lineRule="auto"/>
        <w:jc w:val="both"/>
        <w:rPr>
          <w:rFonts w:hint="eastAsia" w:ascii="宋体" w:hAnsi="宋体" w:cs="宋体"/>
          <w:b/>
          <w:bCs/>
          <w:color w:val="auto"/>
          <w:sz w:val="28"/>
          <w:szCs w:val="28"/>
          <w:highlight w:val="none"/>
          <w:lang w:val="en-US" w:eastAsia="zh-CN"/>
        </w:rPr>
      </w:pPr>
    </w:p>
    <w:p>
      <w:pPr>
        <w:numPr>
          <w:ilvl w:val="0"/>
          <w:numId w:val="0"/>
        </w:numPr>
        <w:spacing w:line="360" w:lineRule="auto"/>
        <w:rPr>
          <w:rFonts w:hint="default" w:ascii="仿宋" w:hAnsi="仿宋" w:eastAsia="仿宋" w:cs="仿宋"/>
          <w:b/>
          <w:bCs/>
          <w:color w:val="auto"/>
          <w:kern w:val="2"/>
          <w:sz w:val="32"/>
          <w:szCs w:val="32"/>
          <w:highlight w:val="none"/>
          <w:lang w:val="en-US" w:eastAsia="zh-CN" w:bidi="ar-SA"/>
        </w:rPr>
      </w:pPr>
      <w:r>
        <w:rPr>
          <w:rFonts w:hint="eastAsia"/>
          <w:color w:val="auto"/>
          <w:highlight w:val="none"/>
          <w:lang w:val="en-US" w:eastAsia="zh-CN"/>
        </w:rPr>
        <w:t xml:space="preserve">    </w:t>
      </w:r>
      <w:r>
        <w:rPr>
          <w:rFonts w:hint="eastAsia" w:ascii="仿宋" w:hAnsi="仿宋" w:eastAsia="仿宋" w:cs="仿宋"/>
          <w:b/>
          <w:bCs/>
          <w:color w:val="auto"/>
          <w:kern w:val="2"/>
          <w:sz w:val="32"/>
          <w:szCs w:val="32"/>
          <w:highlight w:val="none"/>
          <w:lang w:val="en-US" w:eastAsia="zh-CN" w:bidi="ar-SA"/>
        </w:rPr>
        <w:t>（7）所列装备配置要求为必须配置的最低要求，且要求为新购设备，进场后甲方有权要求查验设备情况，包括购入发票、发货清单等。相关设备的型号必须符合示意图所列示的款式。</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w:t>
      </w:r>
      <w:r>
        <w:rPr>
          <w:rFonts w:hint="eastAsia" w:ascii="宋体" w:hAnsi="宋体" w:eastAsia="宋体" w:cs="宋体"/>
          <w:b/>
          <w:bCs/>
          <w:color w:val="auto"/>
          <w:sz w:val="28"/>
          <w:szCs w:val="28"/>
          <w:highlight w:val="none"/>
        </w:rPr>
        <w:t>每月对保安员进行一次集中培训</w:t>
      </w:r>
      <w:r>
        <w:rPr>
          <w:rFonts w:hint="eastAsia" w:ascii="宋体" w:hAnsi="宋体" w:eastAsia="宋体" w:cs="宋体"/>
          <w:color w:val="auto"/>
          <w:sz w:val="28"/>
          <w:szCs w:val="28"/>
          <w:highlight w:val="none"/>
        </w:rPr>
        <w:t>，确保保安员思想集中，保安业务精通；</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（9）管理人员每月对执勤情况进行检查，及时与项目方沟通执勤情况，确保安保工作安全顺利；</w:t>
      </w:r>
    </w:p>
    <w:p>
      <w:pPr>
        <w:spacing w:line="360" w:lineRule="auto"/>
        <w:ind w:firstLine="560" w:firstLineChars="200"/>
        <w:rPr>
          <w:rFonts w:hint="eastAsia" w:ascii="宋体" w:hAnsi="宋体" w:eastAsia="宋体" w:cs="宋体"/>
          <w:b/>
          <w:bCs/>
          <w:color w:val="auto"/>
          <w:sz w:val="28"/>
          <w:szCs w:val="28"/>
          <w:highlight w:val="none"/>
        </w:rPr>
      </w:pPr>
      <w:r>
        <w:rPr>
          <w:rFonts w:hint="eastAsia" w:ascii="宋体" w:hAnsi="宋体" w:eastAsia="宋体" w:cs="宋体"/>
          <w:color w:val="auto"/>
          <w:sz w:val="28"/>
          <w:szCs w:val="28"/>
          <w:highlight w:val="none"/>
        </w:rPr>
        <w:t>（10）项目方有权要求中标供应商更换所派驻的人员（包括保安班长）。</w:t>
      </w:r>
      <w:r>
        <w:rPr>
          <w:rFonts w:hint="eastAsia" w:ascii="宋体" w:hAnsi="宋体" w:eastAsia="宋体" w:cs="宋体"/>
          <w:b/>
          <w:bCs/>
          <w:color w:val="auto"/>
          <w:sz w:val="28"/>
          <w:szCs w:val="28"/>
          <w:highlight w:val="none"/>
        </w:rPr>
        <w:t>中标供应商不得随意更换本项目保安人员，如确有特殊原因需要更换，应事先征得项目方同意，并提前15个工作日提出满足要求或更优的人员资料报项目方批准，经同意后方可更换派驻人员。</w:t>
      </w:r>
    </w:p>
    <w:p>
      <w:pPr>
        <w:spacing w:line="360" w:lineRule="auto"/>
        <w:ind w:firstLine="560" w:firstLineChars="200"/>
        <w:rPr>
          <w:rFonts w:hint="eastAsia" w:ascii="宋体" w:hAnsi="宋体" w:eastAsia="宋体" w:cs="宋体"/>
          <w:b/>
          <w:bCs/>
          <w:color w:val="auto"/>
          <w:sz w:val="28"/>
          <w:szCs w:val="28"/>
          <w:highlight w:val="none"/>
        </w:rPr>
      </w:pPr>
      <w:r>
        <w:rPr>
          <w:rFonts w:hint="eastAsia" w:ascii="宋体" w:hAnsi="宋体" w:eastAsia="宋体" w:cs="宋体"/>
          <w:color w:val="auto"/>
          <w:sz w:val="28"/>
          <w:szCs w:val="28"/>
          <w:highlight w:val="none"/>
        </w:rPr>
        <w:t>（11）</w:t>
      </w:r>
      <w:r>
        <w:rPr>
          <w:rFonts w:hint="eastAsia" w:ascii="宋体" w:hAnsi="宋体" w:eastAsia="宋体" w:cs="宋体"/>
          <w:b/>
          <w:bCs/>
          <w:color w:val="auto"/>
          <w:sz w:val="28"/>
          <w:szCs w:val="28"/>
          <w:highlight w:val="none"/>
        </w:rPr>
        <w:t>中标供应商有以下情形视为缺岗：①若中标供应商更换的人员不满足招标方要求的，视为缺岗；②若中标供应商派驻人员于7天内离职的，视为缺岗；③未经甲方同意私自更换派驻人员的，视为缺岗。项目方有权按实际缺岗数扣除当月服务费。岗位缺员，项目方有权另行临时聘员或工作外协，所发生的费用由中标供应商承担。项目方有权要求更换工作态度不好、工作能力差的保安员，中标供应商应无条件服从。</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投标人应根据本项目的特点提供切实可行的完整的保安体系管理方案（包括人员配置方案（含专业队伍人数证明）、配置说明、配合方式、保安服务工作流程及工作内容等）、服务质量控制措施、保安服务预期效果、服务保障措施、人员配备情况、人员招聘计划、人员培训计划、确保人员相对稳定的措施。</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rPr>
        <w:t>）中标供应商不按合同约定工作，不符合招标方要求，项目方有权提出异议直至终止合同。</w:t>
      </w:r>
    </w:p>
    <w:p>
      <w:pPr>
        <w:spacing w:line="360" w:lineRule="auto"/>
        <w:ind w:firstLine="562" w:firstLineChars="200"/>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val="en-US" w:eastAsia="zh-CN"/>
        </w:rPr>
        <w:t>以上（1）至（13）的各项要求，</w:t>
      </w:r>
      <w:r>
        <w:rPr>
          <w:rFonts w:hint="eastAsia" w:ascii="宋体" w:hAnsi="宋体" w:eastAsia="宋体" w:cs="宋体"/>
          <w:b/>
          <w:bCs/>
          <w:color w:val="auto"/>
          <w:sz w:val="28"/>
          <w:szCs w:val="28"/>
          <w:highlight w:val="none"/>
        </w:rPr>
        <w:t>中标供应商必须</w:t>
      </w:r>
      <w:r>
        <w:rPr>
          <w:rFonts w:hint="eastAsia" w:ascii="宋体" w:hAnsi="宋体" w:cs="宋体"/>
          <w:b/>
          <w:bCs/>
          <w:color w:val="auto"/>
          <w:sz w:val="28"/>
          <w:szCs w:val="28"/>
          <w:highlight w:val="none"/>
          <w:lang w:val="en-US" w:eastAsia="zh-CN"/>
        </w:rPr>
        <w:t>在售后承诺书中逐条</w:t>
      </w:r>
      <w:r>
        <w:rPr>
          <w:rFonts w:hint="eastAsia" w:ascii="宋体" w:hAnsi="宋体" w:eastAsia="宋体" w:cs="宋体"/>
          <w:b/>
          <w:bCs/>
          <w:color w:val="auto"/>
          <w:sz w:val="28"/>
          <w:szCs w:val="28"/>
          <w:highlight w:val="none"/>
        </w:rPr>
        <w:t>做出</w:t>
      </w:r>
      <w:r>
        <w:rPr>
          <w:rFonts w:hint="eastAsia" w:ascii="宋体" w:hAnsi="宋体" w:cs="宋体"/>
          <w:b/>
          <w:bCs/>
          <w:color w:val="auto"/>
          <w:sz w:val="28"/>
          <w:szCs w:val="28"/>
          <w:highlight w:val="none"/>
          <w:lang w:val="en-US" w:eastAsia="zh-CN"/>
        </w:rPr>
        <w:t>明确</w:t>
      </w:r>
      <w:r>
        <w:rPr>
          <w:rFonts w:hint="eastAsia" w:ascii="宋体" w:hAnsi="宋体" w:eastAsia="宋体" w:cs="宋体"/>
          <w:b/>
          <w:bCs/>
          <w:color w:val="auto"/>
          <w:sz w:val="28"/>
          <w:szCs w:val="28"/>
          <w:highlight w:val="none"/>
        </w:rPr>
        <w:t>承诺</w:t>
      </w:r>
      <w:r>
        <w:rPr>
          <w:rFonts w:hint="eastAsia" w:ascii="宋体" w:hAnsi="宋体" w:cs="宋体"/>
          <w:b/>
          <w:bCs/>
          <w:color w:val="auto"/>
          <w:sz w:val="28"/>
          <w:szCs w:val="28"/>
          <w:highlight w:val="none"/>
          <w:lang w:eastAsia="zh-CN"/>
        </w:rPr>
        <w:t>，</w:t>
      </w:r>
      <w:r>
        <w:rPr>
          <w:rFonts w:hint="eastAsia" w:ascii="宋体" w:hAnsi="宋体" w:cs="宋体"/>
          <w:b/>
          <w:bCs/>
          <w:color w:val="auto"/>
          <w:sz w:val="28"/>
          <w:szCs w:val="28"/>
          <w:highlight w:val="none"/>
          <w:lang w:val="en-US" w:eastAsia="zh-CN"/>
        </w:rPr>
        <w:t>否则视为废标</w:t>
      </w:r>
      <w:r>
        <w:rPr>
          <w:rFonts w:hint="eastAsia" w:ascii="宋体" w:hAnsi="宋体" w:eastAsia="宋体" w:cs="宋体"/>
          <w:b/>
          <w:bCs/>
          <w:color w:val="auto"/>
          <w:sz w:val="28"/>
          <w:szCs w:val="28"/>
          <w:highlight w:val="none"/>
        </w:rPr>
        <w:t>）</w:t>
      </w:r>
    </w:p>
    <w:p>
      <w:pPr>
        <w:spacing w:line="360" w:lineRule="auto"/>
        <w:ind w:firstLine="0" w:firstLineChars="0"/>
        <w:rPr>
          <w:rFonts w:hint="eastAsia" w:ascii="宋体" w:hAnsi="宋体" w:eastAsia="宋体" w:cs="宋体"/>
          <w:color w:val="auto"/>
          <w:sz w:val="28"/>
          <w:szCs w:val="28"/>
          <w:highlight w:val="none"/>
        </w:rPr>
      </w:pPr>
    </w:p>
    <w:p>
      <w:pPr>
        <w:spacing w:line="360" w:lineRule="auto"/>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四、进场计划</w:t>
      </w:r>
    </w:p>
    <w:tbl>
      <w:tblPr>
        <w:tblStyle w:val="19"/>
        <w:tblW w:w="83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98"/>
        <w:gridCol w:w="54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8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计划进场时间</w:t>
            </w:r>
          </w:p>
        </w:tc>
        <w:tc>
          <w:tcPr>
            <w:tcW w:w="547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计划事件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2" w:hRule="exact"/>
          <w:jc w:val="center"/>
        </w:trPr>
        <w:tc>
          <w:tcPr>
            <w:tcW w:w="28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202</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t>年</w:t>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t>月1日</w:t>
            </w:r>
          </w:p>
        </w:tc>
        <w:tc>
          <w:tcPr>
            <w:tcW w:w="5472" w:type="dxa"/>
            <w:tcBorders>
              <w:top w:val="single" w:color="000000" w:sz="4" w:space="0"/>
              <w:left w:val="single" w:color="000000" w:sz="4" w:space="0"/>
              <w:bottom w:val="single" w:color="000000" w:sz="4" w:space="0"/>
              <w:right w:val="single" w:color="000000" w:sz="4" w:space="0"/>
            </w:tcBorders>
            <w:vAlign w:val="center"/>
          </w:tcPr>
          <w:p>
            <w:pPr>
              <w:numPr>
                <w:ilvl w:val="0"/>
                <w:numId w:val="3"/>
              </w:numPr>
              <w:spacing w:line="360" w:lineRule="auto"/>
              <w:rPr>
                <w:rFonts w:hint="eastAsia" w:ascii="宋体" w:hAnsi="宋体" w:cs="宋体"/>
                <w:b/>
                <w:bCs/>
                <w:color w:val="auto"/>
                <w:sz w:val="28"/>
                <w:szCs w:val="28"/>
                <w:highlight w:val="none"/>
                <w:lang w:eastAsia="zh-CN"/>
              </w:rPr>
            </w:pPr>
            <w:r>
              <w:rPr>
                <w:rFonts w:hint="eastAsia" w:ascii="宋体" w:hAnsi="宋体" w:eastAsia="宋体" w:cs="宋体"/>
                <w:b/>
                <w:bCs/>
                <w:color w:val="auto"/>
                <w:sz w:val="28"/>
                <w:szCs w:val="28"/>
                <w:highlight w:val="none"/>
              </w:rPr>
              <w:t>以项目方实际通知人员进场时间为准</w:t>
            </w:r>
            <w:r>
              <w:rPr>
                <w:rFonts w:hint="eastAsia" w:ascii="宋体" w:hAnsi="宋体" w:cs="宋体"/>
                <w:b/>
                <w:bCs/>
                <w:color w:val="auto"/>
                <w:sz w:val="28"/>
                <w:szCs w:val="28"/>
                <w:highlight w:val="none"/>
                <w:lang w:eastAsia="zh-CN"/>
              </w:rPr>
              <w:t>。</w:t>
            </w:r>
          </w:p>
          <w:p>
            <w:pPr>
              <w:numPr>
                <w:ilvl w:val="0"/>
                <w:numId w:val="0"/>
              </w:numPr>
              <w:spacing w:line="360" w:lineRule="auto"/>
              <w:rPr>
                <w:rFonts w:hint="default" w:ascii="宋体" w:hAnsi="宋体" w:eastAsia="宋体" w:cs="宋体"/>
                <w:color w:val="auto"/>
                <w:sz w:val="28"/>
                <w:szCs w:val="28"/>
                <w:highlight w:val="none"/>
                <w:lang w:val="en-US" w:eastAsia="zh-CN"/>
              </w:rPr>
            </w:pPr>
            <w:r>
              <w:rPr>
                <w:rFonts w:hint="eastAsia" w:ascii="宋体" w:hAnsi="宋体" w:cs="宋体"/>
                <w:b/>
                <w:bCs/>
                <w:color w:val="auto"/>
                <w:sz w:val="28"/>
                <w:szCs w:val="28"/>
                <w:highlight w:val="none"/>
                <w:lang w:val="en-US" w:eastAsia="zh-CN"/>
              </w:rPr>
              <w:t>2、中标单位，需配合甲方，于进场前5天，配置14名保安接管项目，进行关门管理，共计5天*14人*12小时。该项费用由中标方自行承担（在售后承诺书中明确列示）。</w:t>
            </w:r>
          </w:p>
        </w:tc>
      </w:tr>
    </w:tbl>
    <w:p>
      <w:pPr>
        <w:spacing w:before="120" w:beforeLines="50" w:line="360" w:lineRule="auto"/>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五、服务期限</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以项目方通知安排进场时间为准，需在15天内完成进场工作。</w:t>
      </w:r>
      <w:bookmarkStart w:id="440" w:name="_Toc18955"/>
      <w:bookmarkStart w:id="441" w:name="_Toc19250"/>
    </w:p>
    <w:p>
      <w:pPr>
        <w:spacing w:line="360" w:lineRule="auto"/>
        <w:ind w:firstLine="560" w:firstLineChars="200"/>
        <w:rPr>
          <w:rFonts w:hint="default"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rPr>
        <w:t>注：若有疑问或需前往踏勘，请与</w:t>
      </w:r>
      <w:r>
        <w:rPr>
          <w:rFonts w:hint="eastAsia" w:ascii="宋体" w:hAnsi="宋体" w:cs="宋体"/>
          <w:color w:val="auto"/>
          <w:sz w:val="28"/>
          <w:szCs w:val="28"/>
          <w:highlight w:val="none"/>
          <w:u w:val="single"/>
          <w:lang w:val="en-US" w:eastAsia="zh-CN"/>
        </w:rPr>
        <w:t>潘雨亭</w:t>
      </w:r>
      <w:r>
        <w:rPr>
          <w:rFonts w:hint="eastAsia" w:ascii="宋体" w:hAnsi="宋体" w:eastAsia="宋体" w:cs="宋体"/>
          <w:color w:val="auto"/>
          <w:sz w:val="28"/>
          <w:szCs w:val="28"/>
          <w:highlight w:val="none"/>
        </w:rPr>
        <w:t>联系，联系方式：</w:t>
      </w:r>
      <w:r>
        <w:rPr>
          <w:rFonts w:hint="eastAsia" w:ascii="宋体" w:hAnsi="宋体" w:cs="宋体"/>
          <w:color w:val="auto"/>
          <w:sz w:val="28"/>
          <w:szCs w:val="28"/>
          <w:highlight w:val="none"/>
          <w:u w:val="single"/>
          <w:lang w:val="en-US" w:eastAsia="zh-CN"/>
        </w:rPr>
        <w:t>15900660530</w:t>
      </w:r>
    </w:p>
    <w:p>
      <w:pPr>
        <w:spacing w:line="360" w:lineRule="auto"/>
        <w:ind w:firstLine="560" w:firstLineChars="200"/>
        <w:rPr>
          <w:rFonts w:hint="eastAsia" w:ascii="宋体" w:hAnsi="宋体" w:eastAsia="宋体" w:cs="宋体"/>
          <w:color w:val="auto"/>
          <w:sz w:val="28"/>
          <w:szCs w:val="28"/>
          <w:highlight w:val="none"/>
        </w:rPr>
      </w:pPr>
    </w:p>
    <w:p>
      <w:pPr>
        <w:pStyle w:val="3"/>
        <w:keepNext w:val="0"/>
        <w:keepLines w:val="0"/>
        <w:spacing w:before="0" w:after="0" w:line="360" w:lineRule="auto"/>
        <w:ind w:firstLine="314"/>
        <w:jc w:val="left"/>
        <w:rPr>
          <w:rFonts w:hint="eastAsia" w:ascii="宋体" w:hAnsi="宋体" w:eastAsia="宋体" w:cs="宋体"/>
          <w:color w:val="auto"/>
          <w:sz w:val="28"/>
          <w:szCs w:val="28"/>
          <w:highlight w:val="none"/>
        </w:rPr>
      </w:pPr>
      <w:bookmarkStart w:id="442" w:name="_Toc15071"/>
      <w:bookmarkStart w:id="443" w:name="_Toc23404"/>
      <w:bookmarkStart w:id="444" w:name="_Toc26620"/>
      <w:bookmarkStart w:id="445" w:name="_Toc19488"/>
      <w:bookmarkStart w:id="446" w:name="_Toc31431"/>
      <w:bookmarkStart w:id="447" w:name="_Toc3369"/>
      <w:bookmarkStart w:id="448" w:name="_Toc9470"/>
      <w:bookmarkStart w:id="449" w:name="_Toc13525"/>
      <w:r>
        <w:rPr>
          <w:rFonts w:hint="eastAsia" w:ascii="宋体" w:hAnsi="宋体" w:eastAsia="宋体" w:cs="宋体"/>
          <w:color w:val="auto"/>
          <w:sz w:val="28"/>
          <w:szCs w:val="28"/>
          <w:highlight w:val="none"/>
        </w:rPr>
        <w:t>第二节 商务技术响应要求</w:t>
      </w:r>
      <w:bookmarkEnd w:id="440"/>
      <w:bookmarkEnd w:id="441"/>
      <w:bookmarkEnd w:id="442"/>
      <w:bookmarkEnd w:id="443"/>
      <w:bookmarkEnd w:id="444"/>
      <w:bookmarkEnd w:id="445"/>
      <w:bookmarkEnd w:id="446"/>
      <w:bookmarkEnd w:id="447"/>
      <w:bookmarkEnd w:id="448"/>
      <w:bookmarkEnd w:id="449"/>
    </w:p>
    <w:p>
      <w:pPr>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一、商务要求</w:t>
      </w:r>
    </w:p>
    <w:p>
      <w:pPr>
        <w:widowControl/>
        <w:adjustRightInd w:val="0"/>
        <w:snapToGrid w:val="0"/>
        <w:spacing w:before="60" w:beforeLines="25" w:after="60" w:afterLines="25"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★1、投标人应具备独立的法人资格，提供法人营业执照（副本）复印件（加盖投标人公章）。</w:t>
      </w:r>
    </w:p>
    <w:p>
      <w:pPr>
        <w:widowControl/>
        <w:adjustRightInd w:val="0"/>
        <w:snapToGrid w:val="0"/>
        <w:spacing w:before="60" w:beforeLines="25" w:after="60" w:afterLines="25"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2、投标人授权代表若不是企业法定代表人，应提供法人授权书原件，并提供被授权代表身份证复印件。</w:t>
      </w:r>
    </w:p>
    <w:p>
      <w:pPr>
        <w:widowControl/>
        <w:adjustRightInd w:val="0"/>
        <w:snapToGrid w:val="0"/>
        <w:spacing w:before="60" w:beforeLines="25" w:after="60" w:afterLines="25"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3、投标人必须提供自2020年</w:t>
      </w:r>
      <w:r>
        <w:rPr>
          <w:rFonts w:hint="eastAsia" w:ascii="宋体" w:hAnsi="宋体" w:cs="宋体"/>
          <w:color w:val="auto"/>
          <w:sz w:val="28"/>
          <w:szCs w:val="28"/>
          <w:highlight w:val="none"/>
          <w:lang w:val="en-US" w:eastAsia="zh-CN"/>
        </w:rPr>
        <w:t>1月1日起</w:t>
      </w:r>
      <w:r>
        <w:rPr>
          <w:rFonts w:hint="eastAsia" w:ascii="宋体" w:hAnsi="宋体" w:eastAsia="宋体" w:cs="宋体"/>
          <w:color w:val="auto"/>
          <w:sz w:val="28"/>
          <w:szCs w:val="28"/>
          <w:highlight w:val="none"/>
        </w:rPr>
        <w:t>至今</w:t>
      </w:r>
      <w:r>
        <w:rPr>
          <w:rFonts w:hint="eastAsia" w:ascii="宋体" w:hAnsi="宋体" w:eastAsia="宋体" w:cs="宋体"/>
          <w:b/>
          <w:bCs/>
          <w:color w:val="auto"/>
          <w:sz w:val="28"/>
          <w:szCs w:val="28"/>
          <w:highlight w:val="none"/>
        </w:rPr>
        <w:t>（以合同签约时间为准）</w:t>
      </w:r>
      <w:r>
        <w:rPr>
          <w:rFonts w:hint="eastAsia" w:ascii="宋体" w:hAnsi="宋体" w:eastAsia="宋体" w:cs="宋体"/>
          <w:color w:val="auto"/>
          <w:sz w:val="28"/>
          <w:szCs w:val="28"/>
          <w:highlight w:val="none"/>
        </w:rPr>
        <w:t>至少</w:t>
      </w:r>
      <w:r>
        <w:rPr>
          <w:rFonts w:hint="eastAsia" w:ascii="宋体" w:hAnsi="宋体" w:cs="宋体"/>
          <w:color w:val="auto"/>
          <w:sz w:val="28"/>
          <w:szCs w:val="28"/>
          <w:highlight w:val="none"/>
          <w:lang w:val="en-US" w:eastAsia="zh-CN"/>
        </w:rPr>
        <w:t>一例上海市</w:t>
      </w:r>
      <w:r>
        <w:rPr>
          <w:rFonts w:hint="eastAsia" w:ascii="宋体" w:hAnsi="宋体" w:eastAsia="宋体" w:cs="宋体"/>
          <w:color w:val="auto"/>
          <w:sz w:val="28"/>
          <w:szCs w:val="28"/>
          <w:highlight w:val="none"/>
        </w:rPr>
        <w:t>住宅物业项目的安保服务</w:t>
      </w:r>
      <w:r>
        <w:rPr>
          <w:rFonts w:hint="eastAsia" w:ascii="宋体" w:hAnsi="宋体" w:cs="宋体"/>
          <w:color w:val="auto"/>
          <w:sz w:val="28"/>
          <w:szCs w:val="28"/>
          <w:highlight w:val="none"/>
          <w:lang w:val="en-US" w:eastAsia="zh-CN"/>
        </w:rPr>
        <w:t>业绩证明</w:t>
      </w:r>
      <w:r>
        <w:rPr>
          <w:rFonts w:hint="eastAsia" w:ascii="宋体" w:hAnsi="宋体" w:eastAsia="宋体" w:cs="宋体"/>
          <w:color w:val="auto"/>
          <w:sz w:val="28"/>
          <w:szCs w:val="28"/>
          <w:highlight w:val="none"/>
        </w:rPr>
        <w:t>（需提供合同复印件，原件备查）。</w:t>
      </w:r>
    </w:p>
    <w:p>
      <w:pPr>
        <w:widowControl/>
        <w:adjustRightInd w:val="0"/>
        <w:snapToGrid w:val="0"/>
        <w:spacing w:before="60" w:beforeLines="25" w:after="60" w:afterLines="25" w:line="360" w:lineRule="auto"/>
        <w:ind w:firstLine="560" w:firstLineChars="200"/>
        <w:rPr>
          <w:rFonts w:hint="eastAsia" w:ascii="宋体" w:hAnsi="宋体" w:eastAsia="宋体" w:cs="宋体"/>
          <w:color w:val="auto"/>
          <w:sz w:val="28"/>
          <w:szCs w:val="28"/>
          <w:highlight w:val="none"/>
        </w:rPr>
      </w:pPr>
    </w:p>
    <w:p>
      <w:pPr>
        <w:widowControl/>
        <w:adjustRightInd w:val="0"/>
        <w:snapToGrid w:val="0"/>
        <w:spacing w:before="60" w:beforeLines="25" w:after="60" w:afterLines="25"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4、投标人拟投入使用安保相关管理信息系统的，需提供该系统软件著作权登记证书复印件。</w:t>
      </w:r>
    </w:p>
    <w:p>
      <w:pPr>
        <w:widowControl/>
        <w:adjustRightInd w:val="0"/>
        <w:snapToGrid w:val="0"/>
        <w:spacing w:before="60" w:beforeLines="25" w:after="60" w:afterLines="25" w:line="360" w:lineRule="auto"/>
        <w:ind w:firstLine="560" w:firstLineChars="200"/>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t>投标单位</w:t>
      </w:r>
      <w:r>
        <w:rPr>
          <w:rFonts w:hint="eastAsia" w:ascii="宋体" w:hAnsi="宋体" w:eastAsia="宋体" w:cs="宋体"/>
          <w:color w:val="auto"/>
          <w:sz w:val="28"/>
          <w:szCs w:val="28"/>
          <w:highlight w:val="none"/>
          <w:lang w:val="en-US" w:eastAsia="zh-CN"/>
        </w:rPr>
        <w:t>注册资本不低于2000万元</w:t>
      </w:r>
      <w:r>
        <w:rPr>
          <w:rFonts w:hint="eastAsia" w:ascii="宋体" w:hAnsi="宋体" w:cs="宋体"/>
          <w:color w:val="auto"/>
          <w:sz w:val="28"/>
          <w:szCs w:val="28"/>
          <w:highlight w:val="none"/>
          <w:lang w:val="en-US" w:eastAsia="zh-CN"/>
        </w:rPr>
        <w:t>。</w:t>
      </w:r>
    </w:p>
    <w:p>
      <w:pPr>
        <w:widowControl/>
        <w:adjustRightInd w:val="0"/>
        <w:snapToGrid w:val="0"/>
        <w:spacing w:before="60" w:beforeLines="25" w:after="60" w:afterLines="25" w:line="360" w:lineRule="auto"/>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二、技术要求</w:t>
      </w:r>
    </w:p>
    <w:p>
      <w:pPr>
        <w:widowControl/>
        <w:adjustRightInd w:val="0"/>
        <w:snapToGrid w:val="0"/>
        <w:spacing w:before="60" w:beforeLines="25" w:after="60" w:afterLines="25"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1、投标人提供的服务方案必须满足招标人的实际需求，招标人不再支付因投标人方案不完整而引起的费用。</w:t>
      </w:r>
    </w:p>
    <w:p>
      <w:pPr>
        <w:widowControl/>
        <w:adjustRightInd w:val="0"/>
        <w:snapToGrid w:val="0"/>
        <w:spacing w:before="60" w:beforeLines="25" w:after="60" w:afterLines="25"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2、投标人应根据本项目的特点，提供切实可行的工作计划，并承诺其工作计划将根据招标人的实际需要进行完善和补充，在工作内容不改变的情况下不得追加任何费用，投标人在投标文件中应做出书面承诺。</w:t>
      </w:r>
    </w:p>
    <w:p>
      <w:pPr>
        <w:widowControl/>
        <w:adjustRightInd w:val="0"/>
        <w:snapToGrid w:val="0"/>
        <w:spacing w:before="60" w:beforeLines="25" w:after="60" w:afterLines="25" w:line="360" w:lineRule="auto"/>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若中标后未履行相关承诺，招标人有权扣除投标保证金和</w:t>
      </w:r>
      <w:r>
        <w:rPr>
          <w:rFonts w:hint="eastAsia" w:ascii="宋体" w:hAnsi="宋体" w:cs="宋体"/>
          <w:b/>
          <w:color w:val="auto"/>
          <w:sz w:val="28"/>
          <w:szCs w:val="28"/>
          <w:highlight w:val="none"/>
          <w:lang w:val="en-US" w:eastAsia="zh-CN"/>
        </w:rPr>
        <w:t>履约保证金或</w:t>
      </w:r>
      <w:r>
        <w:rPr>
          <w:rFonts w:hint="eastAsia" w:ascii="宋体" w:hAnsi="宋体" w:eastAsia="宋体" w:cs="宋体"/>
          <w:b/>
          <w:color w:val="auto"/>
          <w:sz w:val="28"/>
          <w:szCs w:val="28"/>
          <w:highlight w:val="none"/>
        </w:rPr>
        <w:t>其他款项。</w:t>
      </w:r>
    </w:p>
    <w:p>
      <w:pPr>
        <w:widowControl/>
        <w:adjustRightInd w:val="0"/>
        <w:snapToGrid w:val="0"/>
        <w:spacing w:before="60" w:beforeLines="25" w:after="60" w:afterLines="25"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3、投标人须提交《作业安全承诺书》并加盖公章。</w:t>
      </w:r>
    </w:p>
    <w:p>
      <w:pPr>
        <w:widowControl/>
        <w:adjustRightInd w:val="0"/>
        <w:snapToGrid w:val="0"/>
        <w:spacing w:before="60" w:beforeLines="25" w:after="60" w:afterLines="25"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4、严格执行服务承诺。</w:t>
      </w:r>
    </w:p>
    <w:p>
      <w:pPr>
        <w:widowControl/>
        <w:adjustRightInd w:val="0"/>
        <w:snapToGrid w:val="0"/>
        <w:spacing w:before="60" w:beforeLines="25" w:after="60" w:afterLines="25"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5、中标人应严格依据投标文件所作承诺履行职责，如有违约，招标人有权根据协议、合同采取措施追究违约方的违约责任。</w:t>
      </w:r>
    </w:p>
    <w:p>
      <w:pPr>
        <w:widowControl/>
        <w:adjustRightInd w:val="0"/>
        <w:snapToGrid w:val="0"/>
        <w:spacing w:before="60" w:beforeLines="25" w:after="60" w:afterLines="25"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6、中标人应当按照合同约定履行义务，不得将本项目（转包）给他人，一经发现，招标人有权立即终止合同，并追究中标人的违约责任和要求赔偿。</w:t>
      </w:r>
    </w:p>
    <w:p>
      <w:pPr>
        <w:pStyle w:val="3"/>
        <w:keepNext w:val="0"/>
        <w:keepLines w:val="0"/>
        <w:spacing w:before="0" w:after="0" w:line="360" w:lineRule="auto"/>
        <w:ind w:firstLine="314"/>
        <w:jc w:val="left"/>
        <w:rPr>
          <w:rFonts w:hint="eastAsia" w:ascii="宋体" w:hAnsi="宋体" w:eastAsia="宋体" w:cs="宋体"/>
          <w:color w:val="auto"/>
          <w:sz w:val="28"/>
          <w:szCs w:val="28"/>
          <w:highlight w:val="none"/>
        </w:rPr>
      </w:pPr>
      <w:bookmarkStart w:id="450" w:name="_Toc23072"/>
      <w:bookmarkStart w:id="451" w:name="_Toc32751"/>
      <w:bookmarkStart w:id="452" w:name="_Toc12898"/>
      <w:bookmarkStart w:id="453" w:name="_Toc3674"/>
      <w:bookmarkStart w:id="454" w:name="_Toc19900"/>
      <w:bookmarkStart w:id="455" w:name="_Toc23619"/>
      <w:bookmarkStart w:id="456" w:name="_Toc12512"/>
      <w:bookmarkStart w:id="457" w:name="_Toc27882"/>
      <w:bookmarkStart w:id="458" w:name="_Toc468718876"/>
      <w:bookmarkStart w:id="459" w:name="_Toc21771"/>
    </w:p>
    <w:p>
      <w:pPr>
        <w:pStyle w:val="3"/>
        <w:keepNext w:val="0"/>
        <w:keepLines w:val="0"/>
        <w:spacing w:before="0" w:after="0" w:line="360" w:lineRule="auto"/>
        <w:ind w:firstLine="314"/>
        <w:jc w:val="left"/>
        <w:rPr>
          <w:rFonts w:hint="eastAsia" w:ascii="宋体" w:hAnsi="宋体" w:eastAsia="宋体" w:cs="宋体"/>
          <w:color w:val="auto"/>
          <w:sz w:val="28"/>
          <w:szCs w:val="28"/>
          <w:highlight w:val="none"/>
        </w:rPr>
      </w:pPr>
      <w:bookmarkStart w:id="460" w:name="_Toc20603"/>
      <w:r>
        <w:rPr>
          <w:rFonts w:hint="eastAsia" w:ascii="宋体" w:hAnsi="宋体" w:eastAsia="宋体" w:cs="宋体"/>
          <w:color w:val="auto"/>
          <w:sz w:val="28"/>
          <w:szCs w:val="28"/>
          <w:highlight w:val="none"/>
        </w:rPr>
        <w:t>第三节 报价要求</w:t>
      </w:r>
      <w:bookmarkEnd w:id="450"/>
      <w:bookmarkEnd w:id="451"/>
      <w:bookmarkEnd w:id="452"/>
      <w:bookmarkEnd w:id="453"/>
      <w:bookmarkEnd w:id="454"/>
      <w:bookmarkEnd w:id="455"/>
      <w:bookmarkEnd w:id="456"/>
      <w:bookmarkEnd w:id="457"/>
      <w:bookmarkEnd w:id="458"/>
      <w:bookmarkEnd w:id="459"/>
      <w:bookmarkEnd w:id="460"/>
    </w:p>
    <w:p>
      <w:pPr>
        <w:widowControl/>
        <w:adjustRightInd w:val="0"/>
        <w:snapToGrid w:val="0"/>
        <w:spacing w:before="60" w:beforeLines="25" w:after="60" w:afterLines="25" w:line="360" w:lineRule="auto"/>
        <w:ind w:firstLine="560" w:firstLineChars="200"/>
        <w:rPr>
          <w:rFonts w:hint="eastAsia" w:ascii="宋体" w:hAnsi="宋体" w:eastAsia="宋体" w:cs="宋体"/>
          <w:color w:val="auto"/>
          <w:sz w:val="28"/>
          <w:szCs w:val="28"/>
          <w:highlight w:val="none"/>
        </w:rPr>
      </w:pPr>
      <w:bookmarkStart w:id="461" w:name="_Toc306290240"/>
      <w:bookmarkStart w:id="462" w:name="_Toc468718878"/>
      <w:r>
        <w:rPr>
          <w:rFonts w:hint="eastAsia" w:ascii="宋体" w:hAnsi="宋体" w:eastAsia="宋体" w:cs="宋体"/>
          <w:color w:val="auto"/>
          <w:sz w:val="28"/>
          <w:szCs w:val="28"/>
          <w:highlight w:val="none"/>
        </w:rPr>
        <w:t>1、报价以人民币为货币单位，应分单价、小计和总价。</w:t>
      </w:r>
    </w:p>
    <w:p>
      <w:pPr>
        <w:widowControl/>
        <w:adjustRightInd w:val="0"/>
        <w:snapToGrid w:val="0"/>
        <w:spacing w:before="60" w:beforeLines="25" w:after="60" w:afterLines="25"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投标报价应包含但不限于以下费用：服装费、工具费、耗材费、保险费、人工费、员工福利等，各投标人应依据招标文件要求，并充分考虑市场、原材料价格、人工成本上涨等风险，自行核算成本报价，各项目为整体采购，如有遗漏部分将不再进行增补。</w:t>
      </w:r>
    </w:p>
    <w:p>
      <w:pPr>
        <w:widowControl/>
        <w:adjustRightInd w:val="0"/>
        <w:snapToGrid w:val="0"/>
        <w:spacing w:before="60" w:beforeLines="25" w:after="60" w:afterLines="25"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3、投标人漏报的单价或每单价报价中漏报、少报的费用，视为此项费用已隐含在投标报价中，中标后不得再向招标人收取任何费用。</w:t>
      </w:r>
    </w:p>
    <w:p>
      <w:pPr>
        <w:widowControl/>
        <w:adjustRightInd w:val="0"/>
        <w:snapToGrid w:val="0"/>
        <w:spacing w:before="60" w:beforeLines="25" w:after="60" w:afterLines="25"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4、投标人对本项目只能有一个报价，招标人不接受有选择的报价。</w:t>
      </w:r>
    </w:p>
    <w:p>
      <w:pPr>
        <w:widowControl/>
        <w:adjustRightInd w:val="0"/>
        <w:snapToGrid w:val="0"/>
        <w:spacing w:before="60" w:beforeLines="25" w:after="60" w:afterLines="25"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5、中标人在提供服务的过程中，若出现安全事故，其责任及相应的赔偿均由中标人承担，招标人不承担所有责任及义务。</w:t>
      </w:r>
    </w:p>
    <w:p>
      <w:pPr>
        <w:spacing w:line="360" w:lineRule="auto"/>
        <w:ind w:firstLine="560" w:firstLineChars="200"/>
        <w:rPr>
          <w:rFonts w:hint="eastAsia" w:asciiTheme="majorEastAsia" w:hAnsiTheme="majorEastAsia" w:eastAsiaTheme="majorEastAsia" w:cstheme="majorEastAsia"/>
          <w:color w:val="auto"/>
          <w:highlight w:val="none"/>
        </w:rPr>
      </w:pPr>
      <w:r>
        <w:rPr>
          <w:rFonts w:hint="eastAsia" w:ascii="宋体" w:hAnsi="宋体" w:eastAsia="宋体" w:cs="宋体"/>
          <w:color w:val="auto"/>
          <w:sz w:val="28"/>
          <w:szCs w:val="28"/>
          <w:highlight w:val="none"/>
        </w:rPr>
        <w:t>6、</w:t>
      </w:r>
      <w:bookmarkEnd w:id="461"/>
      <w:bookmarkEnd w:id="462"/>
      <w:r>
        <w:rPr>
          <w:rFonts w:hint="eastAsia" w:ascii="宋体" w:hAnsi="宋体" w:eastAsia="宋体" w:cs="宋体"/>
          <w:color w:val="auto"/>
          <w:sz w:val="28"/>
          <w:szCs w:val="28"/>
          <w:highlight w:val="none"/>
        </w:rPr>
        <w:t>履约保证金：中标人须向招标人缴交履约保证金，履约保证金在双方合同终止、交接清楚、质保期结束和债权债务等关系理顺后30日历天内无息返还。</w:t>
      </w:r>
      <w:bookmarkEnd w:id="8"/>
      <w:r>
        <w:rPr>
          <w:rFonts w:hint="eastAsia" w:asciiTheme="majorEastAsia" w:hAnsiTheme="majorEastAsia" w:eastAsiaTheme="majorEastAsia" w:cstheme="majorEastAsia"/>
          <w:color w:val="auto"/>
          <w:highlight w:val="none"/>
        </w:rPr>
        <w:br w:type="page"/>
      </w:r>
    </w:p>
    <w:p>
      <w:pPr>
        <w:pStyle w:val="2"/>
        <w:keepNext w:val="0"/>
        <w:keepLines w:val="0"/>
        <w:spacing w:before="0" w:after="0" w:line="360" w:lineRule="auto"/>
        <w:ind w:firstLine="314"/>
        <w:jc w:val="center"/>
        <w:rPr>
          <w:rFonts w:hint="eastAsia" w:asciiTheme="majorEastAsia" w:hAnsiTheme="majorEastAsia" w:eastAsiaTheme="majorEastAsia" w:cstheme="majorEastAsia"/>
          <w:color w:val="auto"/>
          <w:highlight w:val="none"/>
        </w:rPr>
      </w:pPr>
      <w:bookmarkStart w:id="463" w:name="_Toc27395"/>
      <w:bookmarkStart w:id="464" w:name="_Toc2439"/>
      <w:bookmarkStart w:id="465" w:name="_Toc31393"/>
      <w:bookmarkStart w:id="466" w:name="_Toc82"/>
      <w:bookmarkStart w:id="467" w:name="_Toc27819"/>
      <w:bookmarkStart w:id="468" w:name="_Toc5655"/>
      <w:bookmarkStart w:id="469" w:name="_Toc9629"/>
      <w:bookmarkStart w:id="470" w:name="_Toc28738"/>
      <w:bookmarkStart w:id="471" w:name="_Toc5790"/>
      <w:bookmarkStart w:id="472" w:name="_Toc13390"/>
      <w:r>
        <w:rPr>
          <w:rFonts w:hint="eastAsia" w:asciiTheme="majorEastAsia" w:hAnsiTheme="majorEastAsia" w:eastAsiaTheme="majorEastAsia" w:cstheme="majorEastAsia"/>
          <w:color w:val="auto"/>
          <w:highlight w:val="none"/>
        </w:rPr>
        <w:t>第四章  投标文件格式</w:t>
      </w:r>
      <w:bookmarkEnd w:id="463"/>
      <w:bookmarkEnd w:id="464"/>
      <w:bookmarkEnd w:id="465"/>
      <w:bookmarkEnd w:id="466"/>
      <w:bookmarkEnd w:id="467"/>
      <w:bookmarkEnd w:id="468"/>
      <w:bookmarkEnd w:id="469"/>
      <w:bookmarkEnd w:id="470"/>
      <w:bookmarkEnd w:id="471"/>
      <w:bookmarkEnd w:id="472"/>
    </w:p>
    <w:p>
      <w:pPr>
        <w:spacing w:line="360" w:lineRule="auto"/>
        <w:rPr>
          <w:rFonts w:hint="eastAsia" w:asciiTheme="majorEastAsia" w:hAnsiTheme="majorEastAsia" w:eastAsiaTheme="majorEastAsia" w:cstheme="majorEastAsia"/>
          <w:color w:val="auto"/>
          <w:highlight w:val="none"/>
        </w:rPr>
      </w:pPr>
    </w:p>
    <w:p>
      <w:pPr>
        <w:spacing w:line="360" w:lineRule="auto"/>
        <w:ind w:firstLine="275"/>
        <w:jc w:val="center"/>
        <w:rPr>
          <w:rFonts w:hint="eastAsia"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b/>
          <w:color w:val="auto"/>
          <w:sz w:val="28"/>
          <w:szCs w:val="28"/>
          <w:highlight w:val="none"/>
        </w:rPr>
        <w:t>（本章格式文件可供参考，投标人可根据项目实际需求进行编制）</w:t>
      </w:r>
    </w:p>
    <w:p>
      <w:pPr>
        <w:pStyle w:val="29"/>
        <w:spacing w:line="360" w:lineRule="auto"/>
        <w:rPr>
          <w:rFonts w:hint="eastAsia" w:asciiTheme="majorEastAsia" w:hAnsiTheme="majorEastAsia" w:eastAsiaTheme="majorEastAsia" w:cstheme="majorEastAsia"/>
          <w:color w:val="auto"/>
          <w:highlight w:val="none"/>
        </w:rPr>
      </w:pPr>
    </w:p>
    <w:p>
      <w:pPr>
        <w:pStyle w:val="29"/>
        <w:spacing w:line="360" w:lineRule="auto"/>
        <w:jc w:val="center"/>
        <w:rPr>
          <w:rFonts w:hint="eastAsia" w:asciiTheme="majorEastAsia" w:hAnsiTheme="majorEastAsia" w:eastAsiaTheme="majorEastAsia" w:cstheme="majorEastAsia"/>
          <w:color w:val="auto"/>
          <w:sz w:val="32"/>
          <w:szCs w:val="32"/>
          <w:highlight w:val="none"/>
        </w:rPr>
      </w:pPr>
      <w:r>
        <w:rPr>
          <w:rFonts w:hint="eastAsia" w:asciiTheme="majorEastAsia" w:hAnsiTheme="majorEastAsia" w:eastAsiaTheme="majorEastAsia" w:cstheme="majorEastAsia"/>
          <w:color w:val="auto"/>
          <w:sz w:val="32"/>
          <w:szCs w:val="32"/>
          <w:highlight w:val="none"/>
        </w:rPr>
        <w:t>（ 封面）</w:t>
      </w:r>
    </w:p>
    <w:p>
      <w:pPr>
        <w:spacing w:line="360" w:lineRule="auto"/>
        <w:ind w:firstLine="706"/>
        <w:jc w:val="center"/>
        <w:rPr>
          <w:rFonts w:hint="eastAsia" w:asciiTheme="majorEastAsia" w:hAnsiTheme="majorEastAsia" w:eastAsiaTheme="majorEastAsia" w:cstheme="majorEastAsia"/>
          <w:b/>
          <w:color w:val="auto"/>
          <w:sz w:val="72"/>
          <w:highlight w:val="none"/>
        </w:rPr>
      </w:pPr>
    </w:p>
    <w:p>
      <w:pPr>
        <w:spacing w:line="360" w:lineRule="auto"/>
        <w:ind w:firstLine="708"/>
        <w:jc w:val="center"/>
        <w:rPr>
          <w:rFonts w:hint="eastAsia" w:asciiTheme="majorEastAsia" w:hAnsiTheme="majorEastAsia" w:eastAsiaTheme="majorEastAsia" w:cstheme="majorEastAsia"/>
          <w:b/>
          <w:color w:val="auto"/>
          <w:sz w:val="72"/>
          <w:highlight w:val="none"/>
        </w:rPr>
      </w:pPr>
      <w:r>
        <w:rPr>
          <w:rFonts w:hint="eastAsia" w:asciiTheme="majorEastAsia" w:hAnsiTheme="majorEastAsia" w:eastAsiaTheme="majorEastAsia" w:cstheme="majorEastAsia"/>
          <w:b/>
          <w:color w:val="auto"/>
          <w:sz w:val="72"/>
          <w:highlight w:val="none"/>
        </w:rPr>
        <w:t>投  标  文  件</w:t>
      </w:r>
    </w:p>
    <w:p>
      <w:pPr>
        <w:spacing w:line="360" w:lineRule="auto"/>
        <w:ind w:firstLine="353"/>
        <w:rPr>
          <w:rFonts w:hint="eastAsia" w:asciiTheme="majorEastAsia" w:hAnsiTheme="majorEastAsia" w:eastAsiaTheme="majorEastAsia" w:cstheme="majorEastAsia"/>
          <w:b/>
          <w:color w:val="auto"/>
          <w:sz w:val="36"/>
          <w:highlight w:val="none"/>
        </w:rPr>
      </w:pPr>
    </w:p>
    <w:p>
      <w:pPr>
        <w:spacing w:line="360" w:lineRule="auto"/>
        <w:ind w:firstLine="1084" w:firstLineChars="300"/>
        <w:rPr>
          <w:rFonts w:hint="eastAsia" w:asciiTheme="majorEastAsia" w:hAnsiTheme="majorEastAsia" w:eastAsiaTheme="majorEastAsia" w:cstheme="majorEastAsia"/>
          <w:b/>
          <w:color w:val="auto"/>
          <w:sz w:val="36"/>
          <w:highlight w:val="none"/>
        </w:rPr>
      </w:pPr>
      <w:r>
        <w:rPr>
          <w:rFonts w:hint="eastAsia" w:asciiTheme="majorEastAsia" w:hAnsiTheme="majorEastAsia" w:eastAsiaTheme="majorEastAsia" w:cstheme="majorEastAsia"/>
          <w:b/>
          <w:color w:val="auto"/>
          <w:sz w:val="36"/>
          <w:highlight w:val="none"/>
        </w:rPr>
        <w:t>项 目 名 称：</w:t>
      </w:r>
    </w:p>
    <w:p>
      <w:pPr>
        <w:spacing w:line="360" w:lineRule="auto"/>
        <w:ind w:firstLine="1084" w:firstLineChars="300"/>
        <w:rPr>
          <w:rFonts w:hint="eastAsia" w:asciiTheme="majorEastAsia" w:hAnsiTheme="majorEastAsia" w:eastAsiaTheme="majorEastAsia" w:cstheme="majorEastAsia"/>
          <w:b/>
          <w:color w:val="auto"/>
          <w:sz w:val="36"/>
          <w:highlight w:val="none"/>
          <w:u w:val="single"/>
        </w:rPr>
      </w:pPr>
      <w:r>
        <w:rPr>
          <w:rFonts w:hint="eastAsia" w:asciiTheme="majorEastAsia" w:hAnsiTheme="majorEastAsia" w:eastAsiaTheme="majorEastAsia" w:cstheme="majorEastAsia"/>
          <w:b/>
          <w:color w:val="auto"/>
          <w:sz w:val="36"/>
          <w:highlight w:val="none"/>
        </w:rPr>
        <w:t>招 标 编 号：</w:t>
      </w:r>
    </w:p>
    <w:p>
      <w:pPr>
        <w:spacing w:line="360" w:lineRule="auto"/>
        <w:ind w:firstLine="353"/>
        <w:rPr>
          <w:rFonts w:hint="eastAsia" w:asciiTheme="majorEastAsia" w:hAnsiTheme="majorEastAsia" w:eastAsiaTheme="majorEastAsia" w:cstheme="majorEastAsia"/>
          <w:b/>
          <w:color w:val="auto"/>
          <w:sz w:val="36"/>
          <w:highlight w:val="none"/>
        </w:rPr>
      </w:pPr>
    </w:p>
    <w:p>
      <w:pPr>
        <w:spacing w:line="360" w:lineRule="auto"/>
        <w:ind w:firstLine="353"/>
        <w:rPr>
          <w:rFonts w:hint="eastAsia" w:asciiTheme="majorEastAsia" w:hAnsiTheme="majorEastAsia" w:eastAsiaTheme="majorEastAsia" w:cstheme="majorEastAsia"/>
          <w:b/>
          <w:color w:val="auto"/>
          <w:sz w:val="36"/>
          <w:highlight w:val="none"/>
        </w:rPr>
      </w:pPr>
    </w:p>
    <w:p>
      <w:pPr>
        <w:spacing w:line="360" w:lineRule="auto"/>
        <w:ind w:firstLine="354"/>
        <w:rPr>
          <w:rFonts w:hint="eastAsia" w:asciiTheme="majorEastAsia" w:hAnsiTheme="majorEastAsia" w:eastAsiaTheme="majorEastAsia" w:cstheme="majorEastAsia"/>
          <w:b/>
          <w:color w:val="auto"/>
          <w:sz w:val="36"/>
          <w:highlight w:val="none"/>
          <w:u w:val="single"/>
        </w:rPr>
      </w:pPr>
      <w:r>
        <w:rPr>
          <w:rFonts w:hint="eastAsia" w:asciiTheme="majorEastAsia" w:hAnsiTheme="majorEastAsia" w:eastAsiaTheme="majorEastAsia" w:cstheme="majorEastAsia"/>
          <w:b/>
          <w:color w:val="auto"/>
          <w:sz w:val="36"/>
          <w:highlight w:val="none"/>
        </w:rPr>
        <w:t xml:space="preserve">       投标人名称 ：</w:t>
      </w:r>
    </w:p>
    <w:p>
      <w:pPr>
        <w:spacing w:line="360" w:lineRule="auto"/>
        <w:ind w:firstLine="354"/>
        <w:rPr>
          <w:rFonts w:hint="eastAsia" w:asciiTheme="majorEastAsia" w:hAnsiTheme="majorEastAsia" w:eastAsiaTheme="majorEastAsia" w:cstheme="majorEastAsia"/>
          <w:b/>
          <w:color w:val="auto"/>
          <w:sz w:val="36"/>
          <w:highlight w:val="none"/>
        </w:rPr>
      </w:pPr>
      <w:r>
        <w:rPr>
          <w:rFonts w:hint="eastAsia" w:asciiTheme="majorEastAsia" w:hAnsiTheme="majorEastAsia" w:eastAsiaTheme="majorEastAsia" w:cstheme="majorEastAsia"/>
          <w:b/>
          <w:color w:val="auto"/>
          <w:sz w:val="36"/>
          <w:highlight w:val="none"/>
        </w:rPr>
        <w:t xml:space="preserve">       日      期 ：</w:t>
      </w:r>
    </w:p>
    <w:p>
      <w:pPr>
        <w:pStyle w:val="30"/>
        <w:spacing w:line="360" w:lineRule="auto"/>
        <w:ind w:firstLine="235"/>
        <w:jc w:val="left"/>
        <w:rPr>
          <w:rFonts w:hint="eastAsia" w:asciiTheme="majorEastAsia" w:hAnsiTheme="majorEastAsia" w:eastAsiaTheme="majorEastAsia" w:cstheme="majorEastAsia"/>
          <w:b/>
          <w:color w:val="auto"/>
          <w:sz w:val="24"/>
          <w:highlight w:val="none"/>
        </w:rPr>
      </w:pPr>
    </w:p>
    <w:p>
      <w:pPr>
        <w:pStyle w:val="30"/>
        <w:spacing w:line="360" w:lineRule="auto"/>
        <w:ind w:firstLine="235"/>
        <w:jc w:val="left"/>
        <w:rPr>
          <w:rFonts w:hint="eastAsia" w:asciiTheme="majorEastAsia" w:hAnsiTheme="majorEastAsia" w:eastAsiaTheme="majorEastAsia" w:cstheme="majorEastAsia"/>
          <w:b/>
          <w:color w:val="auto"/>
          <w:sz w:val="24"/>
          <w:highlight w:val="none"/>
        </w:rPr>
      </w:pPr>
    </w:p>
    <w:p>
      <w:pPr>
        <w:pStyle w:val="6"/>
        <w:snapToGrid w:val="0"/>
        <w:spacing w:line="360" w:lineRule="auto"/>
        <w:ind w:left="0" w:firstLine="3855" w:firstLineChars="1200"/>
        <w:jc w:val="both"/>
        <w:rPr>
          <w:rFonts w:hint="eastAsia" w:asciiTheme="majorEastAsia" w:hAnsiTheme="majorEastAsia" w:eastAsiaTheme="majorEastAsia" w:cstheme="majorEastAsia"/>
          <w:b/>
          <w:bCs/>
          <w:color w:val="auto"/>
          <w:sz w:val="32"/>
          <w:highlight w:val="none"/>
          <w:lang w:eastAsia="zh-CN"/>
        </w:rPr>
      </w:pPr>
    </w:p>
    <w:p>
      <w:pPr>
        <w:pStyle w:val="6"/>
        <w:snapToGrid w:val="0"/>
        <w:spacing w:line="360" w:lineRule="auto"/>
        <w:ind w:left="0" w:firstLine="3855" w:firstLineChars="1200"/>
        <w:jc w:val="both"/>
        <w:rPr>
          <w:rFonts w:hint="eastAsia" w:asciiTheme="majorEastAsia" w:hAnsiTheme="majorEastAsia" w:eastAsiaTheme="majorEastAsia" w:cstheme="majorEastAsia"/>
          <w:b/>
          <w:bCs/>
          <w:color w:val="auto"/>
          <w:sz w:val="32"/>
          <w:highlight w:val="none"/>
          <w:lang w:eastAsia="zh-CN"/>
        </w:rPr>
      </w:pPr>
    </w:p>
    <w:p>
      <w:pPr>
        <w:pStyle w:val="6"/>
        <w:snapToGrid w:val="0"/>
        <w:spacing w:line="360" w:lineRule="auto"/>
        <w:ind w:left="0" w:firstLine="3855" w:firstLineChars="1200"/>
        <w:jc w:val="both"/>
        <w:rPr>
          <w:rFonts w:hint="eastAsia" w:asciiTheme="majorEastAsia" w:hAnsiTheme="majorEastAsia" w:eastAsiaTheme="majorEastAsia" w:cstheme="majorEastAsia"/>
          <w:b/>
          <w:bCs/>
          <w:color w:val="auto"/>
          <w:sz w:val="32"/>
          <w:highlight w:val="none"/>
          <w:lang w:eastAsia="zh-CN"/>
        </w:rPr>
      </w:pPr>
    </w:p>
    <w:p>
      <w:pPr>
        <w:pStyle w:val="6"/>
        <w:snapToGrid w:val="0"/>
        <w:spacing w:line="360" w:lineRule="auto"/>
        <w:ind w:left="0" w:firstLine="3855" w:firstLineChars="1200"/>
        <w:jc w:val="both"/>
        <w:rPr>
          <w:rFonts w:hint="eastAsia" w:asciiTheme="majorEastAsia" w:hAnsiTheme="majorEastAsia" w:eastAsiaTheme="majorEastAsia" w:cstheme="majorEastAsia"/>
          <w:b/>
          <w:bCs/>
          <w:color w:val="auto"/>
          <w:sz w:val="32"/>
          <w:highlight w:val="none"/>
          <w:lang w:eastAsia="zh-CN"/>
        </w:rPr>
      </w:pPr>
    </w:p>
    <w:p>
      <w:pPr>
        <w:pStyle w:val="6"/>
        <w:snapToGrid w:val="0"/>
        <w:spacing w:line="360" w:lineRule="auto"/>
        <w:ind w:left="0" w:firstLine="3855" w:firstLineChars="1200"/>
        <w:jc w:val="both"/>
        <w:rPr>
          <w:rFonts w:hint="eastAsia" w:asciiTheme="majorEastAsia" w:hAnsiTheme="majorEastAsia" w:eastAsiaTheme="majorEastAsia" w:cstheme="majorEastAsia"/>
          <w:b/>
          <w:bCs/>
          <w:color w:val="auto"/>
          <w:sz w:val="32"/>
          <w:szCs w:val="32"/>
          <w:highlight w:val="none"/>
          <w:lang w:eastAsia="zh-CN"/>
        </w:rPr>
      </w:pPr>
      <w:r>
        <w:rPr>
          <w:rFonts w:hint="eastAsia" w:asciiTheme="majorEastAsia" w:hAnsiTheme="majorEastAsia" w:eastAsiaTheme="majorEastAsia" w:cstheme="majorEastAsia"/>
          <w:b/>
          <w:bCs/>
          <w:color w:val="auto"/>
          <w:sz w:val="32"/>
          <w:szCs w:val="32"/>
          <w:highlight w:val="none"/>
          <w:lang w:eastAsia="zh-CN"/>
        </w:rPr>
        <w:t>目    录</w:t>
      </w:r>
    </w:p>
    <w:p>
      <w:pPr>
        <w:spacing w:line="360" w:lineRule="auto"/>
        <w:rPr>
          <w:rFonts w:hint="eastAsia" w:asciiTheme="majorEastAsia" w:hAnsiTheme="majorEastAsia" w:eastAsiaTheme="majorEastAsia" w:cstheme="majorEastAsia"/>
          <w:color w:val="auto"/>
          <w:sz w:val="28"/>
          <w:szCs w:val="28"/>
          <w:highlight w:val="none"/>
        </w:rPr>
      </w:pPr>
    </w:p>
    <w:p>
      <w:pPr>
        <w:numPr>
          <w:ilvl w:val="0"/>
          <w:numId w:val="4"/>
        </w:numPr>
        <w:snapToGrid w:val="0"/>
        <w:spacing w:line="360" w:lineRule="auto"/>
        <w:ind w:firstLine="560" w:firstLineChars="200"/>
        <w:jc w:val="left"/>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投标书</w:t>
      </w:r>
    </w:p>
    <w:p>
      <w:pPr>
        <w:numPr>
          <w:ilvl w:val="0"/>
          <w:numId w:val="4"/>
        </w:numPr>
        <w:snapToGrid w:val="0"/>
        <w:spacing w:line="360" w:lineRule="auto"/>
        <w:ind w:firstLine="560" w:firstLineChars="200"/>
        <w:jc w:val="left"/>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开标一览表</w:t>
      </w:r>
    </w:p>
    <w:p>
      <w:pPr>
        <w:numPr>
          <w:ilvl w:val="0"/>
          <w:numId w:val="4"/>
        </w:numPr>
        <w:snapToGrid w:val="0"/>
        <w:spacing w:line="360" w:lineRule="auto"/>
        <w:ind w:firstLine="560" w:firstLineChars="200"/>
        <w:jc w:val="left"/>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价格明细表</w:t>
      </w:r>
    </w:p>
    <w:p>
      <w:pPr>
        <w:numPr>
          <w:ilvl w:val="0"/>
          <w:numId w:val="4"/>
        </w:numPr>
        <w:snapToGrid w:val="0"/>
        <w:spacing w:line="360" w:lineRule="auto"/>
        <w:ind w:firstLine="560" w:firstLineChars="200"/>
        <w:jc w:val="left"/>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安保服务方案</w:t>
      </w:r>
    </w:p>
    <w:p>
      <w:pPr>
        <w:numPr>
          <w:ilvl w:val="0"/>
          <w:numId w:val="4"/>
        </w:numPr>
        <w:snapToGrid w:val="0"/>
        <w:spacing w:line="360" w:lineRule="auto"/>
        <w:ind w:firstLine="560" w:firstLineChars="200"/>
        <w:jc w:val="left"/>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投标人业绩证明</w:t>
      </w:r>
    </w:p>
    <w:p>
      <w:pPr>
        <w:numPr>
          <w:ilvl w:val="0"/>
          <w:numId w:val="4"/>
        </w:numPr>
        <w:snapToGrid w:val="0"/>
        <w:spacing w:line="360" w:lineRule="auto"/>
        <w:ind w:firstLine="560" w:firstLineChars="200"/>
        <w:jc w:val="left"/>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作业安全承诺书</w:t>
      </w:r>
    </w:p>
    <w:p>
      <w:pPr>
        <w:numPr>
          <w:ilvl w:val="0"/>
          <w:numId w:val="4"/>
        </w:numPr>
        <w:snapToGrid w:val="0"/>
        <w:spacing w:line="360" w:lineRule="auto"/>
        <w:ind w:firstLine="560" w:firstLineChars="200"/>
        <w:jc w:val="left"/>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售后服务承诺书</w:t>
      </w:r>
    </w:p>
    <w:p>
      <w:pPr>
        <w:numPr>
          <w:ilvl w:val="0"/>
          <w:numId w:val="4"/>
        </w:numPr>
        <w:snapToGrid w:val="0"/>
        <w:spacing w:line="360" w:lineRule="auto"/>
        <w:ind w:firstLine="560" w:firstLineChars="200"/>
        <w:jc w:val="left"/>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法人代表人授权书</w:t>
      </w:r>
    </w:p>
    <w:p>
      <w:pPr>
        <w:numPr>
          <w:ilvl w:val="0"/>
          <w:numId w:val="4"/>
        </w:numPr>
        <w:snapToGrid w:val="0"/>
        <w:spacing w:line="360" w:lineRule="auto"/>
        <w:ind w:firstLine="560" w:firstLineChars="200"/>
        <w:jc w:val="left"/>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法人营业执照</w:t>
      </w:r>
    </w:p>
    <w:p>
      <w:pPr>
        <w:numPr>
          <w:ilvl w:val="0"/>
          <w:numId w:val="4"/>
        </w:numPr>
        <w:snapToGrid w:val="0"/>
        <w:spacing w:line="360" w:lineRule="auto"/>
        <w:ind w:firstLine="560" w:firstLineChars="200"/>
        <w:jc w:val="left"/>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廉洁诚信承诺书</w:t>
      </w:r>
    </w:p>
    <w:p>
      <w:pPr>
        <w:snapToGrid w:val="0"/>
        <w:spacing w:line="360" w:lineRule="auto"/>
        <w:ind w:left="640"/>
        <w:jc w:val="left"/>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11、带“★”号条款逐条响应情况表</w:t>
      </w:r>
    </w:p>
    <w:p>
      <w:pPr>
        <w:snapToGrid w:val="0"/>
        <w:spacing w:line="360" w:lineRule="auto"/>
        <w:ind w:left="640"/>
        <w:jc w:val="left"/>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12、投标人提交的其他资料</w:t>
      </w:r>
    </w:p>
    <w:p>
      <w:pPr>
        <w:snapToGrid w:val="0"/>
        <w:spacing w:line="360" w:lineRule="auto"/>
        <w:ind w:left="640"/>
        <w:jc w:val="left"/>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13、秩序维护服务合同</w:t>
      </w:r>
    </w:p>
    <w:p>
      <w:pPr>
        <w:snapToGrid w:val="0"/>
        <w:spacing w:line="360" w:lineRule="auto"/>
        <w:ind w:left="640"/>
        <w:jc w:val="left"/>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14、投标人密封条</w:t>
      </w:r>
    </w:p>
    <w:p>
      <w:pPr>
        <w:snapToGrid w:val="0"/>
        <w:spacing w:line="360" w:lineRule="auto"/>
        <w:ind w:left="640"/>
        <w:jc w:val="left"/>
        <w:rPr>
          <w:rFonts w:hint="eastAsia" w:asciiTheme="majorEastAsia" w:hAnsiTheme="majorEastAsia" w:eastAsiaTheme="majorEastAsia" w:cstheme="majorEastAsia"/>
          <w:color w:val="auto"/>
          <w:sz w:val="28"/>
          <w:szCs w:val="28"/>
          <w:highlight w:val="none"/>
        </w:rPr>
      </w:pPr>
    </w:p>
    <w:p>
      <w:pPr>
        <w:spacing w:line="360" w:lineRule="auto"/>
        <w:ind w:firstLine="314"/>
        <w:rPr>
          <w:rFonts w:hint="eastAsia" w:asciiTheme="majorEastAsia" w:hAnsiTheme="majorEastAsia" w:eastAsiaTheme="majorEastAsia" w:cstheme="majorEastAsia"/>
          <w:b/>
          <w:color w:val="auto"/>
          <w:sz w:val="28"/>
          <w:szCs w:val="28"/>
          <w:highlight w:val="none"/>
        </w:rPr>
      </w:pPr>
    </w:p>
    <w:p>
      <w:pPr>
        <w:spacing w:line="360" w:lineRule="auto"/>
        <w:ind w:firstLine="314"/>
        <w:rPr>
          <w:rFonts w:hint="eastAsia" w:asciiTheme="majorEastAsia" w:hAnsiTheme="majorEastAsia" w:eastAsiaTheme="majorEastAsia" w:cstheme="majorEastAsia"/>
          <w:b/>
          <w:color w:val="auto"/>
          <w:sz w:val="28"/>
          <w:szCs w:val="28"/>
          <w:highlight w:val="none"/>
        </w:rPr>
      </w:pPr>
    </w:p>
    <w:p>
      <w:pPr>
        <w:spacing w:line="360" w:lineRule="auto"/>
        <w:ind w:firstLine="562" w:firstLineChars="200"/>
        <w:jc w:val="left"/>
        <w:rPr>
          <w:rFonts w:hint="eastAsia"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b/>
          <w:color w:val="auto"/>
          <w:sz w:val="28"/>
          <w:szCs w:val="28"/>
          <w:highlight w:val="none"/>
        </w:rPr>
        <w:t>说明：投标人应按投标文件的实际情况编制目录</w:t>
      </w:r>
    </w:p>
    <w:p>
      <w:pPr>
        <w:spacing w:line="360" w:lineRule="auto"/>
        <w:ind w:firstLine="314"/>
        <w:rPr>
          <w:rFonts w:hint="eastAsia" w:asciiTheme="majorEastAsia" w:hAnsiTheme="majorEastAsia" w:eastAsiaTheme="majorEastAsia" w:cstheme="majorEastAsia"/>
          <w:b/>
          <w:color w:val="auto"/>
          <w:sz w:val="32"/>
          <w:szCs w:val="32"/>
          <w:highlight w:val="none"/>
        </w:rPr>
      </w:pPr>
    </w:p>
    <w:p>
      <w:pPr>
        <w:spacing w:line="360" w:lineRule="auto"/>
        <w:ind w:firstLine="0"/>
        <w:rPr>
          <w:rFonts w:hint="eastAsia" w:asciiTheme="majorEastAsia" w:hAnsiTheme="majorEastAsia" w:eastAsiaTheme="majorEastAsia" w:cstheme="majorEastAsia"/>
          <w:b/>
          <w:bCs/>
          <w:color w:val="auto"/>
          <w:sz w:val="32"/>
          <w:szCs w:val="32"/>
          <w:highlight w:val="none"/>
        </w:rPr>
      </w:pPr>
      <w:r>
        <w:rPr>
          <w:rFonts w:hint="eastAsia" w:asciiTheme="majorEastAsia" w:hAnsiTheme="majorEastAsia" w:eastAsiaTheme="majorEastAsia" w:cstheme="majorEastAsia"/>
          <w:color w:val="auto"/>
          <w:sz w:val="32"/>
          <w:szCs w:val="32"/>
          <w:highlight w:val="none"/>
        </w:rPr>
        <w:br w:type="page"/>
      </w:r>
      <w:bookmarkStart w:id="473" w:name="_Toc186344305"/>
      <w:r>
        <w:rPr>
          <w:rFonts w:hint="eastAsia" w:asciiTheme="majorEastAsia" w:hAnsiTheme="majorEastAsia" w:eastAsiaTheme="majorEastAsia" w:cstheme="majorEastAsia"/>
          <w:b/>
          <w:bCs/>
          <w:color w:val="auto"/>
          <w:sz w:val="32"/>
          <w:szCs w:val="32"/>
          <w:highlight w:val="none"/>
        </w:rPr>
        <w:t>格式1　　</w:t>
      </w:r>
    </w:p>
    <w:p>
      <w:pPr>
        <w:spacing w:line="360" w:lineRule="auto"/>
        <w:jc w:val="center"/>
        <w:rPr>
          <w:rFonts w:hint="eastAsia" w:asciiTheme="majorEastAsia" w:hAnsiTheme="majorEastAsia" w:eastAsiaTheme="majorEastAsia" w:cstheme="majorEastAsia"/>
          <w:color w:val="auto"/>
          <w:sz w:val="32"/>
          <w:szCs w:val="32"/>
          <w:highlight w:val="none"/>
        </w:rPr>
      </w:pPr>
      <w:r>
        <w:rPr>
          <w:rFonts w:hint="eastAsia" w:asciiTheme="majorEastAsia" w:hAnsiTheme="majorEastAsia" w:eastAsiaTheme="majorEastAsia" w:cstheme="majorEastAsia"/>
          <w:b/>
          <w:bCs/>
          <w:color w:val="auto"/>
          <w:sz w:val="32"/>
          <w:szCs w:val="32"/>
          <w:highlight w:val="none"/>
        </w:rPr>
        <w:t>投 标 书</w:t>
      </w:r>
      <w:bookmarkEnd w:id="473"/>
    </w:p>
    <w:p>
      <w:pPr>
        <w:spacing w:line="360" w:lineRule="auto"/>
        <w:rPr>
          <w:rFonts w:hint="eastAsia" w:asciiTheme="majorEastAsia" w:hAnsiTheme="majorEastAsia" w:eastAsiaTheme="majorEastAsia" w:cstheme="majorEastAsia"/>
          <w:color w:val="auto"/>
          <w:sz w:val="32"/>
          <w:szCs w:val="32"/>
          <w:highlight w:val="none"/>
        </w:rPr>
      </w:pPr>
    </w:p>
    <w:p>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致</w:t>
      </w:r>
      <w:r>
        <w:rPr>
          <w:rFonts w:hint="eastAsia" w:ascii="宋体" w:hAnsi="宋体" w:eastAsia="宋体" w:cs="宋体"/>
          <w:color w:val="auto"/>
          <w:sz w:val="28"/>
          <w:szCs w:val="28"/>
          <w:highlight w:val="none"/>
          <w:u w:val="single"/>
        </w:rPr>
        <w:t>厦门国贸城市服务集团股份有限公司：</w:t>
      </w:r>
    </w:p>
    <w:p>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根据贵方为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项目的投标要求（招标编号：</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，本签字代表</w:t>
      </w:r>
      <w:r>
        <w:rPr>
          <w:rFonts w:hint="eastAsia" w:ascii="宋体" w:hAnsi="宋体" w:eastAsia="宋体" w:cs="宋体"/>
          <w:color w:val="auto"/>
          <w:sz w:val="28"/>
          <w:szCs w:val="28"/>
          <w:highlight w:val="none"/>
          <w:u w:val="single"/>
        </w:rPr>
        <w:t xml:space="preserve">   （全名、职务）   </w:t>
      </w:r>
      <w:r>
        <w:rPr>
          <w:rFonts w:hint="eastAsia" w:ascii="宋体" w:hAnsi="宋体" w:eastAsia="宋体" w:cs="宋体"/>
          <w:color w:val="auto"/>
          <w:sz w:val="28"/>
          <w:szCs w:val="28"/>
          <w:highlight w:val="none"/>
        </w:rPr>
        <w:t>正式授权并代表投标人</w:t>
      </w:r>
      <w:r>
        <w:rPr>
          <w:rFonts w:hint="eastAsia" w:ascii="宋体" w:hAnsi="宋体" w:eastAsia="宋体" w:cs="宋体"/>
          <w:color w:val="auto"/>
          <w:sz w:val="28"/>
          <w:szCs w:val="28"/>
          <w:highlight w:val="none"/>
          <w:u w:val="single"/>
        </w:rPr>
        <w:t xml:space="preserve">   （投标人名称、地址）   </w:t>
      </w:r>
      <w:r>
        <w:rPr>
          <w:rFonts w:hint="eastAsia" w:ascii="宋体" w:hAnsi="宋体" w:eastAsia="宋体" w:cs="宋体"/>
          <w:color w:val="auto"/>
          <w:sz w:val="28"/>
          <w:szCs w:val="28"/>
          <w:highlight w:val="none"/>
        </w:rPr>
        <w:t>提交下述文件正本一份、副本一份、电子版一份(U盘介质）。</w:t>
      </w:r>
    </w:p>
    <w:tbl>
      <w:tblPr>
        <w:tblStyle w:val="19"/>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5"/>
        <w:gridCol w:w="4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65" w:type="dxa"/>
            <w:vAlign w:val="center"/>
          </w:tcPr>
          <w:p>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 投标书</w:t>
            </w:r>
          </w:p>
        </w:tc>
        <w:tc>
          <w:tcPr>
            <w:tcW w:w="4463" w:type="dxa"/>
            <w:vAlign w:val="center"/>
          </w:tcPr>
          <w:p>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 开标一览表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65" w:type="dxa"/>
            <w:vAlign w:val="center"/>
          </w:tcPr>
          <w:p>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 价格明细表</w:t>
            </w:r>
          </w:p>
        </w:tc>
        <w:tc>
          <w:tcPr>
            <w:tcW w:w="4463" w:type="dxa"/>
            <w:vAlign w:val="center"/>
          </w:tcPr>
          <w:p>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 安保服务方案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65" w:type="dxa"/>
            <w:vAlign w:val="center"/>
          </w:tcPr>
          <w:p>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 技术和商务偏离表</w:t>
            </w:r>
          </w:p>
        </w:tc>
        <w:tc>
          <w:tcPr>
            <w:tcW w:w="4463" w:type="dxa"/>
            <w:vAlign w:val="center"/>
          </w:tcPr>
          <w:p>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 法人代表授权书、法人营业执照、税务登记证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65" w:type="dxa"/>
            <w:vAlign w:val="center"/>
          </w:tcPr>
          <w:p>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 投标人</w:t>
            </w:r>
            <w:r>
              <w:rPr>
                <w:rFonts w:hint="eastAsia" w:ascii="宋体" w:hAnsi="宋体" w:eastAsia="宋体" w:cs="宋体"/>
                <w:bCs/>
                <w:color w:val="auto"/>
                <w:sz w:val="28"/>
                <w:szCs w:val="28"/>
                <w:highlight w:val="none"/>
              </w:rPr>
              <w:t>提</w:t>
            </w:r>
            <w:r>
              <w:rPr>
                <w:rFonts w:hint="eastAsia" w:ascii="宋体" w:hAnsi="宋体" w:eastAsia="宋体" w:cs="宋体"/>
                <w:color w:val="auto"/>
                <w:sz w:val="28"/>
                <w:szCs w:val="28"/>
                <w:highlight w:val="none"/>
              </w:rPr>
              <w:t>交的其它资料</w:t>
            </w:r>
          </w:p>
        </w:tc>
        <w:tc>
          <w:tcPr>
            <w:tcW w:w="4463" w:type="dxa"/>
            <w:vAlign w:val="center"/>
          </w:tcPr>
          <w:p>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（8）以下方式提供的金额为</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人民币元的投标保证金。</w:t>
            </w:r>
          </w:p>
        </w:tc>
      </w:tr>
    </w:tbl>
    <w:p>
      <w:pPr>
        <w:spacing w:line="360" w:lineRule="auto"/>
        <w:rPr>
          <w:rFonts w:hint="eastAsia" w:ascii="宋体" w:hAnsi="宋体" w:eastAsia="宋体" w:cs="宋体"/>
          <w:color w:val="auto"/>
          <w:sz w:val="28"/>
          <w:szCs w:val="28"/>
          <w:highlight w:val="none"/>
        </w:rPr>
      </w:pP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据此函，签字代表宣布同意如下：</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1.投标人已详细审查全部招标文件，包括修改文件（如有的话）和有关附件，将自行承担因对全部招标文件理解不正确或误解而产生的相应后果。</w:t>
      </w:r>
    </w:p>
    <w:p>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2.投标人保证遵守招标文件的全部规定，投标人所提交的材料中所含的信息均为真实、准确、完整，且不具有任何误导性。</w:t>
      </w:r>
    </w:p>
    <w:p>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3.投标人将按招标文件的规定履行合同责任和义务。</w:t>
      </w:r>
    </w:p>
    <w:p>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4.本投标文件自开标日起投标有效期为：在招标文件投标人须知前附表第3项所规定的期限内保持有效。</w:t>
      </w:r>
    </w:p>
    <w:p>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5.如果发生招标文件第二章投标人须知第12条所述情况，则同意招标人不予退还投标保证金。</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6.投标人同意提供按照招标人可能要求的与其投标有关的一切数据或资料，完全理解贵方不一定要接受最低的报价或收到的任何投标。</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 与本投标有关的一切正式往来通讯请寄：</w:t>
      </w:r>
    </w:p>
    <w:p>
      <w:pPr>
        <w:spacing w:line="360" w:lineRule="auto"/>
        <w:ind w:firstLine="560" w:firstLineChars="2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地址：</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邮编：</w:t>
      </w:r>
      <w:r>
        <w:rPr>
          <w:rFonts w:hint="eastAsia" w:ascii="宋体" w:hAnsi="宋体" w:eastAsia="宋体" w:cs="宋体"/>
          <w:color w:val="auto"/>
          <w:sz w:val="28"/>
          <w:szCs w:val="28"/>
          <w:highlight w:val="none"/>
          <w:u w:val="single"/>
        </w:rPr>
        <w:t xml:space="preserve">        </w:t>
      </w:r>
    </w:p>
    <w:p>
      <w:pPr>
        <w:spacing w:line="360" w:lineRule="auto"/>
        <w:ind w:firstLine="560" w:firstLineChars="2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电话：</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传真：</w:t>
      </w:r>
      <w:r>
        <w:rPr>
          <w:rFonts w:hint="eastAsia" w:ascii="宋体" w:hAnsi="宋体" w:eastAsia="宋体" w:cs="宋体"/>
          <w:color w:val="auto"/>
          <w:sz w:val="28"/>
          <w:szCs w:val="28"/>
          <w:highlight w:val="none"/>
          <w:u w:val="single"/>
        </w:rPr>
        <w:t xml:space="preserve">              </w:t>
      </w:r>
    </w:p>
    <w:p>
      <w:pPr>
        <w:spacing w:line="360" w:lineRule="auto"/>
        <w:ind w:firstLine="560" w:firstLineChars="2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投标人代表签字：</w:t>
      </w:r>
      <w:r>
        <w:rPr>
          <w:rFonts w:hint="eastAsia" w:ascii="宋体" w:hAnsi="宋体" w:eastAsia="宋体" w:cs="宋体"/>
          <w:color w:val="auto"/>
          <w:sz w:val="28"/>
          <w:szCs w:val="28"/>
          <w:highlight w:val="none"/>
          <w:u w:val="single"/>
        </w:rPr>
        <w:t xml:space="preserve">                 </w:t>
      </w:r>
    </w:p>
    <w:p>
      <w:pPr>
        <w:spacing w:line="360" w:lineRule="auto"/>
        <w:ind w:firstLine="560" w:firstLineChars="2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投标人（全称并加盖公章）：</w:t>
      </w:r>
      <w:r>
        <w:rPr>
          <w:rFonts w:hint="eastAsia" w:ascii="宋体" w:hAnsi="宋体" w:eastAsia="宋体" w:cs="宋体"/>
          <w:color w:val="auto"/>
          <w:sz w:val="28"/>
          <w:szCs w:val="28"/>
          <w:highlight w:val="none"/>
          <w:u w:val="single"/>
        </w:rPr>
        <w:t xml:space="preserve">              </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  期：2024年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pPr>
        <w:spacing w:line="360" w:lineRule="auto"/>
        <w:ind w:firstLine="0"/>
        <w:rPr>
          <w:rFonts w:hint="eastAsia" w:ascii="宋体" w:hAnsi="宋体" w:eastAsia="宋体" w:cs="宋体"/>
          <w:b/>
          <w:bCs/>
          <w:color w:val="auto"/>
          <w:sz w:val="32"/>
          <w:szCs w:val="32"/>
          <w:highlight w:val="none"/>
        </w:rPr>
      </w:pPr>
      <w:r>
        <w:rPr>
          <w:rFonts w:hint="eastAsia" w:ascii="宋体" w:hAnsi="宋体" w:eastAsia="宋体" w:cs="宋体"/>
          <w:b/>
          <w:bCs/>
          <w:color w:val="auto"/>
          <w:sz w:val="28"/>
          <w:szCs w:val="28"/>
          <w:highlight w:val="none"/>
        </w:rPr>
        <w:br w:type="page"/>
      </w:r>
      <w:r>
        <w:rPr>
          <w:rFonts w:hint="eastAsia" w:ascii="宋体" w:hAnsi="宋体" w:eastAsia="宋体" w:cs="宋体"/>
          <w:b/>
          <w:bCs/>
          <w:color w:val="auto"/>
          <w:sz w:val="32"/>
          <w:szCs w:val="32"/>
          <w:highlight w:val="none"/>
        </w:rPr>
        <w:t>格式2　</w:t>
      </w:r>
    </w:p>
    <w:p>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开标一览表</w:t>
      </w:r>
    </w:p>
    <w:p>
      <w:pPr>
        <w:pStyle w:val="8"/>
        <w:tabs>
          <w:tab w:val="left" w:pos="3996"/>
          <w:tab w:val="left" w:pos="8437"/>
        </w:tabs>
        <w:spacing w:line="360" w:lineRule="auto"/>
        <w:ind w:left="36"/>
        <w:rPr>
          <w:rFonts w:hint="eastAsia" w:ascii="宋体" w:hAnsi="宋体" w:eastAsia="宋体" w:cs="宋体"/>
          <w:color w:val="auto"/>
          <w:sz w:val="28"/>
          <w:szCs w:val="28"/>
          <w:highlight w:val="none"/>
        </w:rPr>
      </w:pPr>
    </w:p>
    <w:p>
      <w:pPr>
        <w:spacing w:line="360" w:lineRule="auto"/>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投标人全称（加盖公章）：</w:t>
      </w:r>
      <w:r>
        <w:rPr>
          <w:rFonts w:hint="eastAsia" w:ascii="宋体" w:hAnsi="宋体" w:eastAsia="宋体" w:cs="宋体"/>
          <w:color w:val="auto"/>
          <w:sz w:val="28"/>
          <w:szCs w:val="28"/>
          <w:highlight w:val="none"/>
          <w:u w:val="single"/>
        </w:rPr>
        <w:t xml:space="preserve">                 </w:t>
      </w:r>
    </w:p>
    <w:p>
      <w:pPr>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招标项目：</w:t>
      </w:r>
      <w:r>
        <w:rPr>
          <w:rFonts w:hint="eastAsia" w:ascii="宋体" w:hAnsi="宋体" w:eastAsia="宋体" w:cs="宋体"/>
          <w:color w:val="auto"/>
          <w:sz w:val="28"/>
          <w:szCs w:val="28"/>
          <w:highlight w:val="none"/>
          <w:u w:val="single"/>
        </w:rPr>
        <w:t>　　　　　  　　     　　　　　</w:t>
      </w:r>
      <w:r>
        <w:rPr>
          <w:rFonts w:hint="eastAsia" w:ascii="宋体" w:hAnsi="宋体" w:eastAsia="宋体" w:cs="宋体"/>
          <w:color w:val="auto"/>
          <w:sz w:val="28"/>
          <w:szCs w:val="28"/>
          <w:highlight w:val="none"/>
        </w:rPr>
        <w:t>　　　</w:t>
      </w:r>
    </w:p>
    <w:p>
      <w:pPr>
        <w:spacing w:line="360" w:lineRule="auto"/>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招标编号：</w:t>
      </w:r>
      <w:r>
        <w:rPr>
          <w:rFonts w:hint="eastAsia" w:ascii="宋体" w:hAnsi="宋体" w:eastAsia="宋体" w:cs="宋体"/>
          <w:color w:val="auto"/>
          <w:sz w:val="28"/>
          <w:szCs w:val="28"/>
          <w:highlight w:val="none"/>
          <w:u w:val="single"/>
        </w:rPr>
        <w:t xml:space="preserve">                               </w:t>
      </w:r>
    </w:p>
    <w:p>
      <w:pPr>
        <w:pStyle w:val="8"/>
        <w:tabs>
          <w:tab w:val="left" w:pos="3996"/>
          <w:tab w:val="left" w:pos="8437"/>
        </w:tabs>
        <w:spacing w:line="360" w:lineRule="auto"/>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货币单位：</w:t>
      </w:r>
      <w:r>
        <w:rPr>
          <w:rFonts w:hint="eastAsia" w:ascii="宋体" w:hAnsi="宋体" w:eastAsia="宋体" w:cs="宋体"/>
          <w:color w:val="auto"/>
          <w:sz w:val="28"/>
          <w:szCs w:val="28"/>
          <w:highlight w:val="none"/>
          <w:u w:val="single"/>
        </w:rPr>
        <w:t xml:space="preserve">                               </w:t>
      </w:r>
    </w:p>
    <w:p>
      <w:pPr>
        <w:pStyle w:val="8"/>
        <w:tabs>
          <w:tab w:val="left" w:pos="3996"/>
          <w:tab w:val="left" w:pos="8437"/>
        </w:tabs>
        <w:spacing w:line="360" w:lineRule="auto"/>
        <w:jc w:val="left"/>
        <w:rPr>
          <w:rFonts w:hint="eastAsia" w:ascii="宋体" w:hAnsi="宋体" w:eastAsia="宋体" w:cs="宋体"/>
          <w:color w:val="auto"/>
          <w:sz w:val="28"/>
          <w:szCs w:val="28"/>
          <w:highlight w:val="none"/>
          <w:u w:val="single"/>
        </w:rPr>
      </w:pPr>
    </w:p>
    <w:tbl>
      <w:tblPr>
        <w:tblStyle w:val="19"/>
        <w:tblW w:w="8967" w:type="dxa"/>
        <w:tblInd w:w="119" w:type="dxa"/>
        <w:tblLayout w:type="fixed"/>
        <w:tblCellMar>
          <w:top w:w="0" w:type="dxa"/>
          <w:left w:w="0" w:type="dxa"/>
          <w:bottom w:w="0" w:type="dxa"/>
          <w:right w:w="0" w:type="dxa"/>
        </w:tblCellMar>
      </w:tblPr>
      <w:tblGrid>
        <w:gridCol w:w="1294"/>
        <w:gridCol w:w="893"/>
        <w:gridCol w:w="1981"/>
        <w:gridCol w:w="1459"/>
        <w:gridCol w:w="1800"/>
        <w:gridCol w:w="1540"/>
      </w:tblGrid>
      <w:tr>
        <w:tblPrEx>
          <w:tblCellMar>
            <w:top w:w="0" w:type="dxa"/>
            <w:left w:w="0" w:type="dxa"/>
            <w:bottom w:w="0" w:type="dxa"/>
            <w:right w:w="0" w:type="dxa"/>
          </w:tblCellMar>
        </w:tblPrEx>
        <w:trPr>
          <w:trHeight w:val="692" w:hRule="exact"/>
        </w:trPr>
        <w:tc>
          <w:tcPr>
            <w:tcW w:w="1294" w:type="dxa"/>
            <w:tcBorders>
              <w:top w:val="single" w:color="000000" w:sz="4" w:space="0"/>
              <w:left w:val="single" w:color="000000" w:sz="4" w:space="0"/>
              <w:bottom w:val="single" w:color="000000" w:sz="4" w:space="0"/>
              <w:right w:val="single" w:color="000000" w:sz="4" w:space="0"/>
            </w:tcBorders>
            <w:vAlign w:val="center"/>
          </w:tcPr>
          <w:p>
            <w:pPr>
              <w:pStyle w:val="31"/>
              <w:spacing w:line="360" w:lineRule="auto"/>
              <w:ind w:firstLine="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项目名称</w:t>
            </w:r>
          </w:p>
        </w:tc>
        <w:tc>
          <w:tcPr>
            <w:tcW w:w="893" w:type="dxa"/>
            <w:tcBorders>
              <w:top w:val="single" w:color="000000" w:sz="4" w:space="0"/>
              <w:left w:val="single" w:color="000000" w:sz="4" w:space="0"/>
              <w:bottom w:val="single" w:color="000000" w:sz="4" w:space="0"/>
              <w:right w:val="single" w:color="000000" w:sz="4" w:space="0"/>
            </w:tcBorders>
            <w:vAlign w:val="center"/>
          </w:tcPr>
          <w:p>
            <w:pPr>
              <w:pStyle w:val="31"/>
              <w:spacing w:line="360" w:lineRule="auto"/>
              <w:ind w:firstLine="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数量</w:t>
            </w:r>
          </w:p>
        </w:tc>
        <w:tc>
          <w:tcPr>
            <w:tcW w:w="1981" w:type="dxa"/>
            <w:tcBorders>
              <w:top w:val="single" w:color="000000" w:sz="4" w:space="0"/>
              <w:left w:val="single" w:color="000000" w:sz="4" w:space="0"/>
              <w:bottom w:val="single" w:color="000000" w:sz="4" w:space="0"/>
              <w:right w:val="single" w:color="000000" w:sz="4" w:space="0"/>
            </w:tcBorders>
            <w:vAlign w:val="center"/>
          </w:tcPr>
          <w:p>
            <w:pPr>
              <w:pStyle w:val="31"/>
              <w:spacing w:line="360" w:lineRule="auto"/>
              <w:ind w:right="102" w:firstLine="0"/>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报价</w:t>
            </w:r>
          </w:p>
        </w:tc>
        <w:tc>
          <w:tcPr>
            <w:tcW w:w="1459" w:type="dxa"/>
            <w:tcBorders>
              <w:top w:val="single" w:color="000000" w:sz="4" w:space="0"/>
              <w:left w:val="single" w:color="000000" w:sz="4" w:space="0"/>
              <w:bottom w:val="single" w:color="000000" w:sz="4" w:space="0"/>
              <w:right w:val="single" w:color="000000" w:sz="4" w:space="0"/>
            </w:tcBorders>
            <w:vAlign w:val="center"/>
          </w:tcPr>
          <w:p>
            <w:pPr>
              <w:pStyle w:val="31"/>
              <w:spacing w:line="360" w:lineRule="auto"/>
              <w:ind w:firstLine="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服务</w:t>
            </w:r>
            <w:r>
              <w:rPr>
                <w:rFonts w:hint="eastAsia" w:ascii="宋体" w:hAnsi="宋体" w:eastAsia="宋体" w:cs="宋体"/>
                <w:b/>
                <w:bCs/>
                <w:color w:val="auto"/>
                <w:sz w:val="28"/>
                <w:szCs w:val="28"/>
                <w:highlight w:val="none"/>
              </w:rPr>
              <w:t>期</w:t>
            </w:r>
          </w:p>
        </w:tc>
        <w:tc>
          <w:tcPr>
            <w:tcW w:w="1800" w:type="dxa"/>
            <w:tcBorders>
              <w:top w:val="single" w:color="000000" w:sz="4" w:space="0"/>
              <w:left w:val="single" w:color="000000" w:sz="4" w:space="0"/>
              <w:bottom w:val="single" w:color="000000" w:sz="4" w:space="0"/>
              <w:right w:val="single" w:color="000000" w:sz="4" w:space="0"/>
            </w:tcBorders>
            <w:vAlign w:val="center"/>
          </w:tcPr>
          <w:p>
            <w:pPr>
              <w:pStyle w:val="31"/>
              <w:spacing w:line="360" w:lineRule="auto"/>
              <w:ind w:right="107" w:firstLine="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投标保证金</w:t>
            </w:r>
          </w:p>
        </w:tc>
        <w:tc>
          <w:tcPr>
            <w:tcW w:w="1540" w:type="dxa"/>
            <w:tcBorders>
              <w:top w:val="single" w:color="000000" w:sz="4" w:space="0"/>
              <w:left w:val="single" w:color="000000" w:sz="4" w:space="0"/>
              <w:bottom w:val="single" w:color="000000" w:sz="4" w:space="0"/>
              <w:right w:val="single" w:color="000000" w:sz="4" w:space="0"/>
            </w:tcBorders>
            <w:vAlign w:val="center"/>
          </w:tcPr>
          <w:p>
            <w:pPr>
              <w:pStyle w:val="31"/>
              <w:spacing w:line="360" w:lineRule="auto"/>
              <w:ind w:firstLine="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备注</w:t>
            </w:r>
          </w:p>
        </w:tc>
      </w:tr>
      <w:tr>
        <w:tblPrEx>
          <w:tblCellMar>
            <w:top w:w="0" w:type="dxa"/>
            <w:left w:w="0" w:type="dxa"/>
            <w:bottom w:w="0" w:type="dxa"/>
            <w:right w:w="0" w:type="dxa"/>
          </w:tblCellMar>
        </w:tblPrEx>
        <w:trPr>
          <w:trHeight w:val="1632" w:hRule="exact"/>
        </w:trPr>
        <w:tc>
          <w:tcPr>
            <w:tcW w:w="129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275"/>
              <w:jc w:val="center"/>
              <w:rPr>
                <w:rFonts w:hint="eastAsia" w:ascii="宋体" w:hAnsi="宋体" w:eastAsia="宋体" w:cs="宋体"/>
                <w:color w:val="auto"/>
                <w:sz w:val="28"/>
                <w:szCs w:val="28"/>
                <w:highlight w:val="none"/>
              </w:rPr>
            </w:pPr>
          </w:p>
        </w:tc>
        <w:tc>
          <w:tcPr>
            <w:tcW w:w="893"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275"/>
              <w:jc w:val="center"/>
              <w:rPr>
                <w:rFonts w:hint="eastAsia" w:ascii="宋体" w:hAnsi="宋体" w:eastAsia="宋体" w:cs="宋体"/>
                <w:color w:val="auto"/>
                <w:sz w:val="28"/>
                <w:szCs w:val="28"/>
                <w:highlight w:val="none"/>
              </w:rPr>
            </w:pPr>
          </w:p>
        </w:tc>
        <w:tc>
          <w:tcPr>
            <w:tcW w:w="1981"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275"/>
              <w:jc w:val="center"/>
              <w:rPr>
                <w:rFonts w:hint="eastAsia" w:ascii="宋体" w:hAnsi="宋体" w:eastAsia="宋体" w:cs="宋体"/>
                <w:color w:val="auto"/>
                <w:sz w:val="28"/>
                <w:szCs w:val="28"/>
                <w:highlight w:val="none"/>
              </w:rPr>
            </w:pPr>
          </w:p>
        </w:tc>
        <w:tc>
          <w:tcPr>
            <w:tcW w:w="1459"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275"/>
              <w:jc w:val="center"/>
              <w:rPr>
                <w:rFonts w:hint="eastAsia" w:ascii="宋体" w:hAnsi="宋体" w:eastAsia="宋体" w:cs="宋体"/>
                <w:color w:val="auto"/>
                <w:sz w:val="28"/>
                <w:szCs w:val="28"/>
                <w:highlight w:val="none"/>
              </w:rPr>
            </w:pPr>
          </w:p>
        </w:tc>
        <w:tc>
          <w:tcPr>
            <w:tcW w:w="1800"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275"/>
              <w:jc w:val="center"/>
              <w:rPr>
                <w:rFonts w:hint="eastAsia" w:ascii="宋体" w:hAnsi="宋体" w:eastAsia="宋体" w:cs="宋体"/>
                <w:color w:val="auto"/>
                <w:sz w:val="28"/>
                <w:szCs w:val="28"/>
                <w:highlight w:val="none"/>
              </w:rPr>
            </w:pPr>
          </w:p>
        </w:tc>
        <w:tc>
          <w:tcPr>
            <w:tcW w:w="1540"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275"/>
              <w:jc w:val="center"/>
              <w:rPr>
                <w:rFonts w:hint="eastAsia" w:ascii="宋体" w:hAnsi="宋体" w:eastAsia="宋体" w:cs="宋体"/>
                <w:color w:val="auto"/>
                <w:sz w:val="28"/>
                <w:szCs w:val="28"/>
                <w:highlight w:val="none"/>
              </w:rPr>
            </w:pPr>
          </w:p>
        </w:tc>
      </w:tr>
    </w:tbl>
    <w:p>
      <w:pPr>
        <w:pStyle w:val="8"/>
        <w:spacing w:line="360" w:lineRule="auto"/>
        <w:rPr>
          <w:rFonts w:hint="eastAsia" w:ascii="宋体" w:hAnsi="宋体" w:eastAsia="宋体" w:cs="宋体"/>
          <w:color w:val="auto"/>
          <w:sz w:val="28"/>
          <w:szCs w:val="28"/>
          <w:highlight w:val="none"/>
        </w:rPr>
      </w:pPr>
    </w:p>
    <w:p>
      <w:pPr>
        <w:pStyle w:val="8"/>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注：详细报价清单应另纸详列。</w:t>
      </w:r>
    </w:p>
    <w:p>
      <w:pPr>
        <w:pStyle w:val="8"/>
        <w:tabs>
          <w:tab w:val="left" w:pos="4340"/>
        </w:tabs>
        <w:spacing w:before="25" w:line="360" w:lineRule="auto"/>
        <w:ind w:right="946"/>
        <w:rPr>
          <w:rFonts w:hint="eastAsia" w:ascii="宋体" w:hAnsi="宋体" w:eastAsia="宋体" w:cs="宋体"/>
          <w:color w:val="auto"/>
          <w:sz w:val="28"/>
          <w:szCs w:val="28"/>
          <w:highlight w:val="none"/>
        </w:rPr>
      </w:pPr>
    </w:p>
    <w:p>
      <w:pPr>
        <w:spacing w:line="360" w:lineRule="auto"/>
        <w:ind w:firstLine="280" w:firstLineChars="1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投标人（全称并加盖公章）：</w:t>
      </w:r>
    </w:p>
    <w:p>
      <w:pPr>
        <w:spacing w:line="360" w:lineRule="auto"/>
        <w:ind w:firstLine="280" w:firstLineChars="1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 xml:space="preserve">投标人代表签字： </w:t>
      </w:r>
    </w:p>
    <w:p>
      <w:pPr>
        <w:spacing w:line="360" w:lineRule="auto"/>
        <w:ind w:firstLine="280" w:firstLineChars="1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      期：</w:t>
      </w:r>
    </w:p>
    <w:p>
      <w:pPr>
        <w:spacing w:line="360" w:lineRule="auto"/>
        <w:rPr>
          <w:rFonts w:hint="eastAsia" w:ascii="宋体" w:hAnsi="宋体" w:eastAsia="宋体" w:cs="宋体"/>
          <w:color w:val="auto"/>
          <w:sz w:val="28"/>
          <w:szCs w:val="28"/>
          <w:highlight w:val="none"/>
        </w:rPr>
      </w:pPr>
    </w:p>
    <w:p>
      <w:pPr>
        <w:pStyle w:val="8"/>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pPr>
        <w:spacing w:line="360" w:lineRule="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格式3</w:t>
      </w:r>
    </w:p>
    <w:p>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价格明细表</w:t>
      </w:r>
    </w:p>
    <w:p>
      <w:pPr>
        <w:pStyle w:val="8"/>
        <w:spacing w:line="360" w:lineRule="auto"/>
        <w:rPr>
          <w:rFonts w:hint="eastAsia" w:ascii="宋体" w:hAnsi="宋体" w:eastAsia="宋体" w:cs="宋体"/>
          <w:color w:val="auto"/>
          <w:sz w:val="28"/>
          <w:szCs w:val="28"/>
          <w:highlight w:val="none"/>
        </w:rPr>
      </w:pPr>
    </w:p>
    <w:p>
      <w:pPr>
        <w:spacing w:line="360" w:lineRule="auto"/>
        <w:jc w:val="center"/>
        <w:rPr>
          <w:rFonts w:hint="eastAsia" w:ascii="宋体" w:hAnsi="宋体" w:eastAsia="宋体" w:cs="宋体"/>
          <w:b/>
          <w:bCs/>
          <w:color w:val="auto"/>
          <w:sz w:val="28"/>
          <w:szCs w:val="28"/>
          <w:highlight w:val="none"/>
        </w:rPr>
        <w:sectPr>
          <w:pgSz w:w="11907" w:h="16840"/>
          <w:pgMar w:top="1418" w:right="1418" w:bottom="1418" w:left="1418" w:header="857" w:footer="999" w:gutter="0"/>
          <w:pgNumType w:fmt="numberInDash"/>
          <w:cols w:space="720" w:num="1"/>
          <w:docGrid w:linePitch="286" w:charSpace="0"/>
        </w:sectPr>
      </w:pPr>
      <w:r>
        <w:rPr>
          <w:rFonts w:hint="eastAsia" w:ascii="宋体" w:hAnsi="宋体" w:eastAsia="宋体" w:cs="宋体"/>
          <w:b/>
          <w:bCs/>
          <w:color w:val="auto"/>
          <w:sz w:val="28"/>
          <w:szCs w:val="28"/>
          <w:highlight w:val="none"/>
        </w:rPr>
        <w:t>（需投标人现场踏勘完毕结合现场提供服务价格明细）</w:t>
      </w:r>
    </w:p>
    <w:p>
      <w:pPr>
        <w:spacing w:line="360" w:lineRule="auto"/>
        <w:rPr>
          <w:rFonts w:hint="eastAsia" w:ascii="宋体" w:hAnsi="宋体" w:eastAsia="宋体" w:cs="宋体"/>
          <w:color w:val="auto"/>
          <w:sz w:val="32"/>
          <w:szCs w:val="32"/>
          <w:highlight w:val="none"/>
        </w:rPr>
      </w:pPr>
      <w:bookmarkStart w:id="474" w:name="_bookmark30"/>
      <w:bookmarkEnd w:id="474"/>
      <w:r>
        <w:rPr>
          <w:rFonts w:hint="eastAsia" w:ascii="宋体" w:hAnsi="宋体" w:eastAsia="宋体" w:cs="宋体"/>
          <w:b/>
          <w:bCs/>
          <w:color w:val="auto"/>
          <w:sz w:val="32"/>
          <w:szCs w:val="32"/>
          <w:highlight w:val="none"/>
        </w:rPr>
        <w:t>格式4</w:t>
      </w:r>
    </w:p>
    <w:p>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b/>
          <w:bCs/>
          <w:color w:val="auto"/>
          <w:sz w:val="32"/>
          <w:szCs w:val="32"/>
          <w:highlight w:val="none"/>
        </w:rPr>
        <w:t>保安服务方案</w:t>
      </w:r>
    </w:p>
    <w:p>
      <w:pPr>
        <w:pStyle w:val="8"/>
        <w:spacing w:line="360" w:lineRule="auto"/>
        <w:rPr>
          <w:rFonts w:hint="eastAsia" w:ascii="宋体" w:hAnsi="宋体" w:eastAsia="宋体" w:cs="宋体"/>
          <w:color w:val="auto"/>
          <w:sz w:val="28"/>
          <w:szCs w:val="28"/>
          <w:highlight w:val="none"/>
        </w:rPr>
      </w:pPr>
    </w:p>
    <w:p>
      <w:pPr>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（需投标人现场踏勘完毕结合现场提供整套服务方案）</w:t>
      </w:r>
    </w:p>
    <w:p>
      <w:pPr>
        <w:pStyle w:val="8"/>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pPr>
        <w:spacing w:line="360" w:lineRule="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格式5</w:t>
      </w:r>
    </w:p>
    <w:p>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投标人业绩证明</w:t>
      </w:r>
    </w:p>
    <w:p>
      <w:pPr>
        <w:pStyle w:val="10"/>
        <w:spacing w:before="156" w:beforeLines="50" w:line="360" w:lineRule="auto"/>
        <w:ind w:firstLine="560" w:firstLineChars="200"/>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投标人承诺以上项目为投标人实际服务的工程项目。如投标人成为本次项目的中标人，接受招标人对上述项目的现场核实。</w:t>
      </w:r>
    </w:p>
    <w:tbl>
      <w:tblPr>
        <w:tblStyle w:val="20"/>
        <w:tblW w:w="8511"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2245"/>
        <w:gridCol w:w="1955"/>
        <w:gridCol w:w="2022"/>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844" w:type="dxa"/>
          </w:tcPr>
          <w:p>
            <w:pPr>
              <w:pStyle w:val="10"/>
              <w:spacing w:line="360" w:lineRule="auto"/>
              <w:ind w:firstLine="0"/>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序号</w:t>
            </w:r>
          </w:p>
        </w:tc>
        <w:tc>
          <w:tcPr>
            <w:tcW w:w="2245" w:type="dxa"/>
          </w:tcPr>
          <w:p>
            <w:pPr>
              <w:pStyle w:val="10"/>
              <w:spacing w:line="360" w:lineRule="auto"/>
              <w:ind w:firstLine="0"/>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项目名称</w:t>
            </w:r>
          </w:p>
        </w:tc>
        <w:tc>
          <w:tcPr>
            <w:tcW w:w="1955" w:type="dxa"/>
          </w:tcPr>
          <w:p>
            <w:pPr>
              <w:pStyle w:val="10"/>
              <w:spacing w:line="360" w:lineRule="auto"/>
              <w:ind w:firstLine="0"/>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项目地址</w:t>
            </w:r>
          </w:p>
        </w:tc>
        <w:tc>
          <w:tcPr>
            <w:tcW w:w="2022" w:type="dxa"/>
          </w:tcPr>
          <w:p>
            <w:pPr>
              <w:pStyle w:val="10"/>
              <w:spacing w:line="360" w:lineRule="auto"/>
              <w:ind w:firstLine="0"/>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服务日期</w:t>
            </w:r>
          </w:p>
        </w:tc>
        <w:tc>
          <w:tcPr>
            <w:tcW w:w="1445" w:type="dxa"/>
          </w:tcPr>
          <w:p>
            <w:pPr>
              <w:pStyle w:val="10"/>
              <w:spacing w:line="360" w:lineRule="auto"/>
              <w:ind w:firstLine="0"/>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844" w:type="dxa"/>
          </w:tcPr>
          <w:p>
            <w:pPr>
              <w:pStyle w:val="10"/>
              <w:spacing w:line="360" w:lineRule="auto"/>
              <w:ind w:firstLine="275"/>
              <w:rPr>
                <w:rFonts w:hint="eastAsia" w:ascii="宋体" w:hAnsi="宋体" w:eastAsia="宋体" w:cs="宋体"/>
                <w:bCs/>
                <w:color w:val="auto"/>
                <w:sz w:val="28"/>
                <w:szCs w:val="28"/>
                <w:highlight w:val="none"/>
              </w:rPr>
            </w:pPr>
          </w:p>
        </w:tc>
        <w:tc>
          <w:tcPr>
            <w:tcW w:w="2245" w:type="dxa"/>
          </w:tcPr>
          <w:p>
            <w:pPr>
              <w:pStyle w:val="10"/>
              <w:spacing w:line="360" w:lineRule="auto"/>
              <w:ind w:firstLine="275"/>
              <w:rPr>
                <w:rFonts w:hint="eastAsia" w:ascii="宋体" w:hAnsi="宋体" w:eastAsia="宋体" w:cs="宋体"/>
                <w:bCs/>
                <w:color w:val="auto"/>
                <w:sz w:val="28"/>
                <w:szCs w:val="28"/>
                <w:highlight w:val="none"/>
              </w:rPr>
            </w:pPr>
          </w:p>
        </w:tc>
        <w:tc>
          <w:tcPr>
            <w:tcW w:w="1955" w:type="dxa"/>
          </w:tcPr>
          <w:p>
            <w:pPr>
              <w:pStyle w:val="10"/>
              <w:spacing w:line="360" w:lineRule="auto"/>
              <w:ind w:firstLine="275"/>
              <w:rPr>
                <w:rFonts w:hint="eastAsia" w:ascii="宋体" w:hAnsi="宋体" w:eastAsia="宋体" w:cs="宋体"/>
                <w:bCs/>
                <w:color w:val="auto"/>
                <w:sz w:val="28"/>
                <w:szCs w:val="28"/>
                <w:highlight w:val="none"/>
              </w:rPr>
            </w:pPr>
          </w:p>
        </w:tc>
        <w:tc>
          <w:tcPr>
            <w:tcW w:w="2022" w:type="dxa"/>
          </w:tcPr>
          <w:p>
            <w:pPr>
              <w:pStyle w:val="10"/>
              <w:spacing w:line="360" w:lineRule="auto"/>
              <w:ind w:firstLine="275"/>
              <w:rPr>
                <w:rFonts w:hint="eastAsia" w:ascii="宋体" w:hAnsi="宋体" w:eastAsia="宋体" w:cs="宋体"/>
                <w:bCs/>
                <w:color w:val="auto"/>
                <w:sz w:val="28"/>
                <w:szCs w:val="28"/>
                <w:highlight w:val="none"/>
              </w:rPr>
            </w:pPr>
          </w:p>
        </w:tc>
        <w:tc>
          <w:tcPr>
            <w:tcW w:w="1445" w:type="dxa"/>
          </w:tcPr>
          <w:p>
            <w:pPr>
              <w:pStyle w:val="10"/>
              <w:spacing w:line="360" w:lineRule="auto"/>
              <w:ind w:firstLine="275"/>
              <w:rPr>
                <w:rFonts w:hint="eastAsia" w:ascii="宋体" w:hAnsi="宋体" w:eastAsia="宋体" w:cs="宋体"/>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844" w:type="dxa"/>
          </w:tcPr>
          <w:p>
            <w:pPr>
              <w:pStyle w:val="10"/>
              <w:spacing w:line="360" w:lineRule="auto"/>
              <w:ind w:firstLine="275"/>
              <w:rPr>
                <w:rFonts w:hint="eastAsia" w:ascii="宋体" w:hAnsi="宋体" w:eastAsia="宋体" w:cs="宋体"/>
                <w:bCs/>
                <w:color w:val="auto"/>
                <w:sz w:val="28"/>
                <w:szCs w:val="28"/>
                <w:highlight w:val="none"/>
              </w:rPr>
            </w:pPr>
          </w:p>
        </w:tc>
        <w:tc>
          <w:tcPr>
            <w:tcW w:w="2245" w:type="dxa"/>
          </w:tcPr>
          <w:p>
            <w:pPr>
              <w:pStyle w:val="10"/>
              <w:spacing w:line="360" w:lineRule="auto"/>
              <w:ind w:firstLine="275"/>
              <w:rPr>
                <w:rFonts w:hint="eastAsia" w:ascii="宋体" w:hAnsi="宋体" w:eastAsia="宋体" w:cs="宋体"/>
                <w:bCs/>
                <w:color w:val="auto"/>
                <w:sz w:val="28"/>
                <w:szCs w:val="28"/>
                <w:highlight w:val="none"/>
              </w:rPr>
            </w:pPr>
          </w:p>
        </w:tc>
        <w:tc>
          <w:tcPr>
            <w:tcW w:w="1955" w:type="dxa"/>
          </w:tcPr>
          <w:p>
            <w:pPr>
              <w:pStyle w:val="10"/>
              <w:spacing w:line="360" w:lineRule="auto"/>
              <w:ind w:firstLine="275"/>
              <w:rPr>
                <w:rFonts w:hint="eastAsia" w:ascii="宋体" w:hAnsi="宋体" w:eastAsia="宋体" w:cs="宋体"/>
                <w:bCs/>
                <w:color w:val="auto"/>
                <w:sz w:val="28"/>
                <w:szCs w:val="28"/>
                <w:highlight w:val="none"/>
              </w:rPr>
            </w:pPr>
          </w:p>
        </w:tc>
        <w:tc>
          <w:tcPr>
            <w:tcW w:w="2022" w:type="dxa"/>
          </w:tcPr>
          <w:p>
            <w:pPr>
              <w:pStyle w:val="10"/>
              <w:spacing w:line="360" w:lineRule="auto"/>
              <w:ind w:firstLine="275"/>
              <w:rPr>
                <w:rFonts w:hint="eastAsia" w:ascii="宋体" w:hAnsi="宋体" w:eastAsia="宋体" w:cs="宋体"/>
                <w:bCs/>
                <w:color w:val="auto"/>
                <w:sz w:val="28"/>
                <w:szCs w:val="28"/>
                <w:highlight w:val="none"/>
              </w:rPr>
            </w:pPr>
          </w:p>
        </w:tc>
        <w:tc>
          <w:tcPr>
            <w:tcW w:w="1445" w:type="dxa"/>
          </w:tcPr>
          <w:p>
            <w:pPr>
              <w:pStyle w:val="10"/>
              <w:spacing w:line="360" w:lineRule="auto"/>
              <w:ind w:firstLine="275"/>
              <w:rPr>
                <w:rFonts w:hint="eastAsia" w:ascii="宋体" w:hAnsi="宋体" w:eastAsia="宋体" w:cs="宋体"/>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844" w:type="dxa"/>
          </w:tcPr>
          <w:p>
            <w:pPr>
              <w:pStyle w:val="10"/>
              <w:spacing w:line="360" w:lineRule="auto"/>
              <w:ind w:firstLine="275"/>
              <w:rPr>
                <w:rFonts w:hint="eastAsia" w:ascii="宋体" w:hAnsi="宋体" w:eastAsia="宋体" w:cs="宋体"/>
                <w:bCs/>
                <w:color w:val="auto"/>
                <w:sz w:val="28"/>
                <w:szCs w:val="28"/>
                <w:highlight w:val="none"/>
              </w:rPr>
            </w:pPr>
          </w:p>
        </w:tc>
        <w:tc>
          <w:tcPr>
            <w:tcW w:w="2245" w:type="dxa"/>
          </w:tcPr>
          <w:p>
            <w:pPr>
              <w:pStyle w:val="10"/>
              <w:spacing w:line="360" w:lineRule="auto"/>
              <w:ind w:firstLine="275"/>
              <w:rPr>
                <w:rFonts w:hint="eastAsia" w:ascii="宋体" w:hAnsi="宋体" w:eastAsia="宋体" w:cs="宋体"/>
                <w:bCs/>
                <w:color w:val="auto"/>
                <w:sz w:val="28"/>
                <w:szCs w:val="28"/>
                <w:highlight w:val="none"/>
              </w:rPr>
            </w:pPr>
          </w:p>
        </w:tc>
        <w:tc>
          <w:tcPr>
            <w:tcW w:w="1955" w:type="dxa"/>
          </w:tcPr>
          <w:p>
            <w:pPr>
              <w:pStyle w:val="10"/>
              <w:spacing w:line="360" w:lineRule="auto"/>
              <w:ind w:firstLine="275"/>
              <w:rPr>
                <w:rFonts w:hint="eastAsia" w:ascii="宋体" w:hAnsi="宋体" w:eastAsia="宋体" w:cs="宋体"/>
                <w:bCs/>
                <w:color w:val="auto"/>
                <w:sz w:val="28"/>
                <w:szCs w:val="28"/>
                <w:highlight w:val="none"/>
              </w:rPr>
            </w:pPr>
          </w:p>
        </w:tc>
        <w:tc>
          <w:tcPr>
            <w:tcW w:w="2022" w:type="dxa"/>
          </w:tcPr>
          <w:p>
            <w:pPr>
              <w:pStyle w:val="10"/>
              <w:spacing w:line="360" w:lineRule="auto"/>
              <w:ind w:firstLine="275"/>
              <w:rPr>
                <w:rFonts w:hint="eastAsia" w:ascii="宋体" w:hAnsi="宋体" w:eastAsia="宋体" w:cs="宋体"/>
                <w:bCs/>
                <w:color w:val="auto"/>
                <w:sz w:val="28"/>
                <w:szCs w:val="28"/>
                <w:highlight w:val="none"/>
              </w:rPr>
            </w:pPr>
          </w:p>
        </w:tc>
        <w:tc>
          <w:tcPr>
            <w:tcW w:w="1445" w:type="dxa"/>
          </w:tcPr>
          <w:p>
            <w:pPr>
              <w:pStyle w:val="10"/>
              <w:spacing w:line="360" w:lineRule="auto"/>
              <w:ind w:firstLine="275"/>
              <w:rPr>
                <w:rFonts w:hint="eastAsia" w:ascii="宋体" w:hAnsi="宋体" w:eastAsia="宋体" w:cs="宋体"/>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844" w:type="dxa"/>
          </w:tcPr>
          <w:p>
            <w:pPr>
              <w:pStyle w:val="10"/>
              <w:spacing w:line="360" w:lineRule="auto"/>
              <w:ind w:firstLine="275"/>
              <w:rPr>
                <w:rFonts w:hint="eastAsia" w:ascii="宋体" w:hAnsi="宋体" w:eastAsia="宋体" w:cs="宋体"/>
                <w:bCs/>
                <w:color w:val="auto"/>
                <w:sz w:val="28"/>
                <w:szCs w:val="28"/>
                <w:highlight w:val="none"/>
              </w:rPr>
            </w:pPr>
          </w:p>
        </w:tc>
        <w:tc>
          <w:tcPr>
            <w:tcW w:w="2245" w:type="dxa"/>
          </w:tcPr>
          <w:p>
            <w:pPr>
              <w:pStyle w:val="10"/>
              <w:spacing w:line="360" w:lineRule="auto"/>
              <w:ind w:firstLine="275"/>
              <w:rPr>
                <w:rFonts w:hint="eastAsia" w:ascii="宋体" w:hAnsi="宋体" w:eastAsia="宋体" w:cs="宋体"/>
                <w:bCs/>
                <w:color w:val="auto"/>
                <w:sz w:val="28"/>
                <w:szCs w:val="28"/>
                <w:highlight w:val="none"/>
              </w:rPr>
            </w:pPr>
          </w:p>
        </w:tc>
        <w:tc>
          <w:tcPr>
            <w:tcW w:w="1955" w:type="dxa"/>
          </w:tcPr>
          <w:p>
            <w:pPr>
              <w:pStyle w:val="10"/>
              <w:spacing w:line="360" w:lineRule="auto"/>
              <w:ind w:firstLine="275"/>
              <w:rPr>
                <w:rFonts w:hint="eastAsia" w:ascii="宋体" w:hAnsi="宋体" w:eastAsia="宋体" w:cs="宋体"/>
                <w:bCs/>
                <w:color w:val="auto"/>
                <w:sz w:val="28"/>
                <w:szCs w:val="28"/>
                <w:highlight w:val="none"/>
              </w:rPr>
            </w:pPr>
          </w:p>
        </w:tc>
        <w:tc>
          <w:tcPr>
            <w:tcW w:w="2022" w:type="dxa"/>
          </w:tcPr>
          <w:p>
            <w:pPr>
              <w:pStyle w:val="10"/>
              <w:spacing w:line="360" w:lineRule="auto"/>
              <w:ind w:firstLine="275"/>
              <w:rPr>
                <w:rFonts w:hint="eastAsia" w:ascii="宋体" w:hAnsi="宋体" w:eastAsia="宋体" w:cs="宋体"/>
                <w:bCs/>
                <w:color w:val="auto"/>
                <w:sz w:val="28"/>
                <w:szCs w:val="28"/>
                <w:highlight w:val="none"/>
              </w:rPr>
            </w:pPr>
          </w:p>
        </w:tc>
        <w:tc>
          <w:tcPr>
            <w:tcW w:w="1445" w:type="dxa"/>
          </w:tcPr>
          <w:p>
            <w:pPr>
              <w:pStyle w:val="10"/>
              <w:spacing w:line="360" w:lineRule="auto"/>
              <w:ind w:firstLine="275"/>
              <w:rPr>
                <w:rFonts w:hint="eastAsia" w:ascii="宋体" w:hAnsi="宋体" w:eastAsia="宋体" w:cs="宋体"/>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6" w:hRule="atLeast"/>
        </w:trPr>
        <w:tc>
          <w:tcPr>
            <w:tcW w:w="844" w:type="dxa"/>
          </w:tcPr>
          <w:p>
            <w:pPr>
              <w:pStyle w:val="10"/>
              <w:spacing w:line="360" w:lineRule="auto"/>
              <w:ind w:firstLine="275"/>
              <w:rPr>
                <w:rFonts w:hint="eastAsia" w:ascii="宋体" w:hAnsi="宋体" w:eastAsia="宋体" w:cs="宋体"/>
                <w:bCs/>
                <w:color w:val="auto"/>
                <w:sz w:val="28"/>
                <w:szCs w:val="28"/>
                <w:highlight w:val="none"/>
              </w:rPr>
            </w:pPr>
          </w:p>
        </w:tc>
        <w:tc>
          <w:tcPr>
            <w:tcW w:w="2245" w:type="dxa"/>
          </w:tcPr>
          <w:p>
            <w:pPr>
              <w:pStyle w:val="10"/>
              <w:spacing w:line="360" w:lineRule="auto"/>
              <w:ind w:firstLine="275"/>
              <w:rPr>
                <w:rFonts w:hint="eastAsia" w:ascii="宋体" w:hAnsi="宋体" w:eastAsia="宋体" w:cs="宋体"/>
                <w:bCs/>
                <w:color w:val="auto"/>
                <w:sz w:val="28"/>
                <w:szCs w:val="28"/>
                <w:highlight w:val="none"/>
              </w:rPr>
            </w:pPr>
          </w:p>
        </w:tc>
        <w:tc>
          <w:tcPr>
            <w:tcW w:w="1955" w:type="dxa"/>
          </w:tcPr>
          <w:p>
            <w:pPr>
              <w:pStyle w:val="10"/>
              <w:spacing w:line="360" w:lineRule="auto"/>
              <w:ind w:firstLine="275"/>
              <w:rPr>
                <w:rFonts w:hint="eastAsia" w:ascii="宋体" w:hAnsi="宋体" w:eastAsia="宋体" w:cs="宋体"/>
                <w:bCs/>
                <w:color w:val="auto"/>
                <w:sz w:val="28"/>
                <w:szCs w:val="28"/>
                <w:highlight w:val="none"/>
              </w:rPr>
            </w:pPr>
          </w:p>
        </w:tc>
        <w:tc>
          <w:tcPr>
            <w:tcW w:w="2022" w:type="dxa"/>
          </w:tcPr>
          <w:p>
            <w:pPr>
              <w:pStyle w:val="10"/>
              <w:spacing w:line="360" w:lineRule="auto"/>
              <w:ind w:firstLine="275"/>
              <w:rPr>
                <w:rFonts w:hint="eastAsia" w:ascii="宋体" w:hAnsi="宋体" w:eastAsia="宋体" w:cs="宋体"/>
                <w:bCs/>
                <w:color w:val="auto"/>
                <w:sz w:val="28"/>
                <w:szCs w:val="28"/>
                <w:highlight w:val="none"/>
              </w:rPr>
            </w:pPr>
          </w:p>
        </w:tc>
        <w:tc>
          <w:tcPr>
            <w:tcW w:w="1445" w:type="dxa"/>
          </w:tcPr>
          <w:p>
            <w:pPr>
              <w:pStyle w:val="10"/>
              <w:spacing w:line="360" w:lineRule="auto"/>
              <w:ind w:firstLine="275"/>
              <w:rPr>
                <w:rFonts w:hint="eastAsia" w:ascii="宋体" w:hAnsi="宋体" w:eastAsia="宋体" w:cs="宋体"/>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844" w:type="dxa"/>
          </w:tcPr>
          <w:p>
            <w:pPr>
              <w:pStyle w:val="10"/>
              <w:spacing w:line="360" w:lineRule="auto"/>
              <w:ind w:firstLine="275"/>
              <w:rPr>
                <w:rFonts w:hint="eastAsia" w:ascii="宋体" w:hAnsi="宋体" w:eastAsia="宋体" w:cs="宋体"/>
                <w:bCs/>
                <w:color w:val="auto"/>
                <w:sz w:val="28"/>
                <w:szCs w:val="28"/>
                <w:highlight w:val="none"/>
              </w:rPr>
            </w:pPr>
          </w:p>
        </w:tc>
        <w:tc>
          <w:tcPr>
            <w:tcW w:w="2245" w:type="dxa"/>
          </w:tcPr>
          <w:p>
            <w:pPr>
              <w:pStyle w:val="10"/>
              <w:spacing w:line="360" w:lineRule="auto"/>
              <w:ind w:firstLine="275"/>
              <w:rPr>
                <w:rFonts w:hint="eastAsia" w:ascii="宋体" w:hAnsi="宋体" w:eastAsia="宋体" w:cs="宋体"/>
                <w:bCs/>
                <w:color w:val="auto"/>
                <w:sz w:val="28"/>
                <w:szCs w:val="28"/>
                <w:highlight w:val="none"/>
              </w:rPr>
            </w:pPr>
          </w:p>
        </w:tc>
        <w:tc>
          <w:tcPr>
            <w:tcW w:w="1955" w:type="dxa"/>
          </w:tcPr>
          <w:p>
            <w:pPr>
              <w:pStyle w:val="10"/>
              <w:spacing w:line="360" w:lineRule="auto"/>
              <w:ind w:firstLine="275"/>
              <w:rPr>
                <w:rFonts w:hint="eastAsia" w:ascii="宋体" w:hAnsi="宋体" w:eastAsia="宋体" w:cs="宋体"/>
                <w:bCs/>
                <w:color w:val="auto"/>
                <w:sz w:val="28"/>
                <w:szCs w:val="28"/>
                <w:highlight w:val="none"/>
              </w:rPr>
            </w:pPr>
          </w:p>
        </w:tc>
        <w:tc>
          <w:tcPr>
            <w:tcW w:w="2022" w:type="dxa"/>
          </w:tcPr>
          <w:p>
            <w:pPr>
              <w:pStyle w:val="10"/>
              <w:spacing w:line="360" w:lineRule="auto"/>
              <w:ind w:firstLine="275"/>
              <w:rPr>
                <w:rFonts w:hint="eastAsia" w:ascii="宋体" w:hAnsi="宋体" w:eastAsia="宋体" w:cs="宋体"/>
                <w:bCs/>
                <w:color w:val="auto"/>
                <w:sz w:val="28"/>
                <w:szCs w:val="28"/>
                <w:highlight w:val="none"/>
              </w:rPr>
            </w:pPr>
          </w:p>
        </w:tc>
        <w:tc>
          <w:tcPr>
            <w:tcW w:w="1445" w:type="dxa"/>
          </w:tcPr>
          <w:p>
            <w:pPr>
              <w:pStyle w:val="10"/>
              <w:spacing w:line="360" w:lineRule="auto"/>
              <w:ind w:firstLine="275"/>
              <w:rPr>
                <w:rFonts w:hint="eastAsia" w:ascii="宋体" w:hAnsi="宋体" w:eastAsia="宋体" w:cs="宋体"/>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844" w:type="dxa"/>
          </w:tcPr>
          <w:p>
            <w:pPr>
              <w:pStyle w:val="10"/>
              <w:spacing w:line="360" w:lineRule="auto"/>
              <w:ind w:firstLine="275"/>
              <w:rPr>
                <w:rFonts w:hint="eastAsia" w:ascii="宋体" w:hAnsi="宋体" w:eastAsia="宋体" w:cs="宋体"/>
                <w:bCs/>
                <w:color w:val="auto"/>
                <w:sz w:val="28"/>
                <w:szCs w:val="28"/>
                <w:highlight w:val="none"/>
              </w:rPr>
            </w:pPr>
          </w:p>
        </w:tc>
        <w:tc>
          <w:tcPr>
            <w:tcW w:w="2245" w:type="dxa"/>
          </w:tcPr>
          <w:p>
            <w:pPr>
              <w:pStyle w:val="10"/>
              <w:spacing w:line="360" w:lineRule="auto"/>
              <w:ind w:firstLine="275"/>
              <w:rPr>
                <w:rFonts w:hint="eastAsia" w:ascii="宋体" w:hAnsi="宋体" w:eastAsia="宋体" w:cs="宋体"/>
                <w:bCs/>
                <w:color w:val="auto"/>
                <w:sz w:val="28"/>
                <w:szCs w:val="28"/>
                <w:highlight w:val="none"/>
              </w:rPr>
            </w:pPr>
          </w:p>
        </w:tc>
        <w:tc>
          <w:tcPr>
            <w:tcW w:w="1955" w:type="dxa"/>
          </w:tcPr>
          <w:p>
            <w:pPr>
              <w:pStyle w:val="10"/>
              <w:spacing w:line="360" w:lineRule="auto"/>
              <w:ind w:firstLine="275"/>
              <w:rPr>
                <w:rFonts w:hint="eastAsia" w:ascii="宋体" w:hAnsi="宋体" w:eastAsia="宋体" w:cs="宋体"/>
                <w:bCs/>
                <w:color w:val="auto"/>
                <w:sz w:val="28"/>
                <w:szCs w:val="28"/>
                <w:highlight w:val="none"/>
              </w:rPr>
            </w:pPr>
          </w:p>
        </w:tc>
        <w:tc>
          <w:tcPr>
            <w:tcW w:w="2022" w:type="dxa"/>
          </w:tcPr>
          <w:p>
            <w:pPr>
              <w:pStyle w:val="10"/>
              <w:spacing w:line="360" w:lineRule="auto"/>
              <w:ind w:firstLine="275"/>
              <w:rPr>
                <w:rFonts w:hint="eastAsia" w:ascii="宋体" w:hAnsi="宋体" w:eastAsia="宋体" w:cs="宋体"/>
                <w:bCs/>
                <w:color w:val="auto"/>
                <w:sz w:val="28"/>
                <w:szCs w:val="28"/>
                <w:highlight w:val="none"/>
              </w:rPr>
            </w:pPr>
          </w:p>
        </w:tc>
        <w:tc>
          <w:tcPr>
            <w:tcW w:w="1445" w:type="dxa"/>
          </w:tcPr>
          <w:p>
            <w:pPr>
              <w:pStyle w:val="10"/>
              <w:spacing w:line="360" w:lineRule="auto"/>
              <w:ind w:firstLine="275"/>
              <w:rPr>
                <w:rFonts w:hint="eastAsia" w:ascii="宋体" w:hAnsi="宋体" w:eastAsia="宋体" w:cs="宋体"/>
                <w:bCs/>
                <w:color w:val="auto"/>
                <w:sz w:val="28"/>
                <w:szCs w:val="28"/>
                <w:highlight w:val="none"/>
              </w:rPr>
            </w:pPr>
          </w:p>
        </w:tc>
      </w:tr>
    </w:tbl>
    <w:p>
      <w:pPr>
        <w:pStyle w:val="10"/>
        <w:spacing w:line="360" w:lineRule="auto"/>
        <w:ind w:firstLine="275"/>
        <w:rPr>
          <w:rFonts w:hint="eastAsia" w:ascii="宋体" w:hAnsi="宋体" w:eastAsia="宋体" w:cs="宋体"/>
          <w:bCs/>
          <w:color w:val="auto"/>
          <w:sz w:val="28"/>
          <w:szCs w:val="28"/>
          <w:highlight w:val="none"/>
        </w:rPr>
      </w:pPr>
    </w:p>
    <w:p>
      <w:pPr>
        <w:spacing w:line="360" w:lineRule="auto"/>
        <w:ind w:firstLine="280" w:firstLineChars="1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投标人（全称并加盖公章）：</w:t>
      </w:r>
    </w:p>
    <w:p>
      <w:pPr>
        <w:spacing w:line="360" w:lineRule="auto"/>
        <w:ind w:firstLine="280" w:firstLineChars="1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 xml:space="preserve">投标人代表签字： </w:t>
      </w:r>
    </w:p>
    <w:p>
      <w:pPr>
        <w:spacing w:line="360" w:lineRule="auto"/>
        <w:ind w:firstLine="280" w:firstLineChars="1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      期：</w:t>
      </w:r>
    </w:p>
    <w:p>
      <w:pPr>
        <w:spacing w:line="360" w:lineRule="auto"/>
        <w:ind w:firstLine="275"/>
        <w:jc w:val="left"/>
        <w:rPr>
          <w:rFonts w:hint="eastAsia" w:ascii="宋体" w:hAnsi="宋体" w:eastAsia="宋体" w:cs="宋体"/>
          <w:b/>
          <w:bCs/>
          <w:color w:val="auto"/>
          <w:sz w:val="32"/>
          <w:szCs w:val="32"/>
          <w:highlight w:val="none"/>
        </w:rPr>
      </w:pPr>
      <w:r>
        <w:rPr>
          <w:rFonts w:hint="eastAsia" w:ascii="宋体" w:hAnsi="宋体" w:eastAsia="宋体" w:cs="宋体"/>
          <w:bCs/>
          <w:color w:val="auto"/>
          <w:sz w:val="28"/>
          <w:szCs w:val="28"/>
          <w:highlight w:val="none"/>
        </w:rPr>
        <w:br w:type="page"/>
      </w:r>
      <w:r>
        <w:rPr>
          <w:rFonts w:hint="eastAsia" w:ascii="宋体" w:hAnsi="宋体" w:eastAsia="宋体" w:cs="宋体"/>
          <w:b/>
          <w:bCs/>
          <w:color w:val="auto"/>
          <w:sz w:val="32"/>
          <w:szCs w:val="32"/>
          <w:highlight w:val="none"/>
        </w:rPr>
        <w:t>格式6</w:t>
      </w: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作业安全承诺书</w:t>
      </w:r>
    </w:p>
    <w:p>
      <w:pPr>
        <w:spacing w:line="360" w:lineRule="auto"/>
        <w:ind w:firstLine="275"/>
        <w:jc w:val="center"/>
        <w:rPr>
          <w:rFonts w:hint="eastAsia" w:ascii="宋体" w:hAnsi="宋体" w:eastAsia="宋体" w:cs="宋体"/>
          <w:color w:val="auto"/>
          <w:sz w:val="28"/>
          <w:szCs w:val="28"/>
          <w:highlight w:val="none"/>
        </w:rPr>
      </w:pPr>
    </w:p>
    <w:p>
      <w:pPr>
        <w:spacing w:line="360" w:lineRule="auto"/>
        <w:ind w:firstLine="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致：厦门国贸城市服务集团股份有限公司</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为贯彻“安全第一，预防为主，综合治理”方针，保证作业质量和安全生产，保持良好的工作秩序和作业场所的卫生环境，保护作业人员的安全和身体健康，防止伤亡事故的发生。加强对作业人员在贵司管辖范围内进行的外包项目作业安全管理（□建筑施工□装修作业□设施设备的安装□维修施工□设备保养□保洁作业□外墙清洗□水池清洗□化粪池清掏□消杀作业□绿化施工与养护☑秩序维护服务□其他____________），我司承诺如下：</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一、加强对现场工作人员的安全教育，增强现场工作人员的安全意识和安全技术水平。</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二、作业携带的设备及用具，符合国家和企业安全规程要求，特种作业人员须持有效证件操作。</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在作业时设置醒目的警示标牌及安全标识，明确指定现场安全负责人，加强作业地点的文明卫生及安全管理，所有作业人员正确穿戴好防护用品，遵守贵司的各种规章制度、现场管理规定，做到安全、文明作业。</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在作业过程中，采取符合国家标准的安全防护措施，做到“三不伤害”（自己不伤害自己，自己不伤害他人，自己不被他人伤害），确保不出安全责任事故。在作业过程中发生的一切伤亡（包括由我司造成贵司人员、其他人员、行人伤亡）、火警、火灾、机械等事故，由我司负责事故上报、经济赔偿和善后处理。事故的损失和善后处理费用均由我司承担。</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五、我司对作业人员投保相关的安全责任险。</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六、我司认真执行国家、行业等相关作业的安全技术操作规程。作业时，与贵司项目负责人保持密切联系，如作业需要动用贵司水、电和其它设备设施或进行危险作业（拆除、吊装、危险搬运、登高作业、动火、临时用电、电气安装、切割焊接、绿化修剪、消杀作业等），必须与贵司办理相关手续后实施，接水、接电必须由贵司或贵司指定人员操作。未经贵司允许，我司不得擅自使用和移动贵司的设备设施，否则所发生的一切后果由我司承担。</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七、在高温、大风等不良气候条件下作业时，我司自备防高温、防风、防雨、防雷击等安全措施，确保安全作业。</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八、我司作业人员不得擅自进入业主的非作业区域，若因作业需要临时进入业主非作业区域，应向贵司专业负责人办理登记手续、取得业主同意后才可入内，进入人员须严格遵守业主各项规章制度。</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九、作业过程中，我司注意作业现场地下管线及高低压架空线路的保护。贵司项目对口负责人对地下管线和障碍物应详细交底，我司应遵守交底要求，如遇有情况，应及时向贵司和有关部门联系，采取保护措施。</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十、作业材料堆放整齐，垃圾及时处理，不影响贵司正常秩序及通信畅通。</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十一、贵司有权对我司作业现场安全进行指导及监督，对作业现场检查时提出的违章现象和安全隐患，我司立即整改。如出现危及人身和设备安全的紧急情况，贵司有权对我司进行处罚或责令我司停止作业。</w:t>
      </w:r>
    </w:p>
    <w:p>
      <w:pPr>
        <w:spacing w:line="360" w:lineRule="auto"/>
        <w:ind w:firstLine="560" w:firstLineChars="200"/>
        <w:jc w:val="left"/>
        <w:rPr>
          <w:rFonts w:hint="eastAsia" w:ascii="宋体" w:hAnsi="宋体" w:eastAsia="宋体" w:cs="宋体"/>
          <w:color w:val="auto"/>
          <w:sz w:val="28"/>
          <w:szCs w:val="28"/>
          <w:highlight w:val="none"/>
        </w:rPr>
      </w:pPr>
    </w:p>
    <w:p>
      <w:pPr>
        <w:spacing w:line="360" w:lineRule="auto"/>
        <w:ind w:firstLine="275"/>
        <w:jc w:val="left"/>
        <w:rPr>
          <w:rFonts w:hint="eastAsia" w:ascii="宋体" w:hAnsi="宋体" w:eastAsia="宋体" w:cs="宋体"/>
          <w:color w:val="auto"/>
          <w:sz w:val="28"/>
          <w:szCs w:val="28"/>
          <w:highlight w:val="none"/>
        </w:rPr>
      </w:pPr>
    </w:p>
    <w:p>
      <w:pPr>
        <w:pStyle w:val="10"/>
        <w:spacing w:line="360" w:lineRule="auto"/>
        <w:ind w:firstLine="0" w:firstLineChars="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投标人（全称并加盖公章）：</w:t>
      </w:r>
    </w:p>
    <w:p>
      <w:pPr>
        <w:spacing w:line="360" w:lineRule="auto"/>
        <w:ind w:firstLine="0" w:firstLineChars="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 xml:space="preserve">投标人代表签字： </w:t>
      </w:r>
    </w:p>
    <w:p>
      <w:pPr>
        <w:spacing w:line="360" w:lineRule="auto"/>
        <w:ind w:firstLine="0" w:firstLineChars="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      期：</w:t>
      </w:r>
    </w:p>
    <w:p>
      <w:pPr>
        <w:spacing w:line="360" w:lineRule="auto"/>
        <w:ind w:firstLine="314"/>
        <w:rPr>
          <w:rFonts w:hint="eastAsia" w:ascii="宋体" w:hAnsi="宋体" w:eastAsia="宋体" w:cs="宋体"/>
          <w:b/>
          <w:bCs/>
          <w:color w:val="auto"/>
          <w:sz w:val="28"/>
          <w:szCs w:val="28"/>
          <w:highlight w:val="none"/>
        </w:rPr>
      </w:pPr>
    </w:p>
    <w:p>
      <w:pPr>
        <w:spacing w:line="360" w:lineRule="auto"/>
        <w:ind w:firstLine="314"/>
        <w:rPr>
          <w:rFonts w:hint="eastAsia" w:ascii="宋体" w:hAnsi="宋体" w:eastAsia="宋体" w:cs="宋体"/>
          <w:b/>
          <w:bCs/>
          <w:color w:val="auto"/>
          <w:sz w:val="28"/>
          <w:szCs w:val="28"/>
          <w:highlight w:val="none"/>
        </w:rPr>
      </w:pPr>
    </w:p>
    <w:p>
      <w:pPr>
        <w:spacing w:line="360" w:lineRule="auto"/>
        <w:ind w:firstLine="314"/>
        <w:rPr>
          <w:rFonts w:hint="eastAsia" w:ascii="宋体" w:hAnsi="宋体" w:eastAsia="宋体" w:cs="宋体"/>
          <w:b/>
          <w:bCs/>
          <w:color w:val="auto"/>
          <w:sz w:val="28"/>
          <w:szCs w:val="28"/>
          <w:highlight w:val="none"/>
        </w:rPr>
      </w:pPr>
    </w:p>
    <w:p>
      <w:pPr>
        <w:spacing w:line="360" w:lineRule="auto"/>
        <w:ind w:firstLine="314"/>
        <w:rPr>
          <w:rFonts w:hint="eastAsia" w:ascii="宋体" w:hAnsi="宋体" w:eastAsia="宋体" w:cs="宋体"/>
          <w:b/>
          <w:bCs/>
          <w:color w:val="auto"/>
          <w:sz w:val="28"/>
          <w:szCs w:val="28"/>
          <w:highlight w:val="none"/>
        </w:rPr>
      </w:pPr>
    </w:p>
    <w:p>
      <w:pPr>
        <w:spacing w:line="360" w:lineRule="auto"/>
        <w:ind w:firstLine="314"/>
        <w:rPr>
          <w:rFonts w:hint="eastAsia" w:ascii="宋体" w:hAnsi="宋体" w:eastAsia="宋体" w:cs="宋体"/>
          <w:b/>
          <w:bCs/>
          <w:color w:val="auto"/>
          <w:sz w:val="28"/>
          <w:szCs w:val="28"/>
          <w:highlight w:val="none"/>
        </w:rPr>
      </w:pPr>
    </w:p>
    <w:p>
      <w:pPr>
        <w:spacing w:line="360" w:lineRule="auto"/>
        <w:ind w:firstLine="314"/>
        <w:rPr>
          <w:rFonts w:hint="eastAsia" w:ascii="宋体" w:hAnsi="宋体" w:eastAsia="宋体" w:cs="宋体"/>
          <w:b/>
          <w:bCs/>
          <w:color w:val="auto"/>
          <w:sz w:val="28"/>
          <w:szCs w:val="28"/>
          <w:highlight w:val="none"/>
        </w:rPr>
      </w:pPr>
    </w:p>
    <w:p>
      <w:pPr>
        <w:spacing w:line="360" w:lineRule="auto"/>
        <w:ind w:firstLine="314"/>
        <w:rPr>
          <w:rFonts w:hint="eastAsia" w:ascii="宋体" w:hAnsi="宋体" w:eastAsia="宋体" w:cs="宋体"/>
          <w:b/>
          <w:bCs/>
          <w:color w:val="auto"/>
          <w:sz w:val="28"/>
          <w:szCs w:val="28"/>
          <w:highlight w:val="none"/>
        </w:rPr>
      </w:pPr>
    </w:p>
    <w:p>
      <w:pPr>
        <w:spacing w:line="360" w:lineRule="auto"/>
        <w:ind w:firstLine="314"/>
        <w:rPr>
          <w:rFonts w:hint="eastAsia" w:ascii="宋体" w:hAnsi="宋体" w:eastAsia="宋体" w:cs="宋体"/>
          <w:b/>
          <w:bCs/>
          <w:color w:val="auto"/>
          <w:sz w:val="28"/>
          <w:szCs w:val="28"/>
          <w:highlight w:val="none"/>
        </w:rPr>
      </w:pPr>
    </w:p>
    <w:p>
      <w:pPr>
        <w:spacing w:line="360" w:lineRule="auto"/>
        <w:ind w:firstLine="314"/>
        <w:rPr>
          <w:rFonts w:hint="eastAsia" w:ascii="宋体" w:hAnsi="宋体" w:eastAsia="宋体" w:cs="宋体"/>
          <w:b/>
          <w:bCs/>
          <w:color w:val="auto"/>
          <w:sz w:val="28"/>
          <w:szCs w:val="28"/>
          <w:highlight w:val="none"/>
        </w:rPr>
      </w:pPr>
    </w:p>
    <w:p>
      <w:pPr>
        <w:spacing w:line="360" w:lineRule="auto"/>
        <w:ind w:firstLine="314"/>
        <w:rPr>
          <w:rFonts w:hint="eastAsia" w:ascii="宋体" w:hAnsi="宋体" w:eastAsia="宋体" w:cs="宋体"/>
          <w:b/>
          <w:bCs/>
          <w:color w:val="auto"/>
          <w:sz w:val="28"/>
          <w:szCs w:val="28"/>
          <w:highlight w:val="none"/>
        </w:rPr>
      </w:pPr>
    </w:p>
    <w:p>
      <w:pPr>
        <w:spacing w:line="360" w:lineRule="auto"/>
        <w:ind w:firstLine="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格式7 </w:t>
      </w:r>
    </w:p>
    <w:p>
      <w:pPr>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32"/>
          <w:szCs w:val="32"/>
          <w:highlight w:val="none"/>
        </w:rPr>
        <w:t>售后服务承诺</w:t>
      </w:r>
      <w:r>
        <w:rPr>
          <w:rFonts w:hint="eastAsia" w:ascii="宋体" w:hAnsi="宋体" w:cs="宋体"/>
          <w:b/>
          <w:bCs/>
          <w:color w:val="auto"/>
          <w:sz w:val="32"/>
          <w:szCs w:val="32"/>
          <w:highlight w:val="none"/>
          <w:lang w:val="en-US" w:eastAsia="zh-CN"/>
        </w:rPr>
        <w:t>书</w:t>
      </w:r>
      <w:r>
        <w:rPr>
          <w:rFonts w:hint="eastAsia" w:ascii="宋体" w:hAnsi="宋体" w:eastAsia="宋体" w:cs="宋体"/>
          <w:b/>
          <w:bCs/>
          <w:color w:val="auto"/>
          <w:sz w:val="28"/>
          <w:szCs w:val="28"/>
          <w:highlight w:val="none"/>
        </w:rPr>
        <w:cr/>
      </w:r>
    </w:p>
    <w:p>
      <w:pPr>
        <w:pStyle w:val="8"/>
        <w:tabs>
          <w:tab w:val="left" w:pos="4580"/>
        </w:tabs>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根据贵方为</w:t>
      </w:r>
      <w:r>
        <w:rPr>
          <w:rFonts w:hint="eastAsia" w:ascii="宋体" w:hAnsi="宋体" w:eastAsia="宋体" w:cs="宋体"/>
          <w:color w:val="auto"/>
          <w:sz w:val="28"/>
          <w:szCs w:val="28"/>
          <w:highlight w:val="none"/>
          <w:u w:val="single"/>
        </w:rPr>
        <w:tab/>
      </w:r>
      <w:r>
        <w:rPr>
          <w:rFonts w:hint="eastAsia" w:ascii="宋体" w:hAnsi="宋体" w:eastAsia="宋体" w:cs="宋体"/>
          <w:color w:val="auto"/>
          <w:sz w:val="28"/>
          <w:szCs w:val="28"/>
          <w:highlight w:val="none"/>
        </w:rPr>
        <w:t>招标项目的投标要求，我公司对该项目做出如下售后服务方案：</w:t>
      </w:r>
    </w:p>
    <w:p>
      <w:pPr>
        <w:pStyle w:val="8"/>
        <w:spacing w:line="360" w:lineRule="auto"/>
        <w:ind w:right="146" w:firstLine="560" w:firstLineChars="200"/>
        <w:jc w:val="left"/>
        <w:rPr>
          <w:rFonts w:hint="eastAsia" w:ascii="宋体" w:hAnsi="宋体" w:cs="宋体"/>
          <w:color w:val="auto"/>
          <w:sz w:val="28"/>
          <w:szCs w:val="28"/>
          <w:highlight w:val="none"/>
          <w:lang w:val="en-US" w:eastAsia="zh-CN"/>
        </w:rPr>
      </w:pPr>
      <w:r>
        <w:rPr>
          <w:rFonts w:hint="eastAsia" w:ascii="宋体" w:hAnsi="宋体" w:eastAsia="宋体" w:cs="宋体"/>
          <w:color w:val="auto"/>
          <w:sz w:val="28"/>
          <w:szCs w:val="28"/>
          <w:highlight w:val="none"/>
        </w:rPr>
        <w:t>内容根据招标文件要求自拟</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其中</w:t>
      </w:r>
    </w:p>
    <w:p>
      <w:pPr>
        <w:pStyle w:val="8"/>
        <w:spacing w:line="360" w:lineRule="auto"/>
        <w:ind w:right="146" w:firstLine="560" w:firstLineChars="200"/>
        <w:jc w:val="left"/>
        <w:rPr>
          <w:rFonts w:hint="eastAsia" w:ascii="宋体" w:hAnsi="宋体" w:cs="宋体"/>
          <w:b/>
          <w:color w:val="auto"/>
          <w:sz w:val="28"/>
          <w:szCs w:val="28"/>
          <w:highlight w:val="none"/>
          <w:lang w:val="en-US" w:eastAsia="zh-CN"/>
        </w:rPr>
      </w:pPr>
      <w:r>
        <w:rPr>
          <w:rFonts w:hint="eastAsia" w:ascii="宋体" w:hAnsi="宋体" w:cs="宋体"/>
          <w:color w:val="auto"/>
          <w:sz w:val="28"/>
          <w:szCs w:val="28"/>
          <w:highlight w:val="none"/>
          <w:lang w:val="en-US" w:eastAsia="zh-CN"/>
        </w:rPr>
        <w:t>招标文件中的【</w:t>
      </w:r>
      <w:r>
        <w:rPr>
          <w:rFonts w:hint="eastAsia" w:ascii="宋体" w:hAnsi="宋体" w:cs="宋体"/>
          <w:b/>
          <w:color w:val="auto"/>
          <w:sz w:val="28"/>
          <w:szCs w:val="28"/>
          <w:highlight w:val="none"/>
          <w:lang w:val="en-US" w:eastAsia="zh-CN"/>
        </w:rPr>
        <w:t>招标内容及要求】【第一节】【三、人员要求】（1）至（13）条所列的内容，投标方必须无遗漏逐条在承诺书中写明。</w:t>
      </w:r>
    </w:p>
    <w:p>
      <w:pPr>
        <w:pStyle w:val="8"/>
        <w:spacing w:line="360" w:lineRule="auto"/>
        <w:ind w:right="146" w:firstLine="562" w:firstLineChars="200"/>
        <w:jc w:val="left"/>
        <w:rPr>
          <w:rFonts w:hint="default"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进场计划中，提前5天接管项目的人员费用自行承担的承诺。</w:t>
      </w:r>
    </w:p>
    <w:p>
      <w:pPr>
        <w:pStyle w:val="8"/>
        <w:spacing w:line="360" w:lineRule="auto"/>
        <w:ind w:right="146"/>
        <w:jc w:val="left"/>
        <w:rPr>
          <w:rFonts w:hint="eastAsia" w:ascii="宋体" w:hAnsi="宋体" w:eastAsia="宋体" w:cs="宋体"/>
          <w:color w:val="auto"/>
          <w:sz w:val="28"/>
          <w:szCs w:val="28"/>
          <w:highlight w:val="none"/>
          <w:lang w:val="en-US" w:eastAsia="zh-CN"/>
        </w:rPr>
      </w:pPr>
    </w:p>
    <w:p>
      <w:pPr>
        <w:spacing w:line="360" w:lineRule="auto"/>
        <w:ind w:firstLine="560" w:firstLineChars="200"/>
        <w:rPr>
          <w:rFonts w:hint="eastAsia" w:ascii="宋体" w:hAnsi="宋体" w:eastAsia="宋体" w:cs="宋体"/>
          <w:color w:val="auto"/>
          <w:sz w:val="28"/>
          <w:szCs w:val="28"/>
          <w:highlight w:val="none"/>
        </w:rPr>
      </w:pPr>
    </w:p>
    <w:p>
      <w:pPr>
        <w:tabs>
          <w:tab w:val="left" w:pos="6814"/>
        </w:tabs>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ab/>
      </w:r>
    </w:p>
    <w:p>
      <w:pPr>
        <w:spacing w:line="360" w:lineRule="auto"/>
        <w:rPr>
          <w:rFonts w:hint="eastAsia" w:ascii="宋体" w:hAnsi="宋体" w:eastAsia="宋体" w:cs="宋体"/>
          <w:color w:val="auto"/>
          <w:sz w:val="28"/>
          <w:szCs w:val="28"/>
          <w:highlight w:val="none"/>
        </w:rPr>
      </w:pPr>
    </w:p>
    <w:p>
      <w:pPr>
        <w:spacing w:line="360" w:lineRule="auto"/>
        <w:ind w:firstLine="4900" w:firstLineChars="17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投标人全称（加盖公章）：</w:t>
      </w:r>
    </w:p>
    <w:p>
      <w:pPr>
        <w:spacing w:line="360" w:lineRule="auto"/>
        <w:ind w:firstLine="4900" w:firstLineChars="175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投标人代表签字：</w:t>
      </w:r>
    </w:p>
    <w:p>
      <w:pPr>
        <w:spacing w:line="360" w:lineRule="auto"/>
        <w:ind w:firstLine="4900" w:firstLineChars="175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日          期：</w:t>
      </w:r>
    </w:p>
    <w:p>
      <w:pPr>
        <w:spacing w:line="360" w:lineRule="auto"/>
        <w:rPr>
          <w:rFonts w:hint="eastAsia" w:ascii="宋体" w:hAnsi="宋体" w:eastAsia="宋体" w:cs="宋体"/>
          <w:color w:val="auto"/>
          <w:sz w:val="28"/>
          <w:szCs w:val="28"/>
          <w:highlight w:val="none"/>
        </w:rPr>
      </w:pPr>
    </w:p>
    <w:p>
      <w:pPr>
        <w:spacing w:line="360" w:lineRule="auto"/>
        <w:ind w:firstLine="314"/>
        <w:rPr>
          <w:rFonts w:hint="eastAsia" w:ascii="宋体" w:hAnsi="宋体" w:eastAsia="宋体" w:cs="宋体"/>
          <w:b/>
          <w:bCs/>
          <w:color w:val="auto"/>
          <w:sz w:val="28"/>
          <w:szCs w:val="28"/>
          <w:highlight w:val="none"/>
        </w:rPr>
      </w:pPr>
    </w:p>
    <w:p>
      <w:pPr>
        <w:spacing w:line="360" w:lineRule="auto"/>
        <w:ind w:firstLine="314"/>
        <w:rPr>
          <w:rFonts w:hint="eastAsia" w:ascii="宋体" w:hAnsi="宋体" w:eastAsia="宋体" w:cs="宋体"/>
          <w:b/>
          <w:bCs/>
          <w:color w:val="auto"/>
          <w:sz w:val="28"/>
          <w:szCs w:val="28"/>
          <w:highlight w:val="none"/>
        </w:rPr>
      </w:pPr>
    </w:p>
    <w:p>
      <w:pPr>
        <w:spacing w:line="360" w:lineRule="auto"/>
        <w:ind w:firstLine="314"/>
        <w:rPr>
          <w:rFonts w:hint="eastAsia" w:ascii="宋体" w:hAnsi="宋体" w:eastAsia="宋体" w:cs="宋体"/>
          <w:b/>
          <w:bCs/>
          <w:color w:val="auto"/>
          <w:sz w:val="28"/>
          <w:szCs w:val="28"/>
          <w:highlight w:val="none"/>
        </w:rPr>
      </w:pPr>
    </w:p>
    <w:p>
      <w:pPr>
        <w:spacing w:line="360" w:lineRule="auto"/>
        <w:ind w:firstLine="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格式8   </w:t>
      </w:r>
    </w:p>
    <w:p>
      <w:pPr>
        <w:spacing w:line="360" w:lineRule="auto"/>
        <w:ind w:firstLine="354"/>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32"/>
          <w:szCs w:val="32"/>
          <w:highlight w:val="none"/>
        </w:rPr>
        <w:t>法定代表人授权书</w:t>
      </w:r>
      <w:r>
        <w:rPr>
          <w:rFonts w:hint="eastAsia" w:ascii="宋体" w:hAnsi="宋体" w:eastAsia="宋体" w:cs="宋体"/>
          <w:b/>
          <w:bCs/>
          <w:color w:val="auto"/>
          <w:sz w:val="28"/>
          <w:szCs w:val="28"/>
          <w:highlight w:val="none"/>
        </w:rPr>
        <w:cr/>
      </w:r>
    </w:p>
    <w:p>
      <w:pPr>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致</w:t>
      </w:r>
      <w:r>
        <w:rPr>
          <w:rFonts w:hint="eastAsia" w:ascii="宋体" w:hAnsi="宋体" w:eastAsia="宋体" w:cs="宋体"/>
          <w:color w:val="auto"/>
          <w:sz w:val="28"/>
          <w:szCs w:val="28"/>
          <w:highlight w:val="none"/>
          <w:u w:val="single"/>
        </w:rPr>
        <w:t>厦门国贸服务城市集团股份有限公司</w:t>
      </w:r>
      <w:r>
        <w:rPr>
          <w:rFonts w:hint="eastAsia" w:ascii="宋体" w:hAnsi="宋体" w:eastAsia="宋体" w:cs="宋体"/>
          <w:color w:val="auto"/>
          <w:sz w:val="28"/>
          <w:szCs w:val="28"/>
          <w:highlight w:val="none"/>
        </w:rPr>
        <w:t>：</w:t>
      </w:r>
    </w:p>
    <w:p>
      <w:pPr>
        <w:pStyle w:val="1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（投标人全称）</w:t>
      </w: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u w:val="single"/>
        </w:rPr>
        <w:t xml:space="preserve">  （法人姓名）  </w:t>
      </w:r>
      <w:r>
        <w:rPr>
          <w:rFonts w:hint="eastAsia" w:ascii="宋体" w:hAnsi="宋体" w:eastAsia="宋体" w:cs="宋体"/>
          <w:color w:val="auto"/>
          <w:sz w:val="28"/>
          <w:szCs w:val="28"/>
          <w:highlight w:val="none"/>
        </w:rPr>
        <w:t>授权</w:t>
      </w:r>
      <w:r>
        <w:rPr>
          <w:rFonts w:hint="eastAsia" w:ascii="宋体" w:hAnsi="宋体" w:eastAsia="宋体" w:cs="宋体"/>
          <w:color w:val="auto"/>
          <w:sz w:val="28"/>
          <w:szCs w:val="28"/>
          <w:highlight w:val="none"/>
          <w:u w:val="single"/>
        </w:rPr>
        <w:t xml:space="preserve">  （投标人代表姓名） </w:t>
      </w:r>
      <w:r>
        <w:rPr>
          <w:rFonts w:hint="eastAsia" w:ascii="宋体" w:hAnsi="宋体" w:eastAsia="宋体" w:cs="宋体"/>
          <w:color w:val="auto"/>
          <w:sz w:val="28"/>
          <w:szCs w:val="28"/>
          <w:highlight w:val="none"/>
        </w:rPr>
        <w:t>为投标人代表，代表本公司参加贵公司组织的项目（</w:t>
      </w:r>
      <w:r>
        <w:rPr>
          <w:rFonts w:hint="eastAsia" w:ascii="宋体" w:hAnsi="宋体" w:eastAsia="宋体" w:cs="宋体"/>
          <w:color w:val="auto"/>
          <w:sz w:val="28"/>
          <w:szCs w:val="28"/>
          <w:highlight w:val="none"/>
          <w:u w:val="single"/>
        </w:rPr>
        <w:t xml:space="preserve">招标编号：       </w:t>
      </w:r>
      <w:r>
        <w:rPr>
          <w:rFonts w:hint="eastAsia" w:ascii="宋体" w:hAnsi="宋体" w:eastAsia="宋体" w:cs="宋体"/>
          <w:color w:val="auto"/>
          <w:sz w:val="28"/>
          <w:szCs w:val="28"/>
          <w:highlight w:val="none"/>
        </w:rPr>
        <w:t>）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pStyle w:val="10"/>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本授权书自出具之日起生效。</w:t>
      </w:r>
    </w:p>
    <w:p>
      <w:pPr>
        <w:spacing w:line="360" w:lineRule="auto"/>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投标人代表：</w:t>
      </w:r>
      <w:r>
        <w:rPr>
          <w:rFonts w:hint="eastAsia" w:ascii="宋体" w:hAnsi="宋体" w:eastAsia="宋体" w:cs="宋体"/>
          <w:color w:val="auto"/>
          <w:sz w:val="28"/>
          <w:szCs w:val="28"/>
          <w:highlight w:val="none"/>
          <w:u w:val="single"/>
        </w:rPr>
        <w:t xml:space="preserve">                         </w:t>
      </w:r>
    </w:p>
    <w:p>
      <w:pPr>
        <w:spacing w:line="360" w:lineRule="auto"/>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性别：</w:t>
      </w:r>
      <w:r>
        <w:rPr>
          <w:rFonts w:hint="eastAsia" w:ascii="宋体" w:hAnsi="宋体" w:eastAsia="宋体" w:cs="宋体"/>
          <w:color w:val="auto"/>
          <w:sz w:val="28"/>
          <w:szCs w:val="28"/>
          <w:highlight w:val="none"/>
          <w:u w:val="single"/>
        </w:rPr>
        <w:t xml:space="preserve">                               </w:t>
      </w:r>
    </w:p>
    <w:p>
      <w:pPr>
        <w:spacing w:line="360" w:lineRule="auto"/>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身份证号：</w:t>
      </w:r>
      <w:r>
        <w:rPr>
          <w:rFonts w:hint="eastAsia" w:ascii="宋体" w:hAnsi="宋体" w:eastAsia="宋体" w:cs="宋体"/>
          <w:color w:val="auto"/>
          <w:sz w:val="28"/>
          <w:szCs w:val="28"/>
          <w:highlight w:val="none"/>
          <w:u w:val="single"/>
        </w:rPr>
        <w:t xml:space="preserve">                           </w:t>
      </w:r>
    </w:p>
    <w:p>
      <w:pPr>
        <w:spacing w:line="360" w:lineRule="auto"/>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单位：</w:t>
      </w:r>
      <w:r>
        <w:rPr>
          <w:rFonts w:hint="eastAsia" w:ascii="宋体" w:hAnsi="宋体" w:eastAsia="宋体" w:cs="宋体"/>
          <w:color w:val="auto"/>
          <w:sz w:val="28"/>
          <w:szCs w:val="28"/>
          <w:highlight w:val="none"/>
          <w:u w:val="single"/>
        </w:rPr>
        <w:t xml:space="preserve">                               </w:t>
      </w:r>
    </w:p>
    <w:p>
      <w:pPr>
        <w:spacing w:line="360" w:lineRule="auto"/>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部门：</w:t>
      </w:r>
      <w:r>
        <w:rPr>
          <w:rFonts w:hint="eastAsia" w:ascii="宋体" w:hAnsi="宋体" w:eastAsia="宋体" w:cs="宋体"/>
          <w:color w:val="auto"/>
          <w:sz w:val="28"/>
          <w:szCs w:val="28"/>
          <w:highlight w:val="none"/>
          <w:u w:val="single"/>
        </w:rPr>
        <w:t xml:space="preserve">                               </w:t>
      </w:r>
    </w:p>
    <w:p>
      <w:pPr>
        <w:spacing w:line="360" w:lineRule="auto"/>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职务：</w:t>
      </w:r>
      <w:r>
        <w:rPr>
          <w:rFonts w:hint="eastAsia" w:ascii="宋体" w:hAnsi="宋体" w:eastAsia="宋体" w:cs="宋体"/>
          <w:color w:val="auto"/>
          <w:sz w:val="28"/>
          <w:szCs w:val="28"/>
          <w:highlight w:val="none"/>
          <w:u w:val="single"/>
        </w:rPr>
        <w:t xml:space="preserve">                               </w:t>
      </w:r>
    </w:p>
    <w:p>
      <w:pPr>
        <w:spacing w:line="360" w:lineRule="auto"/>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详细通讯地址：</w:t>
      </w:r>
      <w:r>
        <w:rPr>
          <w:rFonts w:hint="eastAsia" w:ascii="宋体" w:hAnsi="宋体" w:eastAsia="宋体" w:cs="宋体"/>
          <w:color w:val="auto"/>
          <w:sz w:val="28"/>
          <w:szCs w:val="28"/>
          <w:highlight w:val="none"/>
          <w:u w:val="single"/>
        </w:rPr>
        <w:t xml:space="preserve">                       </w:t>
      </w:r>
    </w:p>
    <w:p>
      <w:pPr>
        <w:spacing w:line="360" w:lineRule="auto"/>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邮政编码：</w:t>
      </w:r>
      <w:r>
        <w:rPr>
          <w:rFonts w:hint="eastAsia" w:ascii="宋体" w:hAnsi="宋体" w:eastAsia="宋体" w:cs="宋体"/>
          <w:color w:val="auto"/>
          <w:sz w:val="28"/>
          <w:szCs w:val="28"/>
          <w:highlight w:val="none"/>
          <w:u w:val="single"/>
        </w:rPr>
        <w:t xml:space="preserve">                           </w:t>
      </w:r>
    </w:p>
    <w:p>
      <w:pPr>
        <w:spacing w:line="360" w:lineRule="auto"/>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电话：</w:t>
      </w:r>
      <w:r>
        <w:rPr>
          <w:rFonts w:hint="eastAsia" w:ascii="宋体" w:hAnsi="宋体" w:eastAsia="宋体" w:cs="宋体"/>
          <w:color w:val="auto"/>
          <w:sz w:val="28"/>
          <w:szCs w:val="28"/>
          <w:highlight w:val="none"/>
          <w:u w:val="single"/>
        </w:rPr>
        <w:t xml:space="preserve">                               </w:t>
      </w:r>
    </w:p>
    <w:p>
      <w:pPr>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附：被授权人身份证件</w:t>
      </w:r>
    </w:p>
    <w:p>
      <w:pPr>
        <w:spacing w:line="360" w:lineRule="auto"/>
        <w:jc w:val="left"/>
        <w:rPr>
          <w:rFonts w:hint="eastAsia" w:ascii="宋体" w:hAnsi="宋体" w:eastAsia="宋体" w:cs="宋体"/>
          <w:color w:val="auto"/>
          <w:sz w:val="28"/>
          <w:szCs w:val="28"/>
          <w:highlight w:val="none"/>
        </w:rPr>
      </w:pPr>
    </w:p>
    <w:p>
      <w:pPr>
        <w:spacing w:line="360" w:lineRule="auto"/>
        <w:jc w:val="left"/>
        <w:rPr>
          <w:rFonts w:hint="eastAsia" w:ascii="宋体" w:hAnsi="宋体" w:eastAsia="宋体" w:cs="宋体"/>
          <w:color w:val="auto"/>
          <w:sz w:val="28"/>
          <w:szCs w:val="28"/>
          <w:highlight w:val="none"/>
        </w:rPr>
      </w:pPr>
    </w:p>
    <w:p>
      <w:pPr>
        <w:spacing w:line="360" w:lineRule="auto"/>
        <w:ind w:firstLine="4480" w:firstLineChars="16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授权方</w:t>
      </w:r>
    </w:p>
    <w:p>
      <w:pPr>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投标人：</w:t>
      </w:r>
      <w:r>
        <w:rPr>
          <w:rFonts w:hint="eastAsia" w:ascii="宋体" w:hAnsi="宋体" w:eastAsia="宋体" w:cs="宋体"/>
          <w:color w:val="auto"/>
          <w:sz w:val="28"/>
          <w:szCs w:val="28"/>
          <w:highlight w:val="none"/>
          <w:u w:val="single"/>
        </w:rPr>
        <w:t>（全称并加盖公章）</w:t>
      </w:r>
      <w:r>
        <w:rPr>
          <w:rFonts w:hint="eastAsia" w:ascii="宋体" w:hAnsi="宋体" w:eastAsia="宋体" w:cs="宋体"/>
          <w:color w:val="auto"/>
          <w:sz w:val="28"/>
          <w:szCs w:val="28"/>
          <w:highlight w:val="none"/>
        </w:rPr>
        <w:t>：</w:t>
      </w:r>
    </w:p>
    <w:p>
      <w:pPr>
        <w:spacing w:line="360" w:lineRule="auto"/>
        <w:ind w:firstLine="4480" w:firstLineChars="16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法定代表人签字：</w:t>
      </w:r>
    </w:p>
    <w:p>
      <w:pPr>
        <w:spacing w:line="360" w:lineRule="auto"/>
        <w:ind w:firstLine="4480" w:firstLineChars="16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     期：</w:t>
      </w:r>
    </w:p>
    <w:p>
      <w:pPr>
        <w:spacing w:line="360" w:lineRule="auto"/>
        <w:ind w:firstLine="4480" w:firstLineChars="16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接受授权方</w:t>
      </w:r>
    </w:p>
    <w:p>
      <w:pPr>
        <w:spacing w:line="360" w:lineRule="auto"/>
        <w:ind w:firstLine="4480" w:firstLineChars="16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投标人代表签字：</w:t>
      </w:r>
    </w:p>
    <w:p>
      <w:pPr>
        <w:spacing w:line="360" w:lineRule="auto"/>
        <w:ind w:firstLine="4480" w:firstLineChars="16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日     期：</w:t>
      </w:r>
    </w:p>
    <w:p>
      <w:pPr>
        <w:spacing w:line="360" w:lineRule="auto"/>
        <w:rPr>
          <w:rFonts w:hint="eastAsia" w:ascii="宋体" w:hAnsi="宋体" w:eastAsia="宋体" w:cs="宋体"/>
          <w:b/>
          <w:bCs/>
          <w:color w:val="auto"/>
          <w:sz w:val="28"/>
          <w:szCs w:val="28"/>
          <w:highlight w:val="none"/>
        </w:rPr>
        <w:sectPr>
          <w:pgSz w:w="11906" w:h="16838"/>
          <w:pgMar w:top="1701" w:right="1701" w:bottom="1701" w:left="1701" w:header="851" w:footer="992" w:gutter="0"/>
          <w:cols w:space="425" w:num="1"/>
          <w:docGrid w:type="lines" w:linePitch="312" w:charSpace="0"/>
        </w:sectPr>
      </w:pPr>
    </w:p>
    <w:p>
      <w:pPr>
        <w:spacing w:line="360" w:lineRule="auto"/>
        <w:ind w:firstLine="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格式9  </w:t>
      </w:r>
    </w:p>
    <w:p>
      <w:pPr>
        <w:spacing w:line="360" w:lineRule="auto"/>
        <w:ind w:firstLine="354"/>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法人营业执照</w:t>
      </w:r>
    </w:p>
    <w:p>
      <w:pPr>
        <w:spacing w:line="360" w:lineRule="auto"/>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致</w:t>
      </w:r>
      <w:r>
        <w:rPr>
          <w:rFonts w:hint="eastAsia" w:ascii="宋体" w:hAnsi="宋体" w:eastAsia="宋体" w:cs="宋体"/>
          <w:color w:val="auto"/>
          <w:sz w:val="28"/>
          <w:szCs w:val="28"/>
          <w:highlight w:val="none"/>
          <w:u w:val="single"/>
        </w:rPr>
        <w:t>厦门国贸服务城市集团股份有限公司</w:t>
      </w:r>
      <w:r>
        <w:rPr>
          <w:rFonts w:hint="eastAsia" w:ascii="宋体" w:hAnsi="宋体" w:eastAsia="宋体" w:cs="宋体"/>
          <w:color w:val="auto"/>
          <w:sz w:val="28"/>
          <w:szCs w:val="28"/>
          <w:highlight w:val="none"/>
        </w:rPr>
        <w:t>：</w:t>
      </w:r>
    </w:p>
    <w:p>
      <w:pPr>
        <w:spacing w:line="360" w:lineRule="auto"/>
        <w:rPr>
          <w:rFonts w:hint="eastAsia" w:ascii="宋体" w:hAnsi="宋体" w:eastAsia="宋体" w:cs="宋体"/>
          <w:color w:val="auto"/>
          <w:sz w:val="28"/>
          <w:szCs w:val="28"/>
          <w:highlight w:val="none"/>
        </w:rPr>
      </w:pP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现附上由（签发机关名称）签发的我方法人营业执照副本复印件，该执照真实有效。</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（注：法人营业执照提供复印件，由企业加盖公章并注明复印件与原件一致。）</w:t>
      </w:r>
    </w:p>
    <w:p>
      <w:pPr>
        <w:spacing w:line="360" w:lineRule="auto"/>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 w:val="28"/>
          <w:szCs w:val="28"/>
          <w:highlight w:val="none"/>
        </w:rPr>
      </w:pPr>
    </w:p>
    <w:p>
      <w:pPr>
        <w:spacing w:line="360" w:lineRule="auto"/>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 标 人（全称并加盖公章）：</w:t>
      </w:r>
    </w:p>
    <w:p>
      <w:pPr>
        <w:spacing w:line="360" w:lineRule="auto"/>
        <w:ind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投标人代表签字：</w:t>
      </w:r>
    </w:p>
    <w:p>
      <w:pPr>
        <w:spacing w:line="360" w:lineRule="auto"/>
        <w:ind w:firstLine="0" w:firstLineChars="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日      期：</w:t>
      </w:r>
    </w:p>
    <w:p>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pPr>
        <w:spacing w:line="360" w:lineRule="auto"/>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格式10</w:t>
      </w: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廉洁诚信承诺书</w:t>
      </w:r>
    </w:p>
    <w:p>
      <w:pPr>
        <w:spacing w:line="360" w:lineRule="auto"/>
        <w:ind w:firstLine="0"/>
        <w:jc w:val="both"/>
        <w:rPr>
          <w:rFonts w:hint="eastAsia" w:ascii="宋体" w:hAnsi="宋体" w:eastAsia="宋体" w:cs="宋体"/>
          <w:b/>
          <w:color w:val="auto"/>
          <w:sz w:val="28"/>
          <w:szCs w:val="28"/>
          <w:highlight w:val="none"/>
        </w:rPr>
      </w:pPr>
    </w:p>
    <w:p>
      <w:pPr>
        <w:spacing w:line="360" w:lineRule="auto"/>
        <w:ind w:left="-401" w:leftChars="-191" w:firstLine="275"/>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致</w:t>
      </w:r>
      <w:r>
        <w:rPr>
          <w:rFonts w:hint="eastAsia" w:ascii="宋体" w:hAnsi="宋体" w:eastAsia="宋体" w:cs="宋体"/>
          <w:color w:val="auto"/>
          <w:sz w:val="28"/>
          <w:szCs w:val="28"/>
          <w:highlight w:val="none"/>
          <w:u w:val="single"/>
        </w:rPr>
        <w:t>厦门国贸城市服务集团股份有限公司</w:t>
      </w:r>
      <w:r>
        <w:rPr>
          <w:rFonts w:hint="eastAsia" w:ascii="宋体" w:hAnsi="宋体" w:eastAsia="宋体" w:cs="宋体"/>
          <w:color w:val="auto"/>
          <w:sz w:val="28"/>
          <w:szCs w:val="28"/>
          <w:highlight w:val="none"/>
        </w:rPr>
        <w:t>：</w:t>
      </w:r>
    </w:p>
    <w:p>
      <w:pPr>
        <w:spacing w:line="360" w:lineRule="auto"/>
        <w:ind w:left="-405" w:leftChars="-193"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承诺方系</w:t>
      </w:r>
      <w:r>
        <w:rPr>
          <w:rFonts w:hint="eastAsia" w:ascii="宋体" w:hAnsi="宋体" w:eastAsia="宋体" w:cs="宋体"/>
          <w:color w:val="auto"/>
          <w:sz w:val="28"/>
          <w:szCs w:val="28"/>
          <w:highlight w:val="none"/>
          <w:u w:val="single"/>
        </w:rPr>
        <w:t>厦门国贸城市服务集团股份有限公司</w:t>
      </w:r>
      <w:r>
        <w:rPr>
          <w:rFonts w:hint="eastAsia" w:ascii="宋体" w:hAnsi="宋体" w:eastAsia="宋体" w:cs="宋体"/>
          <w:color w:val="auto"/>
          <w:sz w:val="28"/>
          <w:szCs w:val="28"/>
          <w:highlight w:val="none"/>
        </w:rPr>
        <w:t>（以下简称“</w:t>
      </w:r>
      <w:r>
        <w:rPr>
          <w:rFonts w:hint="eastAsia" w:ascii="宋体" w:hAnsi="宋体" w:eastAsia="宋体" w:cs="宋体"/>
          <w:color w:val="auto"/>
          <w:sz w:val="28"/>
          <w:szCs w:val="28"/>
          <w:highlight w:val="none"/>
          <w:u w:val="single"/>
        </w:rPr>
        <w:t>国贸服务”</w:t>
      </w:r>
      <w:r>
        <w:rPr>
          <w:rFonts w:hint="eastAsia" w:ascii="宋体" w:hAnsi="宋体" w:eastAsia="宋体" w:cs="宋体"/>
          <w:color w:val="auto"/>
          <w:sz w:val="28"/>
          <w:szCs w:val="28"/>
          <w:highlight w:val="none"/>
        </w:rPr>
        <w:t>）的供应商、服务商或合作商，在相关业务活动（包括但不限于交易洽谈、供货、服务、承揽、技术合作交流、付款）中接触</w:t>
      </w:r>
      <w:r>
        <w:rPr>
          <w:rFonts w:hint="eastAsia" w:ascii="宋体" w:hAnsi="宋体" w:eastAsia="宋体" w:cs="宋体"/>
          <w:color w:val="auto"/>
          <w:sz w:val="28"/>
          <w:szCs w:val="28"/>
          <w:highlight w:val="none"/>
          <w:u w:val="single"/>
        </w:rPr>
        <w:t>国贸服务</w:t>
      </w:r>
      <w:r>
        <w:rPr>
          <w:rFonts w:hint="eastAsia" w:ascii="宋体" w:hAnsi="宋体" w:eastAsia="宋体" w:cs="宋体"/>
          <w:color w:val="auto"/>
          <w:sz w:val="28"/>
          <w:szCs w:val="28"/>
          <w:highlight w:val="none"/>
        </w:rPr>
        <w:t>相关人员和资讯，在廉洁义务和操守方面做出如下承诺：</w:t>
      </w:r>
    </w:p>
    <w:p>
      <w:pPr>
        <w:spacing w:line="360" w:lineRule="auto"/>
        <w:ind w:left="-405" w:leftChars="-193"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一、自觉遵守国家法律、法规，按照《中国共产党纪律处分条例》《中华人民共和国反不正当竞争法》《关于禁止商业贿赂行为的暂行规定》《中华人民共和国招投标法》以及有关要求进行各项业务活动。</w:t>
      </w:r>
    </w:p>
    <w:p>
      <w:pPr>
        <w:spacing w:line="360" w:lineRule="auto"/>
        <w:ind w:left="-405" w:leftChars="-193"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二、不向</w:t>
      </w:r>
      <w:r>
        <w:rPr>
          <w:rFonts w:hint="eastAsia" w:ascii="宋体" w:hAnsi="宋体" w:eastAsia="宋体" w:cs="宋体"/>
          <w:color w:val="auto"/>
          <w:sz w:val="28"/>
          <w:szCs w:val="28"/>
          <w:highlight w:val="none"/>
          <w:u w:val="single"/>
        </w:rPr>
        <w:t>国贸服务</w:t>
      </w:r>
      <w:r>
        <w:rPr>
          <w:rFonts w:hint="eastAsia" w:ascii="宋体" w:hAnsi="宋体" w:eastAsia="宋体" w:cs="宋体"/>
          <w:color w:val="auto"/>
          <w:sz w:val="28"/>
          <w:szCs w:val="28"/>
          <w:highlight w:val="none"/>
        </w:rPr>
        <w:t>的工作人员及其亲属馈赠礼金、礼品（含有价证券）；不向</w:t>
      </w:r>
      <w:r>
        <w:rPr>
          <w:rFonts w:hint="eastAsia" w:ascii="宋体" w:hAnsi="宋体" w:eastAsia="宋体" w:cs="宋体"/>
          <w:color w:val="auto"/>
          <w:sz w:val="28"/>
          <w:szCs w:val="28"/>
          <w:highlight w:val="none"/>
          <w:u w:val="single"/>
        </w:rPr>
        <w:t>国贸服务</w:t>
      </w:r>
      <w:r>
        <w:rPr>
          <w:rFonts w:hint="eastAsia" w:ascii="宋体" w:hAnsi="宋体" w:eastAsia="宋体" w:cs="宋体"/>
          <w:color w:val="auto"/>
          <w:sz w:val="28"/>
          <w:szCs w:val="28"/>
          <w:highlight w:val="none"/>
        </w:rPr>
        <w:t>的工作人员提供任何应由其个人支付报酬的劳务和其他服务；不为</w:t>
      </w:r>
      <w:r>
        <w:rPr>
          <w:rFonts w:hint="eastAsia" w:ascii="宋体" w:hAnsi="宋体" w:eastAsia="宋体" w:cs="宋体"/>
          <w:color w:val="auto"/>
          <w:sz w:val="28"/>
          <w:szCs w:val="28"/>
          <w:highlight w:val="none"/>
          <w:u w:val="single"/>
        </w:rPr>
        <w:t>国贸服务</w:t>
      </w:r>
      <w:r>
        <w:rPr>
          <w:rFonts w:hint="eastAsia" w:ascii="宋体" w:hAnsi="宋体" w:eastAsia="宋体" w:cs="宋体"/>
          <w:color w:val="auto"/>
          <w:sz w:val="28"/>
          <w:szCs w:val="28"/>
          <w:highlight w:val="none"/>
        </w:rPr>
        <w:t>的工作人员安排可能影响公正执行公务的任何活动；不为</w:t>
      </w:r>
      <w:r>
        <w:rPr>
          <w:rFonts w:hint="eastAsia" w:ascii="宋体" w:hAnsi="宋体" w:eastAsia="宋体" w:cs="宋体"/>
          <w:color w:val="auto"/>
          <w:sz w:val="28"/>
          <w:szCs w:val="28"/>
          <w:highlight w:val="none"/>
          <w:u w:val="single"/>
        </w:rPr>
        <w:t>国贸服务</w:t>
      </w:r>
      <w:r>
        <w:rPr>
          <w:rFonts w:hint="eastAsia" w:ascii="宋体" w:hAnsi="宋体" w:eastAsia="宋体" w:cs="宋体"/>
          <w:color w:val="auto"/>
          <w:sz w:val="28"/>
          <w:szCs w:val="28"/>
          <w:highlight w:val="none"/>
        </w:rPr>
        <w:t>的工作人员支付应由其个人支付的任何赞助费、宣传费、咨询费、劳务费等；不为</w:t>
      </w:r>
      <w:r>
        <w:rPr>
          <w:rFonts w:hint="eastAsia" w:ascii="宋体" w:hAnsi="宋体" w:eastAsia="宋体" w:cs="宋体"/>
          <w:color w:val="auto"/>
          <w:sz w:val="28"/>
          <w:szCs w:val="28"/>
          <w:highlight w:val="none"/>
          <w:u w:val="single"/>
        </w:rPr>
        <w:t>国贸服务</w:t>
      </w:r>
      <w:r>
        <w:rPr>
          <w:rFonts w:hint="eastAsia" w:ascii="宋体" w:hAnsi="宋体" w:eastAsia="宋体" w:cs="宋体"/>
          <w:color w:val="auto"/>
          <w:sz w:val="28"/>
          <w:szCs w:val="28"/>
          <w:highlight w:val="none"/>
        </w:rPr>
        <w:t>工作人员报销任何名义的个人消费凭证。一经发现有上述行为，招标人有权取消中标资格。</w:t>
      </w:r>
    </w:p>
    <w:p>
      <w:pPr>
        <w:spacing w:line="360" w:lineRule="auto"/>
        <w:ind w:left="-405" w:leftChars="-193"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三、不与其他经营者串通报价和投标，不排挤其他经营者的公平竞争，损害其他经营者的合法权益；不在工程建设的预决算编制工作中弄虚作假、高估冒算。</w:t>
      </w:r>
    </w:p>
    <w:p>
      <w:pPr>
        <w:spacing w:line="360" w:lineRule="auto"/>
        <w:ind w:left="-405" w:leftChars="-193"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四、承诺方在与</w:t>
      </w:r>
      <w:r>
        <w:rPr>
          <w:rFonts w:hint="eastAsia" w:ascii="宋体" w:hAnsi="宋体" w:eastAsia="宋体" w:cs="宋体"/>
          <w:color w:val="auto"/>
          <w:sz w:val="28"/>
          <w:szCs w:val="28"/>
          <w:highlight w:val="none"/>
          <w:u w:val="single"/>
        </w:rPr>
        <w:t>国贸服务</w:t>
      </w:r>
      <w:r>
        <w:rPr>
          <w:rFonts w:hint="eastAsia" w:ascii="宋体" w:hAnsi="宋体" w:eastAsia="宋体" w:cs="宋体"/>
          <w:color w:val="auto"/>
          <w:sz w:val="28"/>
          <w:szCs w:val="28"/>
          <w:highlight w:val="none"/>
        </w:rPr>
        <w:t>达成和交易履行过程中，提供的资质证明、证照、企业及个人资料、住所、产品名称、规格、品质、服务标准、票据、权证、权利限制均为真实，不存在虚假、欺瞒、伪造、变造行为，如上述情况发生变更，承诺方需在5个工作日内通知</w:t>
      </w:r>
      <w:r>
        <w:rPr>
          <w:rFonts w:hint="eastAsia" w:ascii="宋体" w:hAnsi="宋体" w:eastAsia="宋体" w:cs="宋体"/>
          <w:color w:val="auto"/>
          <w:sz w:val="28"/>
          <w:szCs w:val="28"/>
          <w:highlight w:val="none"/>
          <w:u w:val="single"/>
        </w:rPr>
        <w:t>国贸服务</w:t>
      </w:r>
      <w:r>
        <w:rPr>
          <w:rFonts w:hint="eastAsia" w:ascii="宋体" w:hAnsi="宋体" w:eastAsia="宋体" w:cs="宋体"/>
          <w:color w:val="auto"/>
          <w:sz w:val="28"/>
          <w:szCs w:val="28"/>
          <w:highlight w:val="none"/>
        </w:rPr>
        <w:t>备案存档。</w:t>
      </w:r>
    </w:p>
    <w:p>
      <w:pPr>
        <w:spacing w:line="360" w:lineRule="auto"/>
        <w:ind w:left="-405" w:leftChars="-193"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五、承诺方禁止提供仿冒品（包括但不限于如贴牌、掺杂掺假，以次充好，以旧冒新、以不合格冒充合格）或不符合</w:t>
      </w:r>
      <w:r>
        <w:rPr>
          <w:rFonts w:hint="eastAsia" w:ascii="宋体" w:hAnsi="宋体" w:eastAsia="宋体" w:cs="宋体"/>
          <w:color w:val="auto"/>
          <w:sz w:val="28"/>
          <w:szCs w:val="28"/>
          <w:highlight w:val="none"/>
          <w:u w:val="single"/>
        </w:rPr>
        <w:t>国贸服务</w:t>
      </w:r>
      <w:r>
        <w:rPr>
          <w:rFonts w:hint="eastAsia" w:ascii="宋体" w:hAnsi="宋体" w:eastAsia="宋体" w:cs="宋体"/>
          <w:color w:val="auto"/>
          <w:sz w:val="28"/>
          <w:szCs w:val="28"/>
          <w:highlight w:val="none"/>
        </w:rPr>
        <w:t>所需规格之商品提供</w:t>
      </w:r>
      <w:r>
        <w:rPr>
          <w:rFonts w:hint="eastAsia" w:ascii="宋体" w:hAnsi="宋体" w:eastAsia="宋体" w:cs="宋体"/>
          <w:color w:val="auto"/>
          <w:sz w:val="28"/>
          <w:szCs w:val="28"/>
          <w:highlight w:val="none"/>
          <w:u w:val="single"/>
        </w:rPr>
        <w:t>国贸服务</w:t>
      </w:r>
      <w:r>
        <w:rPr>
          <w:rFonts w:hint="eastAsia" w:ascii="宋体" w:hAnsi="宋体" w:eastAsia="宋体" w:cs="宋体"/>
          <w:color w:val="auto"/>
          <w:sz w:val="28"/>
          <w:szCs w:val="28"/>
          <w:highlight w:val="none"/>
        </w:rPr>
        <w:t>使用。</w:t>
      </w:r>
    </w:p>
    <w:p>
      <w:pPr>
        <w:spacing w:line="360" w:lineRule="auto"/>
        <w:ind w:left="-405" w:leftChars="-193"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六、承诺方同意</w:t>
      </w:r>
      <w:r>
        <w:rPr>
          <w:rFonts w:hint="eastAsia" w:ascii="宋体" w:hAnsi="宋体" w:eastAsia="宋体" w:cs="宋体"/>
          <w:color w:val="auto"/>
          <w:sz w:val="28"/>
          <w:szCs w:val="28"/>
          <w:highlight w:val="none"/>
          <w:u w:val="single"/>
        </w:rPr>
        <w:t>国贸服务</w:t>
      </w:r>
      <w:r>
        <w:rPr>
          <w:rFonts w:hint="eastAsia" w:ascii="宋体" w:hAnsi="宋体" w:eastAsia="宋体" w:cs="宋体"/>
          <w:color w:val="auto"/>
          <w:sz w:val="28"/>
          <w:szCs w:val="28"/>
          <w:highlight w:val="none"/>
        </w:rPr>
        <w:t>依其保密制度所划列的机密资料可包括一切关于</w:t>
      </w:r>
      <w:r>
        <w:rPr>
          <w:rFonts w:hint="eastAsia" w:ascii="宋体" w:hAnsi="宋体" w:eastAsia="宋体" w:cs="宋体"/>
          <w:color w:val="auto"/>
          <w:sz w:val="28"/>
          <w:szCs w:val="28"/>
          <w:highlight w:val="none"/>
          <w:u w:val="single"/>
        </w:rPr>
        <w:t>国贸服务</w:t>
      </w:r>
      <w:r>
        <w:rPr>
          <w:rFonts w:hint="eastAsia" w:ascii="宋体" w:hAnsi="宋体" w:eastAsia="宋体" w:cs="宋体"/>
          <w:color w:val="auto"/>
          <w:sz w:val="28"/>
          <w:szCs w:val="28"/>
          <w:highlight w:val="none"/>
        </w:rPr>
        <w:t>，无论是否有价值，被公开或正在采取保密措施的书面、口头或以其他形式呈现、保存之资讯、承诺方与接受机密资料五年内均有保密义务，未经</w:t>
      </w:r>
      <w:r>
        <w:rPr>
          <w:rFonts w:hint="eastAsia" w:ascii="宋体" w:hAnsi="宋体" w:eastAsia="宋体" w:cs="宋体"/>
          <w:color w:val="auto"/>
          <w:sz w:val="28"/>
          <w:szCs w:val="28"/>
          <w:highlight w:val="none"/>
          <w:u w:val="single"/>
        </w:rPr>
        <w:t>国贸服务</w:t>
      </w:r>
      <w:r>
        <w:rPr>
          <w:rFonts w:hint="eastAsia" w:ascii="宋体" w:hAnsi="宋体" w:eastAsia="宋体" w:cs="宋体"/>
          <w:color w:val="auto"/>
          <w:sz w:val="28"/>
          <w:szCs w:val="28"/>
          <w:highlight w:val="none"/>
        </w:rPr>
        <w:t>同意不得利用或向任何第三方泄露、交付。</w:t>
      </w:r>
    </w:p>
    <w:p>
      <w:pPr>
        <w:spacing w:line="360" w:lineRule="auto"/>
        <w:ind w:left="-405" w:leftChars="-193"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七、为净化采购相关秩序及环境，可至</w:t>
      </w:r>
      <w:r>
        <w:rPr>
          <w:rFonts w:hint="eastAsia" w:ascii="宋体" w:hAnsi="宋体" w:eastAsia="宋体" w:cs="宋体"/>
          <w:color w:val="auto"/>
          <w:sz w:val="28"/>
          <w:szCs w:val="28"/>
          <w:highlight w:val="none"/>
          <w:u w:val="single"/>
        </w:rPr>
        <w:t>国贸服务</w:t>
      </w:r>
      <w:r>
        <w:rPr>
          <w:rFonts w:hint="eastAsia" w:ascii="宋体" w:hAnsi="宋体" w:eastAsia="宋体" w:cs="宋体"/>
          <w:color w:val="auto"/>
          <w:sz w:val="28"/>
          <w:szCs w:val="28"/>
          <w:highlight w:val="none"/>
        </w:rPr>
        <w:t>进行投诉或申报。</w:t>
      </w:r>
    </w:p>
    <w:p>
      <w:pPr>
        <w:spacing w:line="360" w:lineRule="auto"/>
        <w:ind w:left="-405" w:leftChars="-193"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八、违约责任</w:t>
      </w:r>
    </w:p>
    <w:p>
      <w:pPr>
        <w:spacing w:line="360" w:lineRule="auto"/>
        <w:ind w:left="-405" w:leftChars="-193"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承诺方承诺如违反本承诺书所述任何义务，无论是否给</w:t>
      </w:r>
      <w:r>
        <w:rPr>
          <w:rFonts w:hint="eastAsia" w:ascii="宋体" w:hAnsi="宋体" w:eastAsia="宋体" w:cs="宋体"/>
          <w:color w:val="auto"/>
          <w:sz w:val="28"/>
          <w:szCs w:val="28"/>
          <w:highlight w:val="none"/>
          <w:u w:val="single"/>
        </w:rPr>
        <w:t>国贸服务</w:t>
      </w:r>
      <w:r>
        <w:rPr>
          <w:rFonts w:hint="eastAsia" w:ascii="宋体" w:hAnsi="宋体" w:eastAsia="宋体" w:cs="宋体"/>
          <w:color w:val="auto"/>
          <w:sz w:val="28"/>
          <w:szCs w:val="28"/>
          <w:highlight w:val="none"/>
        </w:rPr>
        <w:t>造成损失，承诺方将承担一切责任，并就</w:t>
      </w:r>
      <w:r>
        <w:rPr>
          <w:rFonts w:hint="eastAsia" w:ascii="宋体" w:hAnsi="宋体" w:eastAsia="宋体" w:cs="宋体"/>
          <w:color w:val="auto"/>
          <w:sz w:val="28"/>
          <w:szCs w:val="28"/>
          <w:highlight w:val="none"/>
          <w:u w:val="single"/>
        </w:rPr>
        <w:t>国贸服务</w:t>
      </w:r>
      <w:r>
        <w:rPr>
          <w:rFonts w:hint="eastAsia" w:ascii="宋体" w:hAnsi="宋体" w:eastAsia="宋体" w:cs="宋体"/>
          <w:color w:val="auto"/>
          <w:sz w:val="28"/>
          <w:szCs w:val="28"/>
          <w:highlight w:val="none"/>
        </w:rPr>
        <w:t>实际造成的经济、名誉损失进行赔偿。</w:t>
      </w:r>
      <w:r>
        <w:rPr>
          <w:rFonts w:hint="eastAsia" w:ascii="宋体" w:hAnsi="宋体" w:eastAsia="宋体" w:cs="宋体"/>
          <w:color w:val="auto"/>
          <w:sz w:val="28"/>
          <w:szCs w:val="28"/>
          <w:highlight w:val="none"/>
          <w:u w:val="single"/>
        </w:rPr>
        <w:t>国贸服务</w:t>
      </w:r>
      <w:r>
        <w:rPr>
          <w:rFonts w:hint="eastAsia" w:ascii="宋体" w:hAnsi="宋体" w:eastAsia="宋体" w:cs="宋体"/>
          <w:color w:val="auto"/>
          <w:sz w:val="28"/>
          <w:szCs w:val="28"/>
          <w:highlight w:val="none"/>
        </w:rPr>
        <w:t>有权解除双方合同并不负任何违约责任，有权从应付承诺方账款中扣罚，并可采用法律手段索赔。</w:t>
      </w:r>
    </w:p>
    <w:p>
      <w:pPr>
        <w:spacing w:line="360" w:lineRule="auto"/>
        <w:ind w:left="-405" w:leftChars="-193"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九、自觉接受监督。</w:t>
      </w:r>
    </w:p>
    <w:p>
      <w:pPr>
        <w:spacing w:line="360" w:lineRule="auto"/>
        <w:ind w:left="0" w:leftChars="0"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特此承诺。</w:t>
      </w:r>
    </w:p>
    <w:p>
      <w:pPr>
        <w:spacing w:line="360" w:lineRule="auto"/>
        <w:ind w:left="-105" w:leftChars="-50" w:firstLine="275"/>
        <w:jc w:val="righ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承诺人（投标人）名称（盖章）：</w:t>
      </w:r>
    </w:p>
    <w:p>
      <w:pPr>
        <w:spacing w:line="360" w:lineRule="auto"/>
        <w:ind w:left="-105" w:leftChars="-50" w:firstLine="275"/>
        <w:jc w:val="righ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法定代表人（或投标人代表）：</w:t>
      </w:r>
    </w:p>
    <w:p>
      <w:pPr>
        <w:spacing w:line="360" w:lineRule="auto"/>
        <w:ind w:firstLine="3360" w:firstLineChars="1200"/>
        <w:jc w:val="righ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w:t>
      </w:r>
    </w:p>
    <w:p>
      <w:pPr>
        <w:widowControl/>
        <w:spacing w:line="360" w:lineRule="auto"/>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pPr>
        <w:spacing w:line="36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格式11  </w:t>
      </w:r>
    </w:p>
    <w:p>
      <w:pPr>
        <w:spacing w:before="156" w:beforeLines="50" w:after="156" w:afterLines="50"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带“★”号条款逐条响应情况表</w:t>
      </w:r>
    </w:p>
    <w:p>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项目名称：        </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招标编号：</w:t>
      </w:r>
    </w:p>
    <w:tbl>
      <w:tblPr>
        <w:tblStyle w:val="19"/>
        <w:tblW w:w="9164"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844"/>
        <w:gridCol w:w="3737"/>
        <w:gridCol w:w="1996"/>
        <w:gridCol w:w="2587"/>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217" w:hRule="atLeast"/>
          <w:jc w:val="center"/>
        </w:trPr>
        <w:tc>
          <w:tcPr>
            <w:tcW w:w="844" w:type="dxa"/>
            <w:vAlign w:val="center"/>
          </w:tcPr>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序号</w:t>
            </w:r>
          </w:p>
        </w:tc>
        <w:tc>
          <w:tcPr>
            <w:tcW w:w="3737" w:type="dxa"/>
            <w:vAlign w:val="center"/>
          </w:tcPr>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招标文件中带“★”号的条款</w:t>
            </w:r>
          </w:p>
        </w:tc>
        <w:tc>
          <w:tcPr>
            <w:tcW w:w="1996" w:type="dxa"/>
            <w:vAlign w:val="center"/>
          </w:tcPr>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投标响应内容</w:t>
            </w:r>
          </w:p>
        </w:tc>
        <w:tc>
          <w:tcPr>
            <w:tcW w:w="2587" w:type="dxa"/>
            <w:vAlign w:val="center"/>
          </w:tcPr>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对应投标文件页码</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844" w:type="dxa"/>
            <w:vAlign w:val="center"/>
          </w:tcPr>
          <w:p>
            <w:pPr>
              <w:spacing w:line="360" w:lineRule="auto"/>
              <w:jc w:val="center"/>
              <w:rPr>
                <w:rFonts w:hint="eastAsia" w:ascii="宋体" w:hAnsi="宋体" w:eastAsia="宋体" w:cs="宋体"/>
                <w:color w:val="auto"/>
                <w:sz w:val="28"/>
                <w:szCs w:val="28"/>
                <w:highlight w:val="none"/>
              </w:rPr>
            </w:pPr>
          </w:p>
        </w:tc>
        <w:tc>
          <w:tcPr>
            <w:tcW w:w="3737" w:type="dxa"/>
            <w:vAlign w:val="center"/>
          </w:tcPr>
          <w:p>
            <w:pPr>
              <w:spacing w:line="360" w:lineRule="auto"/>
              <w:rPr>
                <w:rFonts w:hint="eastAsia" w:ascii="宋体" w:hAnsi="宋体" w:eastAsia="宋体" w:cs="宋体"/>
                <w:bCs/>
                <w:color w:val="auto"/>
                <w:kern w:val="0"/>
                <w:sz w:val="28"/>
                <w:szCs w:val="28"/>
                <w:highlight w:val="none"/>
              </w:rPr>
            </w:pPr>
          </w:p>
        </w:tc>
        <w:tc>
          <w:tcPr>
            <w:tcW w:w="1996" w:type="dxa"/>
            <w:vAlign w:val="center"/>
          </w:tcPr>
          <w:p>
            <w:pPr>
              <w:spacing w:line="360" w:lineRule="auto"/>
              <w:rPr>
                <w:rFonts w:hint="eastAsia" w:ascii="宋体" w:hAnsi="宋体" w:eastAsia="宋体" w:cs="宋体"/>
                <w:color w:val="auto"/>
                <w:sz w:val="28"/>
                <w:szCs w:val="28"/>
                <w:highlight w:val="none"/>
              </w:rPr>
            </w:pPr>
          </w:p>
        </w:tc>
        <w:tc>
          <w:tcPr>
            <w:tcW w:w="2587" w:type="dxa"/>
            <w:vAlign w:val="center"/>
          </w:tcPr>
          <w:p>
            <w:pPr>
              <w:spacing w:line="360" w:lineRule="auto"/>
              <w:rPr>
                <w:rFonts w:hint="eastAsia" w:ascii="宋体" w:hAnsi="宋体" w:eastAsia="宋体" w:cs="宋体"/>
                <w:color w:val="auto"/>
                <w:sz w:val="28"/>
                <w:szCs w:val="28"/>
                <w:highlight w:val="none"/>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844" w:type="dxa"/>
            <w:vAlign w:val="center"/>
          </w:tcPr>
          <w:p>
            <w:pPr>
              <w:spacing w:line="360" w:lineRule="auto"/>
              <w:jc w:val="center"/>
              <w:rPr>
                <w:rFonts w:hint="eastAsia" w:ascii="宋体" w:hAnsi="宋体" w:eastAsia="宋体" w:cs="宋体"/>
                <w:color w:val="auto"/>
                <w:sz w:val="28"/>
                <w:szCs w:val="28"/>
                <w:highlight w:val="none"/>
              </w:rPr>
            </w:pPr>
          </w:p>
        </w:tc>
        <w:tc>
          <w:tcPr>
            <w:tcW w:w="3737" w:type="dxa"/>
            <w:vAlign w:val="center"/>
          </w:tcPr>
          <w:p>
            <w:pPr>
              <w:spacing w:line="360" w:lineRule="auto"/>
              <w:rPr>
                <w:rFonts w:hint="eastAsia" w:ascii="宋体" w:hAnsi="宋体" w:eastAsia="宋体" w:cs="宋体"/>
                <w:bCs/>
                <w:color w:val="auto"/>
                <w:kern w:val="0"/>
                <w:sz w:val="28"/>
                <w:szCs w:val="28"/>
                <w:highlight w:val="none"/>
              </w:rPr>
            </w:pPr>
          </w:p>
        </w:tc>
        <w:tc>
          <w:tcPr>
            <w:tcW w:w="1996" w:type="dxa"/>
            <w:vAlign w:val="center"/>
          </w:tcPr>
          <w:p>
            <w:pPr>
              <w:spacing w:line="360" w:lineRule="auto"/>
              <w:rPr>
                <w:rFonts w:hint="eastAsia" w:ascii="宋体" w:hAnsi="宋体" w:eastAsia="宋体" w:cs="宋体"/>
                <w:color w:val="auto"/>
                <w:sz w:val="28"/>
                <w:szCs w:val="28"/>
                <w:highlight w:val="none"/>
              </w:rPr>
            </w:pPr>
          </w:p>
        </w:tc>
        <w:tc>
          <w:tcPr>
            <w:tcW w:w="2587" w:type="dxa"/>
            <w:vAlign w:val="center"/>
          </w:tcPr>
          <w:p>
            <w:pPr>
              <w:spacing w:line="360" w:lineRule="auto"/>
              <w:rPr>
                <w:rFonts w:hint="eastAsia" w:ascii="宋体" w:hAnsi="宋体" w:eastAsia="宋体" w:cs="宋体"/>
                <w:color w:val="auto"/>
                <w:sz w:val="28"/>
                <w:szCs w:val="28"/>
                <w:highlight w:val="none"/>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844" w:type="dxa"/>
            <w:vAlign w:val="center"/>
          </w:tcPr>
          <w:p>
            <w:pPr>
              <w:spacing w:line="360" w:lineRule="auto"/>
              <w:jc w:val="center"/>
              <w:rPr>
                <w:rFonts w:hint="eastAsia" w:ascii="宋体" w:hAnsi="宋体" w:eastAsia="宋体" w:cs="宋体"/>
                <w:color w:val="auto"/>
                <w:sz w:val="28"/>
                <w:szCs w:val="28"/>
                <w:highlight w:val="none"/>
              </w:rPr>
            </w:pPr>
          </w:p>
        </w:tc>
        <w:tc>
          <w:tcPr>
            <w:tcW w:w="3737" w:type="dxa"/>
            <w:vAlign w:val="center"/>
          </w:tcPr>
          <w:p>
            <w:pPr>
              <w:spacing w:line="360" w:lineRule="auto"/>
              <w:rPr>
                <w:rFonts w:hint="eastAsia" w:ascii="宋体" w:hAnsi="宋体" w:eastAsia="宋体" w:cs="宋体"/>
                <w:bCs/>
                <w:color w:val="auto"/>
                <w:kern w:val="0"/>
                <w:sz w:val="28"/>
                <w:szCs w:val="28"/>
                <w:highlight w:val="none"/>
              </w:rPr>
            </w:pPr>
          </w:p>
        </w:tc>
        <w:tc>
          <w:tcPr>
            <w:tcW w:w="1996" w:type="dxa"/>
            <w:vAlign w:val="center"/>
          </w:tcPr>
          <w:p>
            <w:pPr>
              <w:spacing w:line="360" w:lineRule="auto"/>
              <w:rPr>
                <w:rFonts w:hint="eastAsia" w:ascii="宋体" w:hAnsi="宋体" w:eastAsia="宋体" w:cs="宋体"/>
                <w:color w:val="auto"/>
                <w:sz w:val="28"/>
                <w:szCs w:val="28"/>
                <w:highlight w:val="none"/>
              </w:rPr>
            </w:pPr>
          </w:p>
        </w:tc>
        <w:tc>
          <w:tcPr>
            <w:tcW w:w="2587" w:type="dxa"/>
            <w:vAlign w:val="center"/>
          </w:tcPr>
          <w:p>
            <w:pPr>
              <w:spacing w:line="360" w:lineRule="auto"/>
              <w:rPr>
                <w:rFonts w:hint="eastAsia" w:ascii="宋体" w:hAnsi="宋体" w:eastAsia="宋体" w:cs="宋体"/>
                <w:color w:val="auto"/>
                <w:sz w:val="28"/>
                <w:szCs w:val="28"/>
                <w:highlight w:val="none"/>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844" w:type="dxa"/>
            <w:vAlign w:val="center"/>
          </w:tcPr>
          <w:p>
            <w:pPr>
              <w:spacing w:line="360" w:lineRule="auto"/>
              <w:jc w:val="center"/>
              <w:rPr>
                <w:rFonts w:hint="eastAsia" w:ascii="宋体" w:hAnsi="宋体" w:eastAsia="宋体" w:cs="宋体"/>
                <w:color w:val="auto"/>
                <w:sz w:val="28"/>
                <w:szCs w:val="28"/>
                <w:highlight w:val="none"/>
              </w:rPr>
            </w:pPr>
          </w:p>
        </w:tc>
        <w:tc>
          <w:tcPr>
            <w:tcW w:w="3737" w:type="dxa"/>
            <w:vAlign w:val="center"/>
          </w:tcPr>
          <w:p>
            <w:pPr>
              <w:spacing w:line="360" w:lineRule="auto"/>
              <w:rPr>
                <w:rFonts w:hint="eastAsia" w:ascii="宋体" w:hAnsi="宋体" w:eastAsia="宋体" w:cs="宋体"/>
                <w:bCs/>
                <w:color w:val="auto"/>
                <w:kern w:val="0"/>
                <w:sz w:val="28"/>
                <w:szCs w:val="28"/>
                <w:highlight w:val="none"/>
              </w:rPr>
            </w:pPr>
          </w:p>
        </w:tc>
        <w:tc>
          <w:tcPr>
            <w:tcW w:w="1996" w:type="dxa"/>
            <w:vAlign w:val="center"/>
          </w:tcPr>
          <w:p>
            <w:pPr>
              <w:spacing w:line="360" w:lineRule="auto"/>
              <w:rPr>
                <w:rFonts w:hint="eastAsia" w:ascii="宋体" w:hAnsi="宋体" w:eastAsia="宋体" w:cs="宋体"/>
                <w:color w:val="auto"/>
                <w:sz w:val="28"/>
                <w:szCs w:val="28"/>
                <w:highlight w:val="none"/>
              </w:rPr>
            </w:pPr>
          </w:p>
        </w:tc>
        <w:tc>
          <w:tcPr>
            <w:tcW w:w="2587" w:type="dxa"/>
            <w:vAlign w:val="center"/>
          </w:tcPr>
          <w:p>
            <w:pPr>
              <w:spacing w:line="360" w:lineRule="auto"/>
              <w:rPr>
                <w:rFonts w:hint="eastAsia" w:ascii="宋体" w:hAnsi="宋体" w:eastAsia="宋体" w:cs="宋体"/>
                <w:color w:val="auto"/>
                <w:sz w:val="28"/>
                <w:szCs w:val="28"/>
                <w:highlight w:val="none"/>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844" w:type="dxa"/>
            <w:vAlign w:val="center"/>
          </w:tcPr>
          <w:p>
            <w:pPr>
              <w:spacing w:line="360" w:lineRule="auto"/>
              <w:jc w:val="center"/>
              <w:rPr>
                <w:rFonts w:hint="eastAsia" w:ascii="宋体" w:hAnsi="宋体" w:eastAsia="宋体" w:cs="宋体"/>
                <w:color w:val="auto"/>
                <w:sz w:val="28"/>
                <w:szCs w:val="28"/>
                <w:highlight w:val="none"/>
              </w:rPr>
            </w:pPr>
          </w:p>
        </w:tc>
        <w:tc>
          <w:tcPr>
            <w:tcW w:w="3737" w:type="dxa"/>
            <w:vAlign w:val="center"/>
          </w:tcPr>
          <w:p>
            <w:pPr>
              <w:spacing w:line="360" w:lineRule="auto"/>
              <w:rPr>
                <w:rFonts w:hint="eastAsia" w:ascii="宋体" w:hAnsi="宋体" w:eastAsia="宋体" w:cs="宋体"/>
                <w:bCs/>
                <w:color w:val="auto"/>
                <w:kern w:val="0"/>
                <w:sz w:val="28"/>
                <w:szCs w:val="28"/>
                <w:highlight w:val="none"/>
              </w:rPr>
            </w:pPr>
          </w:p>
        </w:tc>
        <w:tc>
          <w:tcPr>
            <w:tcW w:w="1996" w:type="dxa"/>
            <w:vAlign w:val="center"/>
          </w:tcPr>
          <w:p>
            <w:pPr>
              <w:spacing w:line="360" w:lineRule="auto"/>
              <w:rPr>
                <w:rFonts w:hint="eastAsia" w:ascii="宋体" w:hAnsi="宋体" w:eastAsia="宋体" w:cs="宋体"/>
                <w:color w:val="auto"/>
                <w:sz w:val="28"/>
                <w:szCs w:val="28"/>
                <w:highlight w:val="none"/>
              </w:rPr>
            </w:pPr>
          </w:p>
        </w:tc>
        <w:tc>
          <w:tcPr>
            <w:tcW w:w="2587" w:type="dxa"/>
            <w:vAlign w:val="center"/>
          </w:tcPr>
          <w:p>
            <w:pPr>
              <w:spacing w:line="360" w:lineRule="auto"/>
              <w:rPr>
                <w:rFonts w:hint="eastAsia" w:ascii="宋体" w:hAnsi="宋体" w:eastAsia="宋体" w:cs="宋体"/>
                <w:color w:val="auto"/>
                <w:sz w:val="28"/>
                <w:szCs w:val="28"/>
                <w:highlight w:val="none"/>
              </w:rPr>
            </w:pPr>
          </w:p>
        </w:tc>
      </w:tr>
    </w:tbl>
    <w:p>
      <w:pPr>
        <w:spacing w:line="360" w:lineRule="auto"/>
        <w:ind w:firstLine="562" w:firstLineChars="20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以上★号条款为招标文件中的所有★号条款，无论是技术指标或文字描述要求，投标人必须逐条如实地书面响应及承诺。</w:t>
      </w:r>
    </w:p>
    <w:p>
      <w:pPr>
        <w:spacing w:line="360" w:lineRule="auto"/>
        <w:ind w:firstLine="4900" w:firstLineChars="17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投标人全称（加盖公章）：</w:t>
      </w:r>
    </w:p>
    <w:p>
      <w:pPr>
        <w:spacing w:line="360" w:lineRule="auto"/>
        <w:ind w:firstLine="4900" w:firstLineChars="175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投标人代表签字：</w:t>
      </w:r>
    </w:p>
    <w:p>
      <w:pPr>
        <w:spacing w:line="360" w:lineRule="auto"/>
        <w:ind w:firstLine="4900" w:firstLineChars="175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日   期： </w:t>
      </w:r>
    </w:p>
    <w:p>
      <w:pPr>
        <w:spacing w:line="360" w:lineRule="auto"/>
        <w:ind w:firstLine="314"/>
        <w:rPr>
          <w:rFonts w:hint="eastAsia" w:ascii="宋体" w:hAnsi="宋体" w:eastAsia="宋体" w:cs="宋体"/>
          <w:b/>
          <w:bCs/>
          <w:color w:val="auto"/>
          <w:sz w:val="28"/>
          <w:szCs w:val="28"/>
          <w:highlight w:val="none"/>
        </w:rPr>
      </w:pPr>
    </w:p>
    <w:p>
      <w:pPr>
        <w:spacing w:line="360" w:lineRule="auto"/>
        <w:ind w:firstLine="314"/>
        <w:rPr>
          <w:rFonts w:hint="eastAsia" w:ascii="宋体" w:hAnsi="宋体" w:eastAsia="宋体" w:cs="宋体"/>
          <w:b/>
          <w:bCs/>
          <w:color w:val="auto"/>
          <w:sz w:val="28"/>
          <w:szCs w:val="28"/>
          <w:highlight w:val="none"/>
        </w:rPr>
      </w:pPr>
    </w:p>
    <w:p>
      <w:pPr>
        <w:spacing w:line="360" w:lineRule="auto"/>
        <w:ind w:firstLine="314"/>
        <w:rPr>
          <w:rFonts w:hint="eastAsia" w:ascii="宋体" w:hAnsi="宋体" w:eastAsia="宋体" w:cs="宋体"/>
          <w:b/>
          <w:bCs/>
          <w:color w:val="auto"/>
          <w:sz w:val="28"/>
          <w:szCs w:val="28"/>
          <w:highlight w:val="none"/>
        </w:rPr>
      </w:pPr>
    </w:p>
    <w:p>
      <w:pPr>
        <w:spacing w:line="360" w:lineRule="auto"/>
        <w:ind w:firstLine="314"/>
        <w:rPr>
          <w:rFonts w:hint="eastAsia" w:ascii="宋体" w:hAnsi="宋体" w:eastAsia="宋体" w:cs="宋体"/>
          <w:b/>
          <w:bCs/>
          <w:color w:val="auto"/>
          <w:sz w:val="28"/>
          <w:szCs w:val="28"/>
          <w:highlight w:val="none"/>
        </w:rPr>
      </w:pPr>
    </w:p>
    <w:p>
      <w:pPr>
        <w:spacing w:line="360" w:lineRule="auto"/>
        <w:ind w:firstLine="314"/>
        <w:rPr>
          <w:rFonts w:hint="eastAsia" w:ascii="宋体" w:hAnsi="宋体" w:eastAsia="宋体" w:cs="宋体"/>
          <w:b/>
          <w:bCs/>
          <w:color w:val="auto"/>
          <w:sz w:val="28"/>
          <w:szCs w:val="28"/>
          <w:highlight w:val="none"/>
        </w:rPr>
        <w:sectPr>
          <w:pgSz w:w="11906" w:h="16838"/>
          <w:pgMar w:top="1701" w:right="1701" w:bottom="1701" w:left="1701" w:header="851" w:footer="992" w:gutter="0"/>
          <w:cols w:space="425" w:num="1"/>
          <w:docGrid w:type="lines" w:linePitch="312" w:charSpace="0"/>
        </w:sectPr>
      </w:pPr>
    </w:p>
    <w:p>
      <w:pPr>
        <w:spacing w:line="36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格式12</w:t>
      </w:r>
    </w:p>
    <w:p>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投标人提交的其它资料</w:t>
      </w:r>
    </w:p>
    <w:p>
      <w:pPr>
        <w:spacing w:line="360" w:lineRule="auto"/>
        <w:ind w:firstLine="314"/>
        <w:rPr>
          <w:rFonts w:hint="eastAsia" w:ascii="宋体" w:hAnsi="宋体" w:eastAsia="宋体" w:cs="宋体"/>
          <w:b/>
          <w:color w:val="auto"/>
          <w:sz w:val="28"/>
          <w:szCs w:val="28"/>
          <w:highlight w:val="none"/>
        </w:rPr>
      </w:pPr>
    </w:p>
    <w:p>
      <w:pPr>
        <w:spacing w:line="360" w:lineRule="auto"/>
        <w:ind w:firstLine="560" w:firstLineChars="200"/>
        <w:rPr>
          <w:rFonts w:hint="eastAsia" w:ascii="宋体" w:hAnsi="宋体" w:eastAsia="宋体" w:cs="宋体"/>
          <w:b/>
          <w:bCs/>
          <w:color w:val="auto"/>
          <w:sz w:val="28"/>
          <w:szCs w:val="28"/>
          <w:highlight w:val="none"/>
        </w:rPr>
      </w:pPr>
      <w:r>
        <w:rPr>
          <w:rFonts w:hint="eastAsia" w:ascii="宋体" w:hAnsi="宋体" w:eastAsia="宋体" w:cs="宋体"/>
          <w:color w:val="auto"/>
          <w:sz w:val="28"/>
          <w:szCs w:val="28"/>
          <w:highlight w:val="none"/>
        </w:rPr>
        <w:t>（投标人认为应提交的其他材料，可在此附件中提交）</w:t>
      </w:r>
    </w:p>
    <w:p>
      <w:pPr>
        <w:spacing w:line="360" w:lineRule="auto"/>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 w:val="28"/>
          <w:szCs w:val="28"/>
          <w:highlight w:val="none"/>
        </w:rPr>
      </w:pPr>
    </w:p>
    <w:p>
      <w:pPr>
        <w:spacing w:line="360" w:lineRule="auto"/>
        <w:jc w:val="righ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投标人全称（加盖公章）：</w:t>
      </w:r>
    </w:p>
    <w:p>
      <w:pPr>
        <w:spacing w:line="360" w:lineRule="auto"/>
        <w:ind w:firstLine="5180" w:firstLineChars="185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投标人代表签字：</w:t>
      </w:r>
    </w:p>
    <w:p>
      <w:pPr>
        <w:spacing w:line="360" w:lineRule="auto"/>
        <w:ind w:firstLine="5320" w:firstLineChars="19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         期：</w:t>
      </w:r>
    </w:p>
    <w:p>
      <w:pPr>
        <w:spacing w:line="360" w:lineRule="auto"/>
        <w:ind w:firstLine="314"/>
        <w:rPr>
          <w:rFonts w:hint="eastAsia" w:ascii="宋体" w:hAnsi="宋体" w:eastAsia="宋体" w:cs="宋体"/>
          <w:b/>
          <w:bCs/>
          <w:color w:val="auto"/>
          <w:sz w:val="28"/>
          <w:szCs w:val="28"/>
          <w:highlight w:val="none"/>
        </w:rPr>
      </w:pPr>
    </w:p>
    <w:p>
      <w:pPr>
        <w:spacing w:line="360" w:lineRule="auto"/>
        <w:ind w:firstLine="314"/>
        <w:rPr>
          <w:rFonts w:hint="eastAsia" w:ascii="宋体" w:hAnsi="宋体" w:eastAsia="宋体" w:cs="宋体"/>
          <w:b/>
          <w:bCs/>
          <w:color w:val="auto"/>
          <w:sz w:val="28"/>
          <w:szCs w:val="28"/>
          <w:highlight w:val="none"/>
        </w:rPr>
      </w:pPr>
    </w:p>
    <w:p>
      <w:pPr>
        <w:spacing w:line="360" w:lineRule="auto"/>
        <w:ind w:firstLine="314"/>
        <w:rPr>
          <w:rFonts w:hint="eastAsia" w:ascii="宋体" w:hAnsi="宋体" w:eastAsia="宋体" w:cs="宋体"/>
          <w:b/>
          <w:bCs/>
          <w:color w:val="auto"/>
          <w:sz w:val="28"/>
          <w:szCs w:val="28"/>
          <w:highlight w:val="none"/>
        </w:rPr>
      </w:pPr>
    </w:p>
    <w:p>
      <w:pPr>
        <w:spacing w:line="360" w:lineRule="auto"/>
        <w:ind w:firstLine="314"/>
        <w:rPr>
          <w:rFonts w:hint="eastAsia" w:ascii="宋体" w:hAnsi="宋体" w:eastAsia="宋体" w:cs="宋体"/>
          <w:b/>
          <w:bCs/>
          <w:color w:val="auto"/>
          <w:sz w:val="28"/>
          <w:szCs w:val="28"/>
          <w:highlight w:val="none"/>
        </w:rPr>
      </w:pPr>
    </w:p>
    <w:p>
      <w:pPr>
        <w:spacing w:line="360" w:lineRule="auto"/>
        <w:ind w:firstLine="314"/>
        <w:rPr>
          <w:rFonts w:hint="eastAsia" w:ascii="宋体" w:hAnsi="宋体" w:eastAsia="宋体" w:cs="宋体"/>
          <w:b/>
          <w:bCs/>
          <w:color w:val="auto"/>
          <w:sz w:val="28"/>
          <w:szCs w:val="28"/>
          <w:highlight w:val="none"/>
        </w:rPr>
      </w:pPr>
    </w:p>
    <w:p>
      <w:pPr>
        <w:spacing w:line="360" w:lineRule="auto"/>
        <w:ind w:firstLine="314"/>
        <w:rPr>
          <w:rFonts w:hint="eastAsia" w:ascii="宋体" w:hAnsi="宋体" w:eastAsia="宋体" w:cs="宋体"/>
          <w:b/>
          <w:bCs/>
          <w:color w:val="auto"/>
          <w:sz w:val="28"/>
          <w:szCs w:val="28"/>
          <w:highlight w:val="none"/>
        </w:rPr>
      </w:pPr>
    </w:p>
    <w:p>
      <w:pPr>
        <w:spacing w:line="360" w:lineRule="auto"/>
        <w:ind w:firstLine="314"/>
        <w:rPr>
          <w:rFonts w:hint="eastAsia" w:ascii="宋体" w:hAnsi="宋体" w:eastAsia="宋体" w:cs="宋体"/>
          <w:b/>
          <w:bCs/>
          <w:color w:val="auto"/>
          <w:sz w:val="28"/>
          <w:szCs w:val="28"/>
          <w:highlight w:val="none"/>
        </w:rPr>
      </w:pPr>
    </w:p>
    <w:p>
      <w:pPr>
        <w:spacing w:line="360" w:lineRule="auto"/>
        <w:ind w:firstLine="314"/>
        <w:rPr>
          <w:rFonts w:hint="eastAsia" w:ascii="宋体" w:hAnsi="宋体" w:eastAsia="宋体" w:cs="宋体"/>
          <w:b/>
          <w:bCs/>
          <w:color w:val="auto"/>
          <w:sz w:val="28"/>
          <w:szCs w:val="28"/>
          <w:highlight w:val="none"/>
        </w:rPr>
      </w:pPr>
    </w:p>
    <w:p>
      <w:pPr>
        <w:spacing w:line="360" w:lineRule="auto"/>
        <w:ind w:firstLine="314"/>
        <w:rPr>
          <w:rFonts w:hint="eastAsia" w:ascii="宋体" w:hAnsi="宋体" w:eastAsia="宋体" w:cs="宋体"/>
          <w:b/>
          <w:bCs/>
          <w:color w:val="auto"/>
          <w:sz w:val="28"/>
          <w:szCs w:val="28"/>
          <w:highlight w:val="none"/>
        </w:rPr>
      </w:pPr>
    </w:p>
    <w:p>
      <w:pPr>
        <w:spacing w:line="360" w:lineRule="auto"/>
        <w:ind w:firstLine="314"/>
        <w:rPr>
          <w:rFonts w:hint="eastAsia" w:ascii="宋体" w:hAnsi="宋体" w:eastAsia="宋体" w:cs="宋体"/>
          <w:b/>
          <w:bCs/>
          <w:color w:val="auto"/>
          <w:sz w:val="28"/>
          <w:szCs w:val="28"/>
          <w:highlight w:val="none"/>
        </w:rPr>
        <w:sectPr>
          <w:pgSz w:w="11906" w:h="16838"/>
          <w:pgMar w:top="1701" w:right="1701" w:bottom="1701" w:left="1701" w:header="851" w:footer="992" w:gutter="0"/>
          <w:cols w:space="425" w:num="1"/>
          <w:docGrid w:type="lines" w:linePitch="312" w:charSpace="0"/>
        </w:sectPr>
      </w:pPr>
    </w:p>
    <w:p>
      <w:pPr>
        <w:spacing w:line="36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格式13 </w:t>
      </w:r>
    </w:p>
    <w:p>
      <w:pPr>
        <w:widowControl/>
        <w:spacing w:line="360" w:lineRule="auto"/>
        <w:ind w:firstLine="643" w:firstLineChars="200"/>
        <w:jc w:val="center"/>
        <w:rPr>
          <w:rFonts w:hint="eastAsia" w:ascii="宋体" w:hAnsi="宋体" w:eastAsia="宋体" w:cs="宋体"/>
          <w:b/>
          <w:bCs/>
          <w:color w:val="auto"/>
          <w:sz w:val="32"/>
          <w:szCs w:val="32"/>
          <w:highlight w:val="none"/>
        </w:rPr>
      </w:pPr>
      <w:r>
        <w:rPr>
          <w:rFonts w:hint="eastAsia" w:ascii="宋体" w:hAnsi="宋体" w:eastAsia="宋体" w:cs="宋体"/>
          <w:b/>
          <w:color w:val="auto"/>
          <w:sz w:val="32"/>
          <w:szCs w:val="32"/>
          <w:highlight w:val="none"/>
        </w:rPr>
        <w:t>秩序维护服务合同</w:t>
      </w:r>
    </w:p>
    <w:p>
      <w:pPr>
        <w:widowControl/>
        <w:spacing w:line="360" w:lineRule="auto"/>
        <w:ind w:firstLine="560" w:firstLineChars="200"/>
        <w:jc w:val="left"/>
        <w:rPr>
          <w:rFonts w:hint="eastAsia" w:ascii="宋体" w:hAnsi="宋体" w:eastAsia="宋体" w:cs="宋体"/>
          <w:color w:val="auto"/>
          <w:sz w:val="28"/>
          <w:szCs w:val="28"/>
          <w:highlight w:val="none"/>
        </w:rPr>
      </w:pPr>
    </w:p>
    <w:p>
      <w:pPr>
        <w:widowControl/>
        <w:spacing w:line="360" w:lineRule="auto"/>
        <w:ind w:firstLine="560" w:firstLineChars="20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合同编号：</w:t>
      </w:r>
    </w:p>
    <w:p>
      <w:pPr>
        <w:spacing w:line="360" w:lineRule="auto"/>
        <w:ind w:firstLine="275"/>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甲方：</w:t>
      </w:r>
      <w:r>
        <w:rPr>
          <w:rFonts w:hint="eastAsia" w:ascii="宋体" w:hAnsi="宋体" w:eastAsia="宋体" w:cs="宋体"/>
          <w:color w:val="auto"/>
          <w:sz w:val="28"/>
          <w:szCs w:val="28"/>
          <w:highlight w:val="none"/>
          <w:u w:val="single"/>
        </w:rPr>
        <w:t xml:space="preserve">                                              </w:t>
      </w:r>
    </w:p>
    <w:p>
      <w:pPr>
        <w:spacing w:line="360" w:lineRule="auto"/>
        <w:ind w:firstLine="275"/>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法定代表人/负责人：</w:t>
      </w:r>
      <w:r>
        <w:rPr>
          <w:rFonts w:hint="eastAsia" w:ascii="宋体" w:hAnsi="宋体" w:eastAsia="宋体" w:cs="宋体"/>
          <w:color w:val="auto"/>
          <w:sz w:val="28"/>
          <w:szCs w:val="28"/>
          <w:highlight w:val="none"/>
          <w:u w:val="single"/>
        </w:rPr>
        <w:t xml:space="preserve">                                 </w:t>
      </w:r>
    </w:p>
    <w:p>
      <w:pPr>
        <w:spacing w:line="360" w:lineRule="auto"/>
        <w:ind w:firstLine="275"/>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通信地址：</w:t>
      </w:r>
      <w:r>
        <w:rPr>
          <w:rFonts w:hint="eastAsia" w:ascii="宋体" w:hAnsi="宋体" w:eastAsia="宋体" w:cs="宋体"/>
          <w:color w:val="auto"/>
          <w:sz w:val="28"/>
          <w:szCs w:val="28"/>
          <w:highlight w:val="none"/>
          <w:u w:val="single"/>
        </w:rPr>
        <w:t xml:space="preserve">                                          </w:t>
      </w:r>
    </w:p>
    <w:p>
      <w:pPr>
        <w:spacing w:line="360" w:lineRule="auto"/>
        <w:ind w:firstLine="275"/>
        <w:jc w:val="left"/>
        <w:rPr>
          <w:rFonts w:hint="eastAsia" w:ascii="宋体" w:hAnsi="宋体" w:eastAsia="宋体" w:cs="宋体"/>
          <w:color w:val="auto"/>
          <w:sz w:val="28"/>
          <w:szCs w:val="28"/>
          <w:highlight w:val="none"/>
        </w:rPr>
      </w:pPr>
    </w:p>
    <w:p>
      <w:pPr>
        <w:spacing w:line="360" w:lineRule="auto"/>
        <w:ind w:firstLine="275"/>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乙方：</w:t>
      </w:r>
      <w:r>
        <w:rPr>
          <w:rFonts w:hint="eastAsia" w:ascii="宋体" w:hAnsi="宋体" w:eastAsia="宋体" w:cs="宋体"/>
          <w:color w:val="auto"/>
          <w:sz w:val="28"/>
          <w:szCs w:val="28"/>
          <w:highlight w:val="none"/>
          <w:u w:val="single"/>
        </w:rPr>
        <w:t xml:space="preserve">                                              </w:t>
      </w:r>
    </w:p>
    <w:p>
      <w:pPr>
        <w:spacing w:line="360" w:lineRule="auto"/>
        <w:ind w:firstLine="275"/>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法定代表人/负责人：</w:t>
      </w:r>
      <w:r>
        <w:rPr>
          <w:rFonts w:hint="eastAsia" w:ascii="宋体" w:hAnsi="宋体" w:eastAsia="宋体" w:cs="宋体"/>
          <w:color w:val="auto"/>
          <w:sz w:val="28"/>
          <w:szCs w:val="28"/>
          <w:highlight w:val="none"/>
          <w:u w:val="single"/>
        </w:rPr>
        <w:t xml:space="preserve">                                 </w:t>
      </w:r>
    </w:p>
    <w:p>
      <w:pPr>
        <w:spacing w:line="360" w:lineRule="auto"/>
        <w:ind w:firstLine="275"/>
        <w:jc w:val="left"/>
        <w:textAlignment w:val="baseline"/>
        <w:rPr>
          <w:rFonts w:hint="eastAsia" w:ascii="宋体" w:hAnsi="宋体" w:eastAsia="宋体" w:cs="宋体"/>
          <w:color w:val="auto"/>
          <w:sz w:val="28"/>
          <w:szCs w:val="28"/>
          <w:highlight w:val="none"/>
          <w:u w:val="single" w:color="000000"/>
        </w:rPr>
      </w:pPr>
      <w:r>
        <w:rPr>
          <w:rFonts w:hint="eastAsia" w:ascii="宋体" w:hAnsi="宋体" w:eastAsia="宋体" w:cs="宋体"/>
          <w:color w:val="auto"/>
          <w:sz w:val="28"/>
          <w:szCs w:val="28"/>
          <w:highlight w:val="none"/>
        </w:rPr>
        <w:t>通信地址：</w:t>
      </w:r>
      <w:r>
        <w:rPr>
          <w:rFonts w:hint="eastAsia" w:ascii="宋体" w:hAnsi="宋体" w:eastAsia="宋体" w:cs="宋体"/>
          <w:color w:val="auto"/>
          <w:sz w:val="28"/>
          <w:szCs w:val="28"/>
          <w:highlight w:val="none"/>
          <w:u w:val="single"/>
        </w:rPr>
        <w:t xml:space="preserve">                                          </w:t>
      </w:r>
    </w:p>
    <w:p>
      <w:pPr>
        <w:spacing w:line="360" w:lineRule="auto"/>
        <w:ind w:firstLine="275"/>
        <w:jc w:val="left"/>
        <w:rPr>
          <w:rFonts w:hint="eastAsia" w:ascii="宋体" w:hAnsi="宋体" w:eastAsia="宋体" w:cs="宋体"/>
          <w:color w:val="auto"/>
          <w:sz w:val="28"/>
          <w:szCs w:val="28"/>
          <w:highlight w:val="none"/>
        </w:rPr>
      </w:pP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根据《中华人民共和国民法典》等相关法律、法规的规定，本着自愿、平等、公平和诚实信用原则，甲、乙双方经友好协商，就甲方聘请乙方为</w:t>
      </w:r>
      <w:r>
        <w:rPr>
          <w:rFonts w:hint="eastAsia" w:ascii="宋体" w:hAnsi="宋体" w:cs="宋体"/>
          <w:color w:val="auto"/>
          <w:sz w:val="28"/>
          <w:szCs w:val="28"/>
          <w:highlight w:val="none"/>
          <w:u w:val="single"/>
          <w:lang w:eastAsia="zh-CN"/>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项目（以下称“本项目”）提供秩序维护服务事宜，达成如下协议，以资共同遵守。</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第一条  秩序维护服务范围</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秩序维护范围为本项目的物业管理服务区域，包括但不限于本项目规划红线范围内所有公共区域的房屋、商铺、道路、外围、景观、停车场（地面、地下）、物业办公区域（含各类管理用房）、设施设备用房、市政公共设施等。</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第二条  秩序维护服务内容</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1、固定岗、巡逻岗、消监控岗值班以及公共秩序、巡视检查等，为本项目提供24小时秩序维护服务，确保现场秩序正常。</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2、服务区域内突发事件的应急处理，发生突发事件应及时赶往现场进行处理并组织秩序维护工作，同时报告甲方及有关部门。</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服务区域内安全巡查，维护服务区内业主及使用人的人身、财产安全，维护正常治安、消防秩序，做好防抢、防盗、防火、防破坏等工作；熟练掌握火灾、治安、自然灾害等突发事件应急预案，事发时积极采取相应措施，立即报告甲方人员或拨打紧急救助电话，同时要保护好现场，并详细记录备查。</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4、定期完善应急预案，根据甲方要求开展应急预案演练和相关知识技能培训。</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5、完成甲方要求配合的其他与服务相关事宜。</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第三条 秩序维护服务人员配置及要求</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秩序维护人员总人数暂定为   人，若甲方根据工作需要临时增加或减少秩序维护人员，需提前通知乙方，乙方须配合调整。人员配置及要求具体如下：</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维序岗：    人；年龄    周岁以内，身高不低于     公分，初中以上学历；持保安证、体检合格报告上岗，无犯罪记录证明；本岗位1年以上工作经验，熟悉相应专业技能和服务意识。</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第四条  服务期限</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1、服务期限暂定为   个月，即自   年  月  日起至    年  月  日止，具体服务终止时间以甲方通知为准。</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2、服务期内，若甲方终止本项目的物业管理服务，则本合同自然同日终止，甲乙双方互不承担违约责任。</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第五条  秩序维护服务费、人数核定及支付方式</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1、本项目维序岗岗位服务费：￥     元/岗/月（大写：人民币        元整），月度秩序维护服务费合计￥      元/月（大写：人民币        元整），服务期内秩序维护服务费总价为      元（大写：人民币        元整）。</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上述秩序维护服务费中已包含岗位人员工资、福利待遇、社会保险费、各种税费、基础装备费、服装费、管理费及乙方利润等一切甲方应支付的费用，除此之外，甲方不再向乙方支付任何费用。若服务期限不足一个月，则根据实际服务天数及上述岗位综合服务费标准结算秩序维护服务费。</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岗位轮休人员由乙方另行安排，其用工成本甲方已在服务费用中包含。前述秩序维护服务费总价为暂定总价，甲方实际应付费用应按乙方根据甲方需求实际提供的岗位服务以及根据本合同相应的考核/扣减情况据实核算。</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若甲方临时性需乙方增派人员的，应提前3个工作日通知乙方，新增人员的费用标准按天结算，乙方应按甲方通知要求执行甲方需求。费用标准参照本合同约定的岗位综合服务费合理测算，每人每天的费用标准计算方式为岗位综合服务费标准*12个月/365天。此费用标准包含正常服务情况下甲方应付乙方的所有费用。</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甲乙双方于每月第十个工作日前根据本合同约定计算上月秩序维护服务费用，经双方确认后，乙方向甲方提供等额增值税专用发票，甲方在收到乙方发票后十五个工作日内支付。若乙方不提供或延迟提供发票，则甲方付款时间顺延。</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6、本合同项下所有款项均以人民币支付，甲方以银行转账或支票方式向乙方指定收款账户支付。乙方指定的收款账户如下： </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乙方开户银行：                                    </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乙方开户名称：                                    </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账        号：                                    </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乙方如需改变上述信息，应提前15 日以书面的形式通知甲方。如未按本合同规定通知而遭受的损失自行承担。甲方已将款项支付至乙方账户且未被退回，则视同甲方已履行付款义务。甲方开票信息如发生变更，乙方有义务协助甲方更换已开具的增值税专用发票。</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第六条  甲方权利及义务</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1、审定乙方拟定的秩序维护人员管理方案，监督和检查乙方管理工作的实施及制度的执行情况，审定乙方提出的秩序维护服务计划。</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2、甲方可依据附件（附件4）《维序服务检查标准》，每月对乙方所提供的秩序维护服务进行检查，并有权依据检查标准对乙方不符合服务要求的行为进行扣款。</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3、甲方应为乙方秩序维护人员提供必需的工作场所和条件。</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4、根据合同约定标准按时向乙方支付秩序维护服务费。</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5、积极采纳乙方合理化建议，以求更好地开展秩序维护服务。</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6、甲方应负责配备符合国家规范要求的消防设施。</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7、甲方指派专人负责监督乙方的秩序维护服务工作，双方加强沟通交流，及时协调处理日常服务工作中出现的问题。</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8、甲方有权定期检查、指导和督促乙方的秩序维护服务工作，对不称职或者有违法违纪的人员，有权要求乙方予以撤换；如乙方未按约定的要求在合理的时间内更换人员，甲方有权扣除相应人员的月费用。</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第七条  乙方权利及义务</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乙方须为选派至本项目的秩序维护人员每人购买赔偿限额不低于80万元人民币的人身意外伤害保险，并自行承担保险费用。若乙方未按约定购买上述保险，甲方有权要求乙方限期整改，若乙方拒不整改或逾期整改，则甲方可提前终止本合同，若由此造成甲方经济损失，乙方需承担赔偿责任。</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乙方应依法与其人员建立劳动合同关系，并保证该劳动合同关系在本合同履行期间合法存续，且相关劳动合同等人事（档案和用工报备等）均由乙方管理，自行负责和承担其人员的工资（含加班费等乙方员工应该获得的所有收入）、各项保险（含社会保险、人身意外伤害保险或法律法规规定的其他保险）、劳保福利及其它一切费用，甲方不承担任何乙方与其员工劳动合同项下任何责任，乙方与其人员因劳动关系及各种原因引发的劳资或法律纠纷与甲方无关，乙方处理与其员工劳动纠纷不得影响本合同正常履行。</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乙方负责其人员的招聘、培训等管理工作，同时按本合同约定秩序维护服务质量标准对其人员进行严格的队伍管理、业务培训、职责培训和纪律培训，并按照甲方制定的演练计划每年组织消防演练和防恐演练不得少于1次。</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乙方应负责加强对其人员的安全教育（包括但不限于上、下班路途安全、安全执勤、文明执勤等教育），并负责为其人员缴交工伤保险或办理足额的人身意外伤害保险，若乙方人员在履行本合同过程中发生人员伤亡或其他意外事故或造成甲方、第三方人身或财产损害的，均由乙方负责处理并承担相关责任和费用。如因乙方违反本约定造成甲方先行垫付损失的，乙方应在甲方垫付完毕之日起三日内偿还甲方，因乙方拒绝偿还甲方垫付款项而致使甲方产生的维权费用（包括但不限于律师费、保全费、公证费、鉴定费、差旅费）由乙方承担。</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5、乙方人员在工作时间必须着装整齐、举止端正、文明礼貌、坚守岗位，尽职尽责，严格遵守法律、法规及甲、乙双方的各项规章制度，服从甲、乙双方领导。</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6、乙方或乙方人员未经允许不得随意动用甲方的设备，不得随意进入甲方项目物业管理中心的办公室，无紧急情况不得动用项目物业管理中心的电话，要严守在履行职务时所知悉的商业秘密。</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7、乙方应指派专人负责维序队伍内部管理和与甲方的对接工作，以便双方进行沟通交流，及时协调处理秩序维护服务过程中出现的问题。</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如因乙方原因，包括但不限于乙方人员由于技能不足、人员未遵守工作纪律（缺岗、脱岗、睡岗等）、违反作业操作规程等原因，造成服务区域内发生盗抢、财产损坏或人员安全事件，乙方应承担全部责任。若导致甲方或本合同对应服务项目遭受行政处罚的，乙方应无条件配合甲方处理协调，涉及行政罚款及损失赔偿的，应由乙方承担全部责任。</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乙方或其员工、雇佣人员在服务过程中因违规操作、操作不当或因服务质量不达标等原因导致甲方或本合同对应服务项目遭受行政处罚的，乙方应无条件配合甲方处理协调，涉及行政罚款及损失赔偿的，应由乙方承担全部责任；乙方在秩序维护服务过程中造成安全责任事故的（无论最终是否被政府主管部门认定为“安全生产事故”），一切经济责任和其他行政、刑事责任（赔偿、罚款、罚金、滞纳金）均由乙方承担。同时，乙方应无条件配合甲方进行事故后续安排工作，直到全部处理完毕为止。涉及行政责任或刑事责任的，乙方应无条件配合甲方，直到甲方收到政府部门正式结案文件为止。乙方违反本条约定，甲方可随时解除本合同并不承担任何责任，且乙方需赔偿因此对甲方造成的损失。</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乙方秩序维护人员无论因何种原因向劳动仲裁委员会提起仲裁或人民法院提起诉讼，乙方需积极妥善处理，如涉及行政罚款及损失赔偿的，应由乙方承担全部责任，若因此给甲方造成任何损失的，乙方应予以赔偿。</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乙方在双方约定入场时间前完成其人员的岗位技能培训并将培训记录交给甲方，同时应在入场前3个工作日内将选派至本项目的秩序维护人员的身份证复印件、保安证原件/复印件、无犯罪记录证明、消控操作证原件/复印件、入职健康体检证明、意外险缴交凭证等相关材料交甲方审核。</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第八条 保密条款</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1、任一方应将与下列事项有关的、在签订或履行本合同中获得的全部信息视为保密信息：</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（1）本合同条款；</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（2）与本合同有关的谈判内容；</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（3）在签订、履行本合同及在谈判中获得的另一方及其关联甲方的商业秘密（包括但不限于彼此间披露的一切信息、文件和数据，除非该信息、文件和数据已经公开）。</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2、双方在此同意和保证，未经本合同双方书面同意，不得将保密信息向任何第三方披露；在本合同履行完毕或因任何原因终止后，对本合同的任何一方而言，本条约定对其仍具有约束力。但是以下情形除外：</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（1）依据中国法律法规要求应当披露；</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（2）依据任何有管辖权的政府机关、监管机构的要求应当披露；</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（3）向己方的专业顾问或律师披露；</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（4）双方事先给予书面同意。</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第九条 违约责任</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1、因乙方原因导致本合同无法继续履行时，乙方须提前1 个月以书面形式通知甲方。未经甲方书面同意乙方擅自终止履行合同的，甲方有权要求乙方按照本合同暂定秩序维护服务费总额的 20%支付违约金，违约金不足以赔偿甲方损失的，乙方应另行支付违约金与损失差额部分。</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乙方人员若发生缺勤、脱岗和其他违反本合同约定的行为，每发现一人次，乙方应按月秩序维护服务费总额的1%向甲方支付违约金，若给甲方造成的损失超过违约金的，差额部分乙方也应予以赔偿，且甲方可要求乙方在七日内撤换该人员，乙方应及时予以调换。</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乙方未按照本合同约定的服务内容、服务标准及要求提供服务的，甲方有权要求乙方限期整改，若乙方拒不整改或整改后仍未达到本合同约定要求的，甲方有权单方解除本合同且乙方应按本合同暂定维护服务费总额的20%向甲方支付违约金，同时乙方须在本合同解除之日无条件退场，若乙方逾期退场造成甲方经济损失的，乙方应赔偿甲方的全部损失。</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乙方在本合同履行期间或终止后，因乙方或乙方人员原因导致甲方或本合同对应服务项目遭受行政处罚的，乙方除应承担全部行政罚款及损失赔偿责任外，合同尚未终止的，甲方有权单方解除本合同并有权要求乙方按照本合同暂定维护服务费总额的20%向甲方支付违约金，合同已经终止的，甲方仍有权要求乙方按照本合同暂定维护服务费总额的20%向甲方支付违约金；违约金不足以弥补甲方损失，甲方有权要求乙方另行赔偿。</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若乙方人员集体罢工，给甲方工作和声誉造成不良影响的，在接到甲方通知后乙方应及时进行处理并在当天处理完毕。若乙方拒不配合，则甲方有权单方解除本合同，由此给甲方造成的损失均由乙方全额承担，若损失无法确定的，则应支付等额于本合同暂定维护服务费总额20%的违约金。</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服务期内，甲方每月依据附件（附件5）《维序服务品质检查考核表》对乙方秩序维护服务进行考评，若服务品质考核分数累计3个月或者连续3个月日常考核分数低于85（含）分，甲方有权书面要求乙方限期整改，若乙方逾期整改或整改后的首次考核仍低于85（含）分的，甲方则有权解除本合同且乙方应向甲方支付等额于本合同暂定维护服务费总额20%的违约金。</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若乙方秩序维护服务业主满意度累计3个月或者连续2个月业主满意度得分低于85（含）分，甲方有权要求乙方限期整改，逾期未整改或整改后的首次秩序维护服务模块业主满意度得分仍低于85（含）分的，则甲方有权书面通知乙方后解除本合同且乙方应向甲方支付等额于本合同暂定维护服务费总额20%的违约金。</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8、乙方按本合同约定应向甲方承担的违约金、赔偿金、甲方代缴及垫付费用等，甲方有权直接从应付未付的款项中扣减；应付未付的款项不足扣除的，乙方应在接到甲方通知之日起3 天内补足；否则，每逾期1 天，乙方应按已扣减款项与应扣减款项之差额的万分之五/每日 的标准向甲方支付违约金，逾期达七日的，甲方有权单方解除本合同。</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本合同约定的秩序维护服务，乙方未经甲方书面同意擅自分包、转包或中途退场的，甲方可随时要求解除本合同且乙方应向甲方支付本合同暂定维护服务费总额20%的违约金；给甲方造成损失的，甲方有权继续向乙方追偿。</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第十条  争议解决方式</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因本合同履行或与本合同有关的一切争议，由双方优先协商解决；若协商不成，任何一方均可向甲方所在地人民法院提起诉讼。</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第十一条  通知</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根据本合同发出的任何通知，应当采用书面形式，可以通过电子邮件、甲方电子系统、专人递送或特快专递发送到本合同所列地址。如通过专人递送，该等通知在接收时视为已经送达；如通过特快专递，该等通知在发出后第3日视为已经送达；如通过电子邮件或甲方电子系统，该等通知在发出之日视为已经送达。一方变更联系信息，应提前7日将变更内容书面通知另一方。否则，由未通知方承担不利后果。对于本合同明确约定的通知、送达地址，仲裁机构/法院在送达仲裁/诉讼法律文书时可直接邮寄送达至该地址，即使甲乙双方或任何一方未能收到仲裁机构/法院邮寄送达的文书，由于其在本合同中的约定，也应当视为送达。</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第十二条  其他事项</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合同有效期间，因不可抗力（系指如洪水、地震、火灾等自然灾害及战争等人力无法抗拒、不能预料又不可避免的事件；但无支付能力、破产等不视为不可抗力）而一方不能履行本合同的，在取得有关部门的不可抗力的认定后不视为违约，但是应当在发生不可抗力事件后立即向对方通知，并于七日内向对方出具合法、有效的证明。</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2、本合同未尽事宜，由甲乙双方另行协商并签订补充协议，补充协议与本合同具有同等法律效力。</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3、本合同附件为本合同的有效组成部分，与本合同具同等法律效力。</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4、本合同一式肆份，甲、乙双方各执贰份，均具有同等法律效力，自双方签字盖章之日起生效。</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5、本合同附件：</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附件一：“两告知”-告知函</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附件二：供应商廉洁诚信承诺书</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附件三：安全生产管理协议书</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附件四：维序服务检查标准</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附件五：维序服务品质检查考核表</w:t>
      </w:r>
    </w:p>
    <w:p>
      <w:pPr>
        <w:spacing w:line="360" w:lineRule="auto"/>
        <w:ind w:firstLine="275"/>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甲方(盖章)：                             乙方（盖章）：</w:t>
      </w:r>
    </w:p>
    <w:p>
      <w:pPr>
        <w:spacing w:line="360" w:lineRule="auto"/>
        <w:ind w:firstLine="275"/>
        <w:jc w:val="left"/>
        <w:rPr>
          <w:rFonts w:hint="eastAsia" w:ascii="宋体" w:hAnsi="宋体" w:eastAsia="宋体" w:cs="宋体"/>
          <w:color w:val="auto"/>
          <w:sz w:val="28"/>
          <w:szCs w:val="28"/>
          <w:highlight w:val="none"/>
        </w:rPr>
      </w:pPr>
    </w:p>
    <w:p>
      <w:pPr>
        <w:spacing w:line="360" w:lineRule="auto"/>
        <w:ind w:firstLine="275"/>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授权代表：                               授权代表： </w:t>
      </w:r>
    </w:p>
    <w:p>
      <w:pPr>
        <w:spacing w:line="360" w:lineRule="auto"/>
        <w:ind w:firstLine="275"/>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联系电话：                               联系电话：</w:t>
      </w:r>
    </w:p>
    <w:p>
      <w:pPr>
        <w:spacing w:line="360" w:lineRule="auto"/>
        <w:ind w:firstLine="275"/>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日期：                                   日期：     </w:t>
      </w:r>
    </w:p>
    <w:p>
      <w:pPr>
        <w:widowControl/>
        <w:spacing w:line="360" w:lineRule="auto"/>
        <w:ind w:firstLine="275"/>
        <w:jc w:val="left"/>
        <w:rPr>
          <w:rFonts w:hint="eastAsia" w:ascii="宋体" w:hAnsi="宋体" w:eastAsia="宋体" w:cs="宋体"/>
          <w:color w:val="auto"/>
          <w:sz w:val="28"/>
          <w:szCs w:val="28"/>
          <w:highlight w:val="none"/>
        </w:rPr>
      </w:pPr>
    </w:p>
    <w:p>
      <w:pPr>
        <w:widowControl/>
        <w:spacing w:line="360" w:lineRule="auto"/>
        <w:ind w:firstLine="275"/>
        <w:jc w:val="left"/>
        <w:rPr>
          <w:rFonts w:hint="eastAsia" w:ascii="宋体" w:hAnsi="宋体" w:eastAsia="宋体" w:cs="宋体"/>
          <w:color w:val="auto"/>
          <w:sz w:val="28"/>
          <w:szCs w:val="28"/>
          <w:highlight w:val="none"/>
        </w:rPr>
      </w:pPr>
    </w:p>
    <w:p>
      <w:pPr>
        <w:widowControl/>
        <w:spacing w:line="360" w:lineRule="auto"/>
        <w:ind w:firstLine="275"/>
        <w:jc w:val="left"/>
        <w:rPr>
          <w:rFonts w:hint="eastAsia" w:ascii="宋体" w:hAnsi="宋体" w:eastAsia="宋体" w:cs="宋体"/>
          <w:color w:val="auto"/>
          <w:sz w:val="28"/>
          <w:szCs w:val="28"/>
          <w:highlight w:val="none"/>
        </w:rPr>
      </w:pPr>
    </w:p>
    <w:p>
      <w:pPr>
        <w:widowControl/>
        <w:spacing w:line="360" w:lineRule="auto"/>
        <w:ind w:firstLine="275"/>
        <w:jc w:val="left"/>
        <w:rPr>
          <w:rFonts w:hint="eastAsia" w:ascii="宋体" w:hAnsi="宋体" w:eastAsia="宋体" w:cs="宋体"/>
          <w:color w:val="auto"/>
          <w:sz w:val="28"/>
          <w:szCs w:val="28"/>
          <w:highlight w:val="none"/>
        </w:rPr>
      </w:pPr>
    </w:p>
    <w:p>
      <w:pPr>
        <w:widowControl/>
        <w:spacing w:line="360" w:lineRule="auto"/>
        <w:ind w:firstLine="275"/>
        <w:jc w:val="left"/>
        <w:rPr>
          <w:rFonts w:hint="eastAsia" w:ascii="宋体" w:hAnsi="宋体" w:eastAsia="宋体" w:cs="宋体"/>
          <w:color w:val="auto"/>
          <w:sz w:val="28"/>
          <w:szCs w:val="28"/>
          <w:highlight w:val="none"/>
        </w:rPr>
      </w:pPr>
    </w:p>
    <w:p>
      <w:pPr>
        <w:widowControl/>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pPr>
        <w:widowControl/>
        <w:spacing w:line="360" w:lineRule="auto"/>
        <w:ind w:firstLine="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合同附件一：</w:t>
      </w:r>
    </w:p>
    <w:p>
      <w:pPr>
        <w:widowControl/>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“两告知”-告知函</w:t>
      </w:r>
    </w:p>
    <w:p>
      <w:pPr>
        <w:widowControl/>
        <w:spacing w:line="360" w:lineRule="auto"/>
        <w:ind w:firstLine="275"/>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致：                 公司</w:t>
      </w:r>
    </w:p>
    <w:p>
      <w:pPr>
        <w:widowControl/>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为切实加强我司党风廉政建设,在实际工作中全面落实党员干部职工廉洁自律要求，确保我司采购活动的规范与廉洁，从源头上预防和遏制违法违纪问题的发生，特作以下告知:</w:t>
      </w:r>
    </w:p>
    <w:p>
      <w:pPr>
        <w:widowControl/>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一、合作单位发现我司工作人员存在说情打招呼行为的要及时反馈。</w:t>
      </w:r>
    </w:p>
    <w:p>
      <w:pPr>
        <w:widowControl/>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二、中标单位发现我司工作人员存在利用职便或影响力索贿、吃拿卡要等违规违纪行为要及时反馈。</w:t>
      </w:r>
    </w:p>
    <w:p>
      <w:pPr>
        <w:widowControl/>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反馈地址及联系电话：厦门市思明区体育路41号顺承大厦6楼国贸服务纪检监察室，0592-2990836。</w:t>
      </w:r>
    </w:p>
    <w:p>
      <w:pPr>
        <w:widowControl/>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此告知函加盖本公司公章后生效。</w:t>
      </w:r>
    </w:p>
    <w:p>
      <w:pPr>
        <w:widowControl/>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特此函告。</w:t>
      </w:r>
    </w:p>
    <w:p>
      <w:pPr>
        <w:widowControl/>
        <w:spacing w:line="360" w:lineRule="auto"/>
        <w:ind w:firstLine="560" w:firstLineChars="200"/>
        <w:jc w:val="left"/>
        <w:rPr>
          <w:rFonts w:hint="eastAsia" w:ascii="宋体" w:hAnsi="宋体" w:eastAsia="宋体" w:cs="宋体"/>
          <w:color w:val="auto"/>
          <w:sz w:val="28"/>
          <w:szCs w:val="28"/>
          <w:highlight w:val="none"/>
        </w:rPr>
      </w:pPr>
    </w:p>
    <w:p>
      <w:pPr>
        <w:widowControl/>
        <w:spacing w:line="360" w:lineRule="auto"/>
        <w:ind w:firstLine="275"/>
        <w:jc w:val="righ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厦门国贸城市服务集团股份有限公司</w:t>
      </w:r>
    </w:p>
    <w:p>
      <w:pPr>
        <w:widowControl/>
        <w:spacing w:line="360" w:lineRule="auto"/>
        <w:ind w:firstLine="275"/>
        <w:jc w:val="righ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年   月   日</w:t>
      </w:r>
    </w:p>
    <w:p>
      <w:pPr>
        <w:widowControl/>
        <w:spacing w:line="360" w:lineRule="auto"/>
        <w:ind w:firstLine="275"/>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合作单位签收：</w:t>
      </w:r>
    </w:p>
    <w:p>
      <w:pPr>
        <w:widowControl/>
        <w:spacing w:line="360" w:lineRule="auto"/>
        <w:ind w:firstLine="275"/>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法定代表人（或授权代表）：</w:t>
      </w:r>
    </w:p>
    <w:p>
      <w:pPr>
        <w:widowControl/>
        <w:spacing w:line="360" w:lineRule="auto"/>
        <w:ind w:firstLine="275"/>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联系电话：</w:t>
      </w:r>
    </w:p>
    <w:p>
      <w:pPr>
        <w:widowControl/>
        <w:spacing w:line="360" w:lineRule="auto"/>
        <w:ind w:firstLine="275"/>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w:t>
      </w:r>
    </w:p>
    <w:p>
      <w:pPr>
        <w:widowControl/>
        <w:spacing w:line="360" w:lineRule="auto"/>
        <w:ind w:firstLine="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合同附件二：</w:t>
      </w:r>
    </w:p>
    <w:p>
      <w:pPr>
        <w:widowControl/>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供应商廉洁诚信承诺书</w:t>
      </w:r>
    </w:p>
    <w:p>
      <w:pPr>
        <w:widowControl/>
        <w:spacing w:line="360" w:lineRule="auto"/>
        <w:ind w:firstLine="275"/>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致：                               </w:t>
      </w:r>
    </w:p>
    <w:p>
      <w:pPr>
        <w:widowControl/>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承诺方系贵司的供应商、服务商或合作商，在相关业务活动(包括但不限于交易洽谈、供货、服务、承揽、技术合作交流、付款)中接触贵司相关人员和资讯，在廉洁义务和操守方面做出如下承诺：</w:t>
      </w:r>
    </w:p>
    <w:p>
      <w:pPr>
        <w:widowControl/>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一、自觉遵守国家法律、法规，按照《中国共产党纪律处分条例》、《中华人民共和国反不正当竞争法》、《关于禁止商业贿赂行为的暂行规定》、《中华人民共和国招投标法》以及有关要求进行各项业务活动。</w:t>
      </w:r>
    </w:p>
    <w:p>
      <w:pPr>
        <w:widowControl/>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不向贵司的工作人员及其亲属馈赠礼金、礼品（含有价证券）；不向贵司的工作人员提供任何应由其个人支付报酬的劳务和其它服务；不为贵司的工作人员安排可能影响公正执行公务的任何活动；不为贵司的工作人员支付应由其个人支付的任何赞助费、宣传费、咨询费、劳务费等；不为贵司工作人员报销任何名义的个人消费凭证。</w:t>
      </w:r>
    </w:p>
    <w:p>
      <w:pPr>
        <w:widowControl/>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三、不与其他经营者串通报价和投标，不排挤其他经营者的公平竞争，损害其他经营者的合法权益；不在工程建设的预决算编制工作中弄虚作假、高估冒算。</w:t>
      </w:r>
    </w:p>
    <w:p>
      <w:pPr>
        <w:widowControl/>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承诺方在与贵司达成和交易履行过程中，提供的资质证明、证照、企业及个人资料、住所、产品名称、规格、品质、服务标准、票据、权证、权利限制均为真实，不存在虚假、期满、伪造、变造行为，如上述情况发生变更，承诺方需在5个工作日内通知贵司备案存档。</w:t>
      </w:r>
    </w:p>
    <w:p>
      <w:pPr>
        <w:widowControl/>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五、承诺方禁止提供仿冒品（包括但不限于如贴牌、参杂参假，以次充好，以旧冒新、以不合格冒充合格）或不符合贵司所需规格之商品提供贵司使用。</w:t>
      </w:r>
    </w:p>
    <w:p>
      <w:pPr>
        <w:widowControl/>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六、承诺方同意贵司依其保密制度所划列的机密资料可包括一切关于贵司，无论是否有价值，被公开或正在采取保密措施的书面、口头或以其他形式呈现、保存之资讯、承诺方与接受机密资料五年内均有保密义务，未经贵司同意不得利用或向任何第三方泄露、交付。</w:t>
      </w:r>
    </w:p>
    <w:p>
      <w:pPr>
        <w:widowControl/>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七、为净化采购相关秩序及环境，可发送电子邮件至贵司进行投诉或申报，须记载确实之内容或证据线索及联络方式。投诉将由贵司监察室处理及回复并保密，如属实，举报人（单位）将获得额外的现金奖励。</w:t>
      </w:r>
    </w:p>
    <w:p>
      <w:pPr>
        <w:widowControl/>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八、违约责任</w:t>
      </w:r>
    </w:p>
    <w:p>
      <w:pPr>
        <w:widowControl/>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诺方承诺如违反本承诺书所述任何义务，无论是否给贵司造成损失，承诺方将承担一切责任，并就贵司实际造成的经济、名誉损失进行赔偿。贵司有权解除双方合同并不负任何违约责任。承诺方应付之违约金，贵司有权从承诺方应付账款中抵扣，并可采用刑事控告，民事赔偿等其他法律手段索回。</w:t>
      </w:r>
    </w:p>
    <w:p>
      <w:pPr>
        <w:widowControl/>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九、自觉接受监督。</w:t>
      </w:r>
    </w:p>
    <w:p>
      <w:pPr>
        <w:widowControl/>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特此承诺。</w:t>
      </w:r>
    </w:p>
    <w:p>
      <w:pPr>
        <w:widowControl/>
        <w:spacing w:line="360" w:lineRule="auto"/>
        <w:ind w:firstLine="275"/>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承诺人名称（盖章）： </w:t>
      </w:r>
    </w:p>
    <w:p>
      <w:pPr>
        <w:widowControl/>
        <w:spacing w:line="360" w:lineRule="auto"/>
        <w:ind w:firstLine="275"/>
        <w:jc w:val="left"/>
        <w:rPr>
          <w:rFonts w:hint="eastAsia" w:ascii="宋体" w:hAnsi="宋体" w:eastAsia="宋体" w:cs="宋体"/>
          <w:color w:val="auto"/>
          <w:sz w:val="28"/>
          <w:szCs w:val="28"/>
          <w:highlight w:val="none"/>
        </w:rPr>
      </w:pPr>
    </w:p>
    <w:p>
      <w:pPr>
        <w:widowControl/>
        <w:spacing w:line="360" w:lineRule="auto"/>
        <w:ind w:firstLine="275"/>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法定代表人（或授权代表）：</w:t>
      </w:r>
    </w:p>
    <w:p>
      <w:pPr>
        <w:widowControl/>
        <w:spacing w:line="360" w:lineRule="auto"/>
        <w:ind w:firstLine="275"/>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联系电话：</w:t>
      </w:r>
    </w:p>
    <w:p>
      <w:pPr>
        <w:widowControl/>
        <w:spacing w:line="360" w:lineRule="auto"/>
        <w:ind w:firstLine="275"/>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w:t>
      </w:r>
    </w:p>
    <w:p>
      <w:pPr>
        <w:widowControl/>
        <w:spacing w:line="360" w:lineRule="auto"/>
        <w:jc w:val="left"/>
        <w:rPr>
          <w:rFonts w:hint="eastAsia" w:ascii="宋体" w:hAnsi="宋体" w:eastAsia="宋体" w:cs="宋体"/>
          <w:color w:val="auto"/>
          <w:sz w:val="28"/>
          <w:szCs w:val="28"/>
          <w:highlight w:val="none"/>
        </w:rPr>
      </w:pPr>
    </w:p>
    <w:p>
      <w:pPr>
        <w:widowControl/>
        <w:spacing w:line="360" w:lineRule="auto"/>
        <w:jc w:val="left"/>
        <w:rPr>
          <w:rFonts w:hint="eastAsia" w:ascii="宋体" w:hAnsi="宋体" w:eastAsia="宋体" w:cs="宋体"/>
          <w:color w:val="auto"/>
          <w:sz w:val="28"/>
          <w:szCs w:val="28"/>
          <w:highlight w:val="none"/>
        </w:rPr>
      </w:pPr>
    </w:p>
    <w:p>
      <w:pPr>
        <w:widowControl/>
        <w:spacing w:line="360" w:lineRule="auto"/>
        <w:ind w:firstLine="275"/>
        <w:jc w:val="left"/>
        <w:rPr>
          <w:rFonts w:hint="eastAsia" w:ascii="宋体" w:hAnsi="宋体" w:eastAsia="宋体" w:cs="宋体"/>
          <w:color w:val="auto"/>
          <w:sz w:val="28"/>
          <w:szCs w:val="28"/>
          <w:highlight w:val="none"/>
        </w:rPr>
        <w:sectPr>
          <w:pgSz w:w="11906" w:h="16838"/>
          <w:pgMar w:top="1701" w:right="1701" w:bottom="1701" w:left="1701" w:header="851" w:footer="992" w:gutter="0"/>
          <w:cols w:space="425" w:num="1"/>
          <w:docGrid w:type="lines" w:linePitch="312" w:charSpace="0"/>
        </w:sectPr>
      </w:pPr>
    </w:p>
    <w:p>
      <w:pPr>
        <w:widowControl/>
        <w:spacing w:line="360" w:lineRule="auto"/>
        <w:ind w:firstLine="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合同附件三：</w:t>
      </w:r>
    </w:p>
    <w:p>
      <w:pPr>
        <w:widowControl/>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安全生产管理协议书</w:t>
      </w:r>
    </w:p>
    <w:p>
      <w:pPr>
        <w:widowControl/>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为贯彻“安全第一，预防为主，综合治理”方针，保证作业质量和安全生产，保持良好的工作秩序和作业场所的卫生环境，保护作业人员的安全和身体健康，防止伤亡事故的发生。加强外包项目作业的安全生产管理（□建筑施工□装修作业□设施设备的安装□维修施工□设备保养□保洁作业□外墙清洗□水池清洗□化粪池清掏□消杀作业□绿化施工与养护☑其他_秩序维护），经甲乙双方协商，签订安全生产管理协议如下：</w:t>
      </w:r>
    </w:p>
    <w:p>
      <w:pPr>
        <w:widowControl/>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一、乙方应加强对现场工作人员的安全教育，提高现场工作人员的安全意识和安全技术水平。</w:t>
      </w:r>
    </w:p>
    <w:p>
      <w:pPr>
        <w:widowControl/>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二、乙方人员作业携带的设备及用具，符合国家和企业安全规程要求，特种作业人员须持有效证件操作。</w:t>
      </w:r>
    </w:p>
    <w:p>
      <w:pPr>
        <w:widowControl/>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乙方在作业时应设置醒目的警示标牌及安全标识，明确指定现场安全负责人，加强作业地点的文明卫生及安全管理，所有作业人员正确穿戴好防护用品，遵守甲方的各种规章制度、现场管理规定，做到安全、文明作业。</w:t>
      </w:r>
    </w:p>
    <w:p>
      <w:pPr>
        <w:widowControl/>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乙方在作业过程中，采取符合国家标准的安全防护措施，确保不出安全责任事故。在作业过程中发生的一切伤亡、火灾等事故，所有责任由乙方承担，并负责事故上报、经济赔偿和善后处理等。事故的损失和善后处理费用均由乙方承担。</w:t>
      </w:r>
    </w:p>
    <w:p>
      <w:pPr>
        <w:widowControl/>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五、乙方对作业人员投保相关的安全责任险。</w:t>
      </w:r>
    </w:p>
    <w:p>
      <w:pPr>
        <w:widowControl/>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六、乙方认真执行国家、行业等相关作业的安全技术操作规程。作业时，与甲方项目负责人保持密切联系，如作业需要动用甲方水、电和其它设备设施或进行危险作业（拆除、吊装、危险搬运、登高作业、动火、临时用电、电气安装、切割焊接、绿化修剪、消杀作业等），必须与甲方办理相关手续后实施，接水、接电必须由甲方或甲方指定人员操作。未经甲方允许，乙方不得擅自使用和移动甲方的设备设施，否则所发生的一切后果由乙方承担。</w:t>
      </w:r>
    </w:p>
    <w:p>
      <w:pPr>
        <w:widowControl/>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七、在高温、大风等不良气候条件下作业时，乙方自备防高温、防风、防雨、防雷击等安全措施，确保安全作业。</w:t>
      </w:r>
    </w:p>
    <w:p>
      <w:pPr>
        <w:widowControl/>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八、乙方作业人员不得擅自进入业主的非作业区域，若因作业需要临时进入业主非作业区域，应向甲方专业负责人办理登记手续、取得业主同意后才可入内，进入人员须严格遵守业主各项规章制度。</w:t>
      </w:r>
    </w:p>
    <w:p>
      <w:pPr>
        <w:widowControl/>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九、作业过程中，乙方注意作业现场地下管线及高低压架空线路的保护。甲方项目对口负责人对地下管线和障碍物应详细交底，乙方应遵守交底要求，如遇有情况，应及时向甲方和有关部门联系，采取保护措施。</w:t>
      </w:r>
    </w:p>
    <w:p>
      <w:pPr>
        <w:widowControl/>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十、作业材料堆放整齐，垃圾及时处理，不影响甲方正常秩序及通信畅通。</w:t>
      </w:r>
    </w:p>
    <w:p>
      <w:pPr>
        <w:widowControl/>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十一、甲方有权对乙方作业现场安全进行指导及监督，对作业现场检查时提出的违章现象和不安全隐患，乙方立即整改。如出现危及人身和设备安全的紧急情况，甲方有权对乙方进行处罚或责令乙方停止作业。</w:t>
      </w:r>
    </w:p>
    <w:p>
      <w:pPr>
        <w:widowControl/>
        <w:spacing w:line="360" w:lineRule="auto"/>
        <w:ind w:firstLine="275"/>
        <w:jc w:val="left"/>
        <w:rPr>
          <w:rFonts w:hint="eastAsia" w:ascii="宋体" w:hAnsi="宋体" w:eastAsia="宋体" w:cs="宋体"/>
          <w:color w:val="auto"/>
          <w:sz w:val="28"/>
          <w:szCs w:val="28"/>
          <w:highlight w:val="none"/>
        </w:rPr>
      </w:pPr>
    </w:p>
    <w:p>
      <w:pPr>
        <w:widowControl/>
        <w:spacing w:line="360" w:lineRule="auto"/>
        <w:ind w:firstLine="275"/>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甲方单位：                            乙方单位：  </w:t>
      </w:r>
    </w:p>
    <w:p>
      <w:pPr>
        <w:widowControl/>
        <w:spacing w:line="360" w:lineRule="auto"/>
        <w:ind w:firstLine="275"/>
        <w:jc w:val="left"/>
        <w:rPr>
          <w:rFonts w:hint="eastAsia" w:ascii="宋体" w:hAnsi="宋体" w:eastAsia="宋体" w:cs="宋体"/>
          <w:color w:val="auto"/>
          <w:sz w:val="28"/>
          <w:szCs w:val="28"/>
          <w:highlight w:val="none"/>
        </w:rPr>
      </w:pPr>
    </w:p>
    <w:p>
      <w:pPr>
        <w:widowControl/>
        <w:spacing w:line="360" w:lineRule="auto"/>
        <w:ind w:firstLine="275"/>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负责人：                              负责人：</w:t>
      </w:r>
    </w:p>
    <w:p>
      <w:pPr>
        <w:widowControl/>
        <w:spacing w:line="360" w:lineRule="auto"/>
        <w:ind w:firstLine="275"/>
        <w:jc w:val="left"/>
        <w:rPr>
          <w:rFonts w:hint="eastAsia" w:ascii="宋体" w:hAnsi="宋体" w:eastAsia="宋体" w:cs="宋体"/>
          <w:color w:val="auto"/>
          <w:sz w:val="28"/>
          <w:szCs w:val="28"/>
          <w:highlight w:val="none"/>
        </w:rPr>
      </w:pPr>
    </w:p>
    <w:p>
      <w:pPr>
        <w:widowControl/>
        <w:spacing w:line="360" w:lineRule="auto"/>
        <w:ind w:firstLine="275"/>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联系电话：                            联系电话：</w:t>
      </w:r>
    </w:p>
    <w:p>
      <w:pPr>
        <w:widowControl/>
        <w:spacing w:line="360" w:lineRule="auto"/>
        <w:ind w:firstLine="275"/>
        <w:jc w:val="left"/>
        <w:rPr>
          <w:rFonts w:hint="eastAsia" w:ascii="宋体" w:hAnsi="宋体" w:eastAsia="宋体" w:cs="宋体"/>
          <w:color w:val="auto"/>
          <w:sz w:val="28"/>
          <w:szCs w:val="28"/>
          <w:highlight w:val="none"/>
        </w:rPr>
      </w:pPr>
    </w:p>
    <w:p>
      <w:pPr>
        <w:widowControl/>
        <w:spacing w:line="360" w:lineRule="auto"/>
        <w:ind w:firstLine="275"/>
        <w:jc w:val="left"/>
        <w:rPr>
          <w:rFonts w:hint="eastAsia" w:ascii="宋体" w:hAnsi="宋体" w:eastAsia="宋体" w:cs="宋体"/>
          <w:color w:val="auto"/>
          <w:sz w:val="28"/>
          <w:szCs w:val="28"/>
          <w:highlight w:val="none"/>
        </w:rPr>
      </w:pPr>
    </w:p>
    <w:p>
      <w:pPr>
        <w:widowControl/>
        <w:spacing w:line="360" w:lineRule="auto"/>
        <w:ind w:firstLine="275"/>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    年   月  日</w:t>
      </w:r>
    </w:p>
    <w:p>
      <w:pPr>
        <w:widowControl/>
        <w:spacing w:line="360" w:lineRule="auto"/>
        <w:jc w:val="left"/>
        <w:rPr>
          <w:rFonts w:hint="eastAsia" w:ascii="宋体" w:hAnsi="宋体" w:eastAsia="宋体" w:cs="宋体"/>
          <w:color w:val="auto"/>
          <w:sz w:val="28"/>
          <w:szCs w:val="28"/>
          <w:highlight w:val="none"/>
        </w:rPr>
        <w:sectPr>
          <w:pgSz w:w="11906" w:h="16838"/>
          <w:pgMar w:top="1701" w:right="1701" w:bottom="1701" w:left="1701" w:header="851" w:footer="992" w:gutter="0"/>
          <w:cols w:space="425" w:num="1"/>
          <w:docGrid w:type="lines" w:linePitch="312" w:charSpace="0"/>
        </w:sectPr>
      </w:pPr>
    </w:p>
    <w:p>
      <w:pPr>
        <w:widowControl/>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合同附件四：</w:t>
      </w:r>
    </w:p>
    <w:p>
      <w:pPr>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维序服务检查标准</w:t>
      </w:r>
    </w:p>
    <w:p>
      <w:pPr>
        <w:widowControl/>
        <w:numPr>
          <w:ilvl w:val="0"/>
          <w:numId w:val="5"/>
        </w:num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乙方派驻甲方的维序领班若要更换须经甲方同意，若未经甲方同意私自更换将扣除当月服务费用</w:t>
      </w:r>
      <w:r>
        <w:rPr>
          <w:rFonts w:hint="eastAsia" w:ascii="宋体" w:hAnsi="宋体" w:eastAsia="宋体" w:cs="宋体"/>
          <w:color w:val="auto"/>
          <w:sz w:val="28"/>
          <w:szCs w:val="28"/>
          <w:highlight w:val="none"/>
          <w:u w:val="single"/>
        </w:rPr>
        <w:t>1000</w:t>
      </w:r>
      <w:r>
        <w:rPr>
          <w:rFonts w:hint="eastAsia" w:ascii="宋体" w:hAnsi="宋体" w:eastAsia="宋体" w:cs="宋体"/>
          <w:color w:val="auto"/>
          <w:sz w:val="28"/>
          <w:szCs w:val="28"/>
          <w:highlight w:val="none"/>
        </w:rPr>
        <w:t>元。乙方派驻甲方的维序人员及相关工作人员，应于每日上下班时按时进行打卡，不得冒名顶替，一经发现，扣除当月服务费</w:t>
      </w:r>
      <w:r>
        <w:rPr>
          <w:rFonts w:hint="eastAsia" w:ascii="宋体" w:hAnsi="宋体" w:eastAsia="宋体" w:cs="宋体"/>
          <w:color w:val="auto"/>
          <w:sz w:val="28"/>
          <w:szCs w:val="28"/>
          <w:highlight w:val="none"/>
          <w:u w:val="single"/>
        </w:rPr>
        <w:t>1000</w:t>
      </w:r>
      <w:r>
        <w:rPr>
          <w:rFonts w:hint="eastAsia" w:ascii="宋体" w:hAnsi="宋体" w:eastAsia="宋体" w:cs="宋体"/>
          <w:color w:val="auto"/>
          <w:sz w:val="28"/>
          <w:szCs w:val="28"/>
          <w:highlight w:val="none"/>
        </w:rPr>
        <w:t>元/人次。</w:t>
      </w:r>
    </w:p>
    <w:p>
      <w:pPr>
        <w:widowControl/>
        <w:numPr>
          <w:ilvl w:val="0"/>
          <w:numId w:val="5"/>
        </w:numPr>
        <w:spacing w:line="360" w:lineRule="auto"/>
        <w:ind w:firstLine="560" w:firstLineChars="200"/>
        <w:jc w:val="left"/>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乙方派驻甲方的各岗位维序人员应符合甲方招标文件上所列的人员条件要求，包括（形象身高、年龄、保安证、消控证等）。甲方将定期检查相关人员信息，如有不符合的，甲方有权扣除当月1000元/人次。当月（自然月）累计不符合条件的人次超过总合同约定岗位人数的20%以上，甲方有权在定期检查结果上，累加扣除当月服务费总额的10%；乙方连续三个月，当月（自然月）累计不符合条件的人次超过总合同约定岗位人数的20%以上，甲方有权无条件随时解除合同</w:t>
      </w:r>
      <w:r>
        <w:rPr>
          <w:rFonts w:hint="eastAsia" w:ascii="宋体" w:hAnsi="宋体" w:eastAsia="宋体" w:cs="宋体"/>
          <w:b w:val="0"/>
          <w:bCs w:val="0"/>
          <w:color w:val="auto"/>
          <w:sz w:val="28"/>
          <w:szCs w:val="28"/>
          <w:highlight w:val="none"/>
        </w:rPr>
        <w:t>并不承担任何责任，且乙方需赔偿因此对甲方造成的损失。</w:t>
      </w:r>
    </w:p>
    <w:p>
      <w:pPr>
        <w:widowControl/>
        <w:numPr>
          <w:ilvl w:val="0"/>
          <w:numId w:val="5"/>
        </w:numPr>
        <w:spacing w:line="360" w:lineRule="auto"/>
        <w:ind w:firstLine="560" w:firstLineChars="200"/>
        <w:jc w:val="left"/>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乙方在项目进场前，按照招标文件所列示的装备、人员服装等要求，配备齐全。包括电瓶车、平衡巡逻车、人员服装等其他工作装备。乙方拒不配合或不按要求配置的，甲方有权要求限期整改。限期仍不整改的，甲方有权按照配置要求，自行采购，费用由乙方承担，并从月度服务费用中进行扣除。</w:t>
      </w:r>
    </w:p>
    <w:p>
      <w:pPr>
        <w:widowControl/>
        <w:numPr>
          <w:ilvl w:val="0"/>
          <w:numId w:val="5"/>
        </w:num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如因乙方维序人员未经过培训上岗导致未正确履行职责、安全隐患没有发现或处理，造成事故或人身财产安全损害的，每发生一起扣除服务费</w:t>
      </w:r>
      <w:r>
        <w:rPr>
          <w:rFonts w:hint="eastAsia" w:ascii="宋体" w:hAnsi="宋体" w:eastAsia="宋体" w:cs="宋体"/>
          <w:color w:val="auto"/>
          <w:sz w:val="28"/>
          <w:szCs w:val="28"/>
          <w:highlight w:val="none"/>
          <w:u w:val="single"/>
        </w:rPr>
        <w:t>1000</w:t>
      </w:r>
      <w:r>
        <w:rPr>
          <w:rFonts w:hint="eastAsia" w:ascii="宋体" w:hAnsi="宋体" w:eastAsia="宋体" w:cs="宋体"/>
          <w:color w:val="auto"/>
          <w:sz w:val="28"/>
          <w:szCs w:val="28"/>
          <w:highlight w:val="none"/>
        </w:rPr>
        <w:t>元/人，并赔偿实际损失。</w:t>
      </w:r>
    </w:p>
    <w:p>
      <w:pPr>
        <w:widowControl/>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t>、甲方有权每日对当班人数进行清点，与制定的排班表进行对照，每天每班如果缺1人，则从乙方当月服务费中扣除</w:t>
      </w:r>
      <w:r>
        <w:rPr>
          <w:rFonts w:hint="eastAsia" w:ascii="宋体" w:hAnsi="宋体" w:eastAsia="宋体" w:cs="宋体"/>
          <w:color w:val="auto"/>
          <w:sz w:val="28"/>
          <w:szCs w:val="28"/>
          <w:highlight w:val="none"/>
          <w:u w:val="single"/>
        </w:rPr>
        <w:t>500</w:t>
      </w:r>
      <w:r>
        <w:rPr>
          <w:rFonts w:hint="eastAsia" w:ascii="宋体" w:hAnsi="宋体" w:eastAsia="宋体" w:cs="宋体"/>
          <w:color w:val="auto"/>
          <w:sz w:val="28"/>
          <w:szCs w:val="28"/>
          <w:highlight w:val="none"/>
        </w:rPr>
        <w:t>元，以此累加。</w:t>
      </w:r>
    </w:p>
    <w:p>
      <w:pPr>
        <w:widowControl/>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rPr>
        <w:t>、每月若有经甲方核实有效投诉，甲方应在3个工作日内书面告知乙方整改，乙方未及时正确处理或回复的，甲方有权提出警告，每次扣除乙方当月服务费</w:t>
      </w:r>
      <w:r>
        <w:rPr>
          <w:rFonts w:hint="eastAsia" w:ascii="宋体" w:hAnsi="宋体" w:eastAsia="宋体" w:cs="宋体"/>
          <w:color w:val="auto"/>
          <w:sz w:val="28"/>
          <w:szCs w:val="28"/>
          <w:highlight w:val="none"/>
          <w:u w:val="single"/>
        </w:rPr>
        <w:t>1000</w:t>
      </w:r>
      <w:r>
        <w:rPr>
          <w:rFonts w:hint="eastAsia" w:ascii="宋体" w:hAnsi="宋体" w:eastAsia="宋体" w:cs="宋体"/>
          <w:color w:val="auto"/>
          <w:sz w:val="28"/>
          <w:szCs w:val="28"/>
          <w:highlight w:val="none"/>
        </w:rPr>
        <w:t>元。</w:t>
      </w:r>
    </w:p>
    <w:p>
      <w:pPr>
        <w:widowControl/>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7</w:t>
      </w:r>
      <w:r>
        <w:rPr>
          <w:rFonts w:hint="eastAsia" w:ascii="宋体" w:hAnsi="宋体" w:eastAsia="宋体" w:cs="宋体"/>
          <w:color w:val="auto"/>
          <w:sz w:val="28"/>
          <w:szCs w:val="28"/>
          <w:highlight w:val="none"/>
        </w:rPr>
        <w:t>、乙方维序人员要服从甲方现场管理和工作调整，对甲方依照本合同提出的管理意见和工作调整，乙方拒绝配合或故意拖延不及时配合，每次扣除乙方当月服务费</w:t>
      </w:r>
      <w:r>
        <w:rPr>
          <w:rFonts w:hint="eastAsia" w:ascii="宋体" w:hAnsi="宋体" w:eastAsia="宋体" w:cs="宋体"/>
          <w:color w:val="auto"/>
          <w:sz w:val="28"/>
          <w:szCs w:val="28"/>
          <w:highlight w:val="none"/>
          <w:u w:val="single"/>
        </w:rPr>
        <w:t>500</w:t>
      </w:r>
      <w:r>
        <w:rPr>
          <w:rFonts w:hint="eastAsia" w:ascii="宋体" w:hAnsi="宋体" w:eastAsia="宋体" w:cs="宋体"/>
          <w:color w:val="auto"/>
          <w:sz w:val="28"/>
          <w:szCs w:val="28"/>
          <w:highlight w:val="none"/>
        </w:rPr>
        <w:t>元。</w:t>
      </w:r>
    </w:p>
    <w:p>
      <w:pPr>
        <w:widowControl/>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8</w:t>
      </w:r>
      <w:r>
        <w:rPr>
          <w:rFonts w:hint="eastAsia" w:ascii="宋体" w:hAnsi="宋体" w:eastAsia="宋体" w:cs="宋体"/>
          <w:color w:val="auto"/>
          <w:sz w:val="28"/>
          <w:szCs w:val="28"/>
          <w:highlight w:val="none"/>
        </w:rPr>
        <w:t>、乙方维序人员上班不得迟到、早退。每发现迟到、早退或漏打等情况，按每天每人次</w:t>
      </w:r>
      <w:r>
        <w:rPr>
          <w:rFonts w:hint="eastAsia" w:ascii="宋体" w:hAnsi="宋体" w:eastAsia="宋体" w:cs="宋体"/>
          <w:color w:val="auto"/>
          <w:sz w:val="28"/>
          <w:szCs w:val="28"/>
          <w:highlight w:val="none"/>
          <w:u w:val="single"/>
        </w:rPr>
        <w:t xml:space="preserve"> 200</w:t>
      </w:r>
      <w:r>
        <w:rPr>
          <w:rFonts w:hint="eastAsia" w:ascii="宋体" w:hAnsi="宋体" w:eastAsia="宋体" w:cs="宋体"/>
          <w:color w:val="auto"/>
          <w:sz w:val="28"/>
          <w:szCs w:val="28"/>
          <w:highlight w:val="none"/>
        </w:rPr>
        <w:t>元的标准扣除乙方当月服务费；</w:t>
      </w:r>
    </w:p>
    <w:p>
      <w:pPr>
        <w:widowControl/>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9</w:t>
      </w:r>
      <w:r>
        <w:rPr>
          <w:rFonts w:hint="eastAsia" w:ascii="宋体" w:hAnsi="宋体" w:eastAsia="宋体" w:cs="宋体"/>
          <w:color w:val="auto"/>
          <w:sz w:val="28"/>
          <w:szCs w:val="28"/>
          <w:highlight w:val="none"/>
        </w:rPr>
        <w:t>、乙方维序人员严禁酒后上岗或在岗饮酒，每发现一次扣除服务费</w:t>
      </w:r>
      <w:r>
        <w:rPr>
          <w:rFonts w:hint="eastAsia" w:ascii="宋体" w:hAnsi="宋体" w:eastAsia="宋体" w:cs="宋体"/>
          <w:color w:val="auto"/>
          <w:sz w:val="28"/>
          <w:szCs w:val="28"/>
          <w:highlight w:val="none"/>
          <w:u w:val="single"/>
        </w:rPr>
        <w:t>500</w:t>
      </w:r>
      <w:r>
        <w:rPr>
          <w:rFonts w:hint="eastAsia" w:ascii="宋体" w:hAnsi="宋体" w:eastAsia="宋体" w:cs="宋体"/>
          <w:color w:val="auto"/>
          <w:sz w:val="28"/>
          <w:szCs w:val="28"/>
          <w:highlight w:val="none"/>
        </w:rPr>
        <w:t>元，如因喝酒引起事故或投诉，每次扣除服务费</w:t>
      </w:r>
      <w:r>
        <w:rPr>
          <w:rFonts w:hint="eastAsia" w:ascii="宋体" w:hAnsi="宋体" w:eastAsia="宋体" w:cs="宋体"/>
          <w:color w:val="auto"/>
          <w:sz w:val="28"/>
          <w:szCs w:val="28"/>
          <w:highlight w:val="none"/>
          <w:u w:val="single"/>
        </w:rPr>
        <w:t>1000</w:t>
      </w:r>
      <w:r>
        <w:rPr>
          <w:rFonts w:hint="eastAsia" w:ascii="宋体" w:hAnsi="宋体" w:eastAsia="宋体" w:cs="宋体"/>
          <w:color w:val="auto"/>
          <w:sz w:val="28"/>
          <w:szCs w:val="28"/>
          <w:highlight w:val="none"/>
        </w:rPr>
        <w:t>元。</w:t>
      </w:r>
    </w:p>
    <w:p>
      <w:pPr>
        <w:widowControl/>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10</w:t>
      </w:r>
      <w:r>
        <w:rPr>
          <w:rFonts w:hint="eastAsia" w:ascii="宋体" w:hAnsi="宋体" w:eastAsia="宋体" w:cs="宋体"/>
          <w:color w:val="auto"/>
          <w:sz w:val="28"/>
          <w:szCs w:val="28"/>
          <w:highlight w:val="none"/>
        </w:rPr>
        <w:t>、乙方维序人员严禁脱离工作岗位或在岗上睡觉，如出现脱岗或睡岗，每发生一次扣除乙方当月服务费</w:t>
      </w:r>
      <w:r>
        <w:rPr>
          <w:rFonts w:hint="eastAsia" w:ascii="宋体" w:hAnsi="宋体" w:eastAsia="宋体" w:cs="宋体"/>
          <w:color w:val="auto"/>
          <w:sz w:val="28"/>
          <w:szCs w:val="28"/>
          <w:highlight w:val="none"/>
          <w:u w:val="single"/>
        </w:rPr>
        <w:t>500</w:t>
      </w:r>
      <w:r>
        <w:rPr>
          <w:rFonts w:hint="eastAsia" w:ascii="宋体" w:hAnsi="宋体" w:eastAsia="宋体" w:cs="宋体"/>
          <w:color w:val="auto"/>
          <w:sz w:val="28"/>
          <w:szCs w:val="28"/>
          <w:highlight w:val="none"/>
        </w:rPr>
        <w:t>元。</w:t>
      </w:r>
    </w:p>
    <w:p>
      <w:pPr>
        <w:widowControl/>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11</w:t>
      </w:r>
      <w:r>
        <w:rPr>
          <w:rFonts w:hint="eastAsia" w:ascii="宋体" w:hAnsi="宋体" w:eastAsia="宋体" w:cs="宋体"/>
          <w:color w:val="auto"/>
          <w:sz w:val="28"/>
          <w:szCs w:val="28"/>
          <w:highlight w:val="none"/>
        </w:rPr>
        <w:t>、乙方维序人员在岗上值班时，要服装整洁，仪表端正，每发生一次未按规定着装或的扣除乙方当月服务费</w:t>
      </w:r>
      <w:r>
        <w:rPr>
          <w:rFonts w:hint="eastAsia" w:ascii="宋体" w:hAnsi="宋体" w:eastAsia="宋体" w:cs="宋体"/>
          <w:color w:val="auto"/>
          <w:sz w:val="28"/>
          <w:szCs w:val="28"/>
          <w:highlight w:val="none"/>
          <w:u w:val="single"/>
        </w:rPr>
        <w:t>100</w:t>
      </w:r>
      <w:r>
        <w:rPr>
          <w:rFonts w:hint="eastAsia" w:ascii="宋体" w:hAnsi="宋体" w:eastAsia="宋体" w:cs="宋体"/>
          <w:color w:val="auto"/>
          <w:sz w:val="28"/>
          <w:szCs w:val="28"/>
          <w:highlight w:val="none"/>
        </w:rPr>
        <w:t>元。</w:t>
      </w:r>
    </w:p>
    <w:p>
      <w:pPr>
        <w:widowControl/>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t>、乙方维序人员在不影响工作的情况下使用手机通话不得超过3分钟。严禁在岗位上做与工作无关的事情，每发生一次扣除乙方当月服务费</w:t>
      </w:r>
      <w:r>
        <w:rPr>
          <w:rFonts w:hint="eastAsia" w:ascii="宋体" w:hAnsi="宋体" w:eastAsia="宋体" w:cs="宋体"/>
          <w:color w:val="auto"/>
          <w:sz w:val="28"/>
          <w:szCs w:val="28"/>
          <w:highlight w:val="none"/>
          <w:u w:val="single"/>
        </w:rPr>
        <w:t>100</w:t>
      </w:r>
      <w:r>
        <w:rPr>
          <w:rFonts w:hint="eastAsia" w:ascii="宋体" w:hAnsi="宋体" w:eastAsia="宋体" w:cs="宋体"/>
          <w:color w:val="auto"/>
          <w:sz w:val="28"/>
          <w:szCs w:val="28"/>
          <w:highlight w:val="none"/>
        </w:rPr>
        <w:t>元。</w:t>
      </w:r>
    </w:p>
    <w:p>
      <w:pPr>
        <w:widowControl/>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rPr>
        <w:t>、乙方维序人员严禁与业主、使用人发生口角或肢体冲突，每发生一次口角扣除乙方当月服务费</w:t>
      </w:r>
      <w:r>
        <w:rPr>
          <w:rFonts w:hint="eastAsia" w:ascii="宋体" w:hAnsi="宋体" w:eastAsia="宋体" w:cs="宋体"/>
          <w:color w:val="auto"/>
          <w:sz w:val="28"/>
          <w:szCs w:val="28"/>
          <w:highlight w:val="none"/>
          <w:u w:val="single"/>
        </w:rPr>
        <w:t>500</w:t>
      </w:r>
      <w:r>
        <w:rPr>
          <w:rFonts w:hint="eastAsia" w:ascii="宋体" w:hAnsi="宋体" w:eastAsia="宋体" w:cs="宋体"/>
          <w:color w:val="auto"/>
          <w:sz w:val="28"/>
          <w:szCs w:val="28"/>
          <w:highlight w:val="none"/>
        </w:rPr>
        <w:t>元，每发生一肢体冲突扣除当月服务费</w:t>
      </w:r>
      <w:r>
        <w:rPr>
          <w:rFonts w:hint="eastAsia" w:ascii="宋体" w:hAnsi="宋体" w:eastAsia="宋体" w:cs="宋体"/>
          <w:color w:val="auto"/>
          <w:sz w:val="28"/>
          <w:szCs w:val="28"/>
          <w:highlight w:val="none"/>
          <w:u w:val="single"/>
        </w:rPr>
        <w:t>1000</w:t>
      </w:r>
      <w:r>
        <w:rPr>
          <w:rFonts w:hint="eastAsia" w:ascii="宋体" w:hAnsi="宋体" w:eastAsia="宋体" w:cs="宋体"/>
          <w:color w:val="auto"/>
          <w:sz w:val="28"/>
          <w:szCs w:val="28"/>
          <w:highlight w:val="none"/>
        </w:rPr>
        <w:t>元，并开除涉事秩序员，产生的医疗费或其它实际损失全部由乙方承担。</w:t>
      </w:r>
    </w:p>
    <w:p>
      <w:pPr>
        <w:widowControl/>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rPr>
        <w:t>、乙方维序人员要对异常人员和装修材料进行严格管控，未按要求对异常人员或装修材料等进行询问、确认、登记和监控的，日常巡查每发现一次扣除乙方当月服务费</w:t>
      </w:r>
      <w:r>
        <w:rPr>
          <w:rFonts w:hint="eastAsia" w:ascii="宋体" w:hAnsi="宋体" w:eastAsia="宋体" w:cs="宋体"/>
          <w:color w:val="auto"/>
          <w:sz w:val="28"/>
          <w:szCs w:val="28"/>
          <w:highlight w:val="none"/>
          <w:u w:val="single"/>
        </w:rPr>
        <w:t>200</w:t>
      </w:r>
      <w:r>
        <w:rPr>
          <w:rFonts w:hint="eastAsia" w:ascii="宋体" w:hAnsi="宋体" w:eastAsia="宋体" w:cs="宋体"/>
          <w:color w:val="auto"/>
          <w:sz w:val="28"/>
          <w:szCs w:val="28"/>
          <w:highlight w:val="none"/>
        </w:rPr>
        <w:t>元。</w:t>
      </w:r>
    </w:p>
    <w:p>
      <w:pPr>
        <w:widowControl/>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t>、乙方维序人员要严格按照甲方制定的巡逻计划进行巡逻，并做好巡逻记录，未按要求完成巡逻、随意填写记录或弄虚作假的，每检查发现一次扣除乙方当月服务费</w:t>
      </w:r>
      <w:r>
        <w:rPr>
          <w:rFonts w:hint="eastAsia" w:ascii="宋体" w:hAnsi="宋体" w:eastAsia="宋体" w:cs="宋体"/>
          <w:color w:val="auto"/>
          <w:sz w:val="28"/>
          <w:szCs w:val="28"/>
          <w:highlight w:val="none"/>
          <w:u w:val="single"/>
        </w:rPr>
        <w:t>200</w:t>
      </w:r>
      <w:r>
        <w:rPr>
          <w:rFonts w:hint="eastAsia" w:ascii="宋体" w:hAnsi="宋体" w:eastAsia="宋体" w:cs="宋体"/>
          <w:color w:val="auto"/>
          <w:sz w:val="28"/>
          <w:szCs w:val="28"/>
          <w:highlight w:val="none"/>
        </w:rPr>
        <w:t>元。</w:t>
      </w:r>
    </w:p>
    <w:p>
      <w:pPr>
        <w:widowControl/>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rPr>
        <w:t>、在接到火警或警情通知后，乙方维序人员5分钟内要到达现场，协助保护现场，并及时报告。在遇到异常情况或业主紧急求助时，5分钟内赶到现场并采取相应措施。当值领班要在10分钟内到达现场，指挥处理突发事件。未能及时按突发事件处理程序处理的，每发生一次扣除乙方当月服务费</w:t>
      </w:r>
      <w:r>
        <w:rPr>
          <w:rFonts w:hint="eastAsia" w:ascii="宋体" w:hAnsi="宋体" w:eastAsia="宋体" w:cs="宋体"/>
          <w:color w:val="auto"/>
          <w:sz w:val="28"/>
          <w:szCs w:val="28"/>
          <w:highlight w:val="none"/>
          <w:u w:val="single"/>
        </w:rPr>
        <w:t>500</w:t>
      </w:r>
      <w:r>
        <w:rPr>
          <w:rFonts w:hint="eastAsia" w:ascii="宋体" w:hAnsi="宋体" w:eastAsia="宋体" w:cs="宋体"/>
          <w:color w:val="auto"/>
          <w:sz w:val="28"/>
          <w:szCs w:val="28"/>
          <w:highlight w:val="none"/>
        </w:rPr>
        <w:t>元；引起业主投诉，查证属实的每次扣除乙方当月服务费</w:t>
      </w:r>
      <w:r>
        <w:rPr>
          <w:rFonts w:hint="eastAsia" w:ascii="宋体" w:hAnsi="宋体" w:eastAsia="宋体" w:cs="宋体"/>
          <w:color w:val="auto"/>
          <w:sz w:val="28"/>
          <w:szCs w:val="28"/>
          <w:highlight w:val="none"/>
          <w:u w:val="single"/>
        </w:rPr>
        <w:t>1000</w:t>
      </w:r>
      <w:r>
        <w:rPr>
          <w:rFonts w:hint="eastAsia" w:ascii="宋体" w:hAnsi="宋体" w:eastAsia="宋体" w:cs="宋体"/>
          <w:color w:val="auto"/>
          <w:sz w:val="28"/>
          <w:szCs w:val="28"/>
          <w:highlight w:val="none"/>
        </w:rPr>
        <w:t>元；给甲方或第三人造成损失的，乙方还应承担相应赔偿责任。</w:t>
      </w:r>
    </w:p>
    <w:p>
      <w:pPr>
        <w:widowControl/>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cs="宋体"/>
          <w:color w:val="auto"/>
          <w:sz w:val="28"/>
          <w:szCs w:val="28"/>
          <w:highlight w:val="none"/>
          <w:lang w:val="en-US" w:eastAsia="zh-CN"/>
        </w:rPr>
        <w:t>7</w:t>
      </w:r>
      <w:r>
        <w:rPr>
          <w:rFonts w:hint="eastAsia" w:ascii="宋体" w:hAnsi="宋体" w:eastAsia="宋体" w:cs="宋体"/>
          <w:color w:val="auto"/>
          <w:sz w:val="28"/>
          <w:szCs w:val="28"/>
          <w:highlight w:val="none"/>
        </w:rPr>
        <w:t>、乙方要加强对维序队伍的管理，保持廉洁自律作风，不得私自收受礼品或礼金，不得侵占财物；在协助甲方进行车辆管理收费活动中，实收现金要及时上交（如有），如发现私收、私占财物或侵占停车费现象，占一罚十。</w:t>
      </w:r>
    </w:p>
    <w:p>
      <w:pPr>
        <w:widowControl/>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cs="宋体"/>
          <w:color w:val="auto"/>
          <w:sz w:val="28"/>
          <w:szCs w:val="28"/>
          <w:highlight w:val="none"/>
          <w:lang w:val="en-US" w:eastAsia="zh-CN"/>
        </w:rPr>
        <w:t>8</w:t>
      </w:r>
      <w:r>
        <w:rPr>
          <w:rFonts w:hint="eastAsia" w:ascii="宋体" w:hAnsi="宋体" w:eastAsia="宋体" w:cs="宋体"/>
          <w:color w:val="auto"/>
          <w:sz w:val="28"/>
          <w:szCs w:val="28"/>
          <w:highlight w:val="none"/>
        </w:rPr>
        <w:t>、乙方维序队伍或队员不得介入项目的搬运业务，更不得支持地方势力的强买强卖活动，发现非法搬运或强买强卖现象要立即制止并向服务处报告，如发现维序队伍或队员从事或支持非法搬运和强买强卖活动，在警告的同时扣除乙方当月服务费</w:t>
      </w:r>
      <w:r>
        <w:rPr>
          <w:rFonts w:hint="eastAsia" w:ascii="宋体" w:hAnsi="宋体" w:eastAsia="宋体" w:cs="宋体"/>
          <w:color w:val="auto"/>
          <w:sz w:val="28"/>
          <w:szCs w:val="28"/>
          <w:highlight w:val="none"/>
          <w:u w:val="single"/>
        </w:rPr>
        <w:t>10000</w:t>
      </w:r>
      <w:r>
        <w:rPr>
          <w:rFonts w:hint="eastAsia" w:ascii="宋体" w:hAnsi="宋体" w:eastAsia="宋体" w:cs="宋体"/>
          <w:color w:val="auto"/>
          <w:sz w:val="28"/>
          <w:szCs w:val="28"/>
          <w:highlight w:val="none"/>
        </w:rPr>
        <w:t>元，如事情严重或造成甲方名誉损失的，甲方有权单方解除合同，停止维序服务。</w:t>
      </w:r>
    </w:p>
    <w:p>
      <w:pPr>
        <w:widowControl/>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cs="宋体"/>
          <w:color w:val="auto"/>
          <w:sz w:val="28"/>
          <w:szCs w:val="28"/>
          <w:highlight w:val="none"/>
          <w:lang w:val="en-US" w:eastAsia="zh-CN"/>
        </w:rPr>
        <w:t>9</w:t>
      </w:r>
      <w:r>
        <w:rPr>
          <w:rFonts w:hint="eastAsia" w:ascii="宋体" w:hAnsi="宋体" w:eastAsia="宋体" w:cs="宋体"/>
          <w:color w:val="auto"/>
          <w:sz w:val="28"/>
          <w:szCs w:val="28"/>
          <w:highlight w:val="none"/>
        </w:rPr>
        <w:t>、乙方要加强对维序队伍的管理，保持良好的工作状态，严格按安全防范工作要求，完成安全管理工作内容，确保管理区域内不发生入室盗窃案件。如管理区域内发生入室盗窃案件但不能提供巡逻记录和视频的扣</w:t>
      </w:r>
      <w:r>
        <w:rPr>
          <w:rFonts w:hint="eastAsia" w:ascii="宋体" w:hAnsi="宋体" w:eastAsia="宋体" w:cs="宋体"/>
          <w:color w:val="auto"/>
          <w:sz w:val="28"/>
          <w:szCs w:val="28"/>
          <w:highlight w:val="none"/>
          <w:u w:val="single"/>
        </w:rPr>
        <w:t>1000</w:t>
      </w:r>
      <w:r>
        <w:rPr>
          <w:rFonts w:hint="eastAsia" w:ascii="宋体" w:hAnsi="宋体" w:eastAsia="宋体" w:cs="宋体"/>
          <w:color w:val="auto"/>
          <w:sz w:val="28"/>
          <w:szCs w:val="28"/>
          <w:highlight w:val="none"/>
        </w:rPr>
        <w:t>元；因管理失职给甲方或第三人造成的损失，乙方还应承担相应赔偿。</w:t>
      </w:r>
    </w:p>
    <w:p>
      <w:pPr>
        <w:widowControl/>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20</w:t>
      </w:r>
      <w:r>
        <w:rPr>
          <w:rFonts w:hint="eastAsia" w:ascii="宋体" w:hAnsi="宋体" w:eastAsia="宋体" w:cs="宋体"/>
          <w:color w:val="auto"/>
          <w:sz w:val="28"/>
          <w:szCs w:val="28"/>
          <w:highlight w:val="none"/>
        </w:rPr>
        <w:t>、服务期内，甲方有权对乙方秩序维护服务进行业主满意度调研，进场日期在当月15日之前的，则甲方在次月对乙方秩序维护服务进行业主满意度调研，进场日期在当月15日之后的，则甲方在次次月对乙方秩序维护服务进行业主满意度调研。每月秩序维护服务模块业主满意度得分低于</w:t>
      </w:r>
      <w:r>
        <w:rPr>
          <w:rFonts w:hint="eastAsia" w:ascii="宋体" w:hAnsi="宋体" w:eastAsia="宋体" w:cs="宋体"/>
          <w:color w:val="auto"/>
          <w:sz w:val="28"/>
          <w:szCs w:val="28"/>
          <w:highlight w:val="none"/>
          <w:u w:val="single"/>
        </w:rPr>
        <w:t xml:space="preserve"> 85 </w:t>
      </w:r>
      <w:r>
        <w:rPr>
          <w:rFonts w:hint="eastAsia" w:ascii="宋体" w:hAnsi="宋体" w:eastAsia="宋体" w:cs="宋体"/>
          <w:color w:val="auto"/>
          <w:sz w:val="28"/>
          <w:szCs w:val="28"/>
          <w:highlight w:val="none"/>
        </w:rPr>
        <w:t>分的，每少1分相应扣减当月秩序维护服务费</w:t>
      </w:r>
      <w:r>
        <w:rPr>
          <w:rFonts w:hint="eastAsia" w:ascii="宋体" w:hAnsi="宋体" w:eastAsia="宋体" w:cs="宋体"/>
          <w:color w:val="auto"/>
          <w:sz w:val="28"/>
          <w:szCs w:val="28"/>
          <w:highlight w:val="none"/>
          <w:u w:val="single"/>
        </w:rPr>
        <w:t>100</w:t>
      </w:r>
      <w:r>
        <w:rPr>
          <w:rFonts w:hint="eastAsia" w:ascii="宋体" w:hAnsi="宋体" w:eastAsia="宋体" w:cs="宋体"/>
          <w:color w:val="auto"/>
          <w:sz w:val="28"/>
          <w:szCs w:val="28"/>
          <w:highlight w:val="none"/>
        </w:rPr>
        <w:t>元。</w:t>
      </w:r>
    </w:p>
    <w:p>
      <w:pPr>
        <w:widowControl/>
        <w:spacing w:line="360" w:lineRule="auto"/>
        <w:ind w:firstLine="560" w:firstLineChars="200"/>
        <w:jc w:val="left"/>
        <w:rPr>
          <w:rFonts w:hint="eastAsia" w:ascii="宋体" w:hAnsi="宋体" w:eastAsia="宋体" w:cs="宋体"/>
          <w:color w:val="auto"/>
          <w:sz w:val="28"/>
          <w:szCs w:val="28"/>
          <w:highlight w:val="none"/>
        </w:rPr>
        <w:sectPr>
          <w:pgSz w:w="11906" w:h="16838"/>
          <w:pgMar w:top="1701" w:right="1701" w:bottom="1701" w:left="1701" w:header="851" w:footer="992" w:gutter="0"/>
          <w:cols w:space="425" w:num="1"/>
          <w:docGrid w:type="lines" w:linePitch="312" w:charSpace="0"/>
        </w:sectPr>
      </w:pPr>
      <w:r>
        <w:rPr>
          <w:rFonts w:hint="eastAsia" w:ascii="宋体" w:hAnsi="宋体" w:cs="宋体"/>
          <w:color w:val="auto"/>
          <w:sz w:val="28"/>
          <w:szCs w:val="28"/>
          <w:highlight w:val="none"/>
          <w:lang w:val="en-US" w:eastAsia="zh-CN"/>
        </w:rPr>
        <w:t>21</w:t>
      </w:r>
      <w:r>
        <w:rPr>
          <w:rFonts w:hint="eastAsia" w:ascii="宋体" w:hAnsi="宋体" w:eastAsia="宋体" w:cs="宋体"/>
          <w:color w:val="auto"/>
          <w:sz w:val="28"/>
          <w:szCs w:val="28"/>
          <w:highlight w:val="none"/>
        </w:rPr>
        <w:t>、根据本项目物业管理方上属集团第三方神秘客户每季度的暗访物业维度得分抽样检查结果，乙方秩序维护服务单模块得分低于</w:t>
      </w:r>
      <w:r>
        <w:rPr>
          <w:rFonts w:hint="eastAsia" w:ascii="宋体" w:hAnsi="宋体" w:eastAsia="宋体" w:cs="宋体"/>
          <w:color w:val="auto"/>
          <w:sz w:val="28"/>
          <w:szCs w:val="28"/>
          <w:highlight w:val="none"/>
          <w:u w:val="single"/>
        </w:rPr>
        <w:t>项目总体得分</w:t>
      </w:r>
      <w:r>
        <w:rPr>
          <w:rFonts w:hint="eastAsia" w:ascii="宋体" w:hAnsi="宋体" w:eastAsia="宋体" w:cs="宋体"/>
          <w:color w:val="auto"/>
          <w:sz w:val="28"/>
          <w:szCs w:val="28"/>
          <w:highlight w:val="none"/>
        </w:rPr>
        <w:t>的（根据项目年度考核指标确定具体分值），每低1分扣除当月秩序维护服务费</w:t>
      </w:r>
      <w:r>
        <w:rPr>
          <w:rFonts w:hint="eastAsia" w:ascii="宋体" w:hAnsi="宋体" w:eastAsia="宋体" w:cs="宋体"/>
          <w:color w:val="auto"/>
          <w:sz w:val="28"/>
          <w:szCs w:val="28"/>
          <w:highlight w:val="none"/>
          <w:u w:val="single"/>
        </w:rPr>
        <w:t xml:space="preserve"> 100 </w:t>
      </w:r>
      <w:r>
        <w:rPr>
          <w:rFonts w:hint="eastAsia" w:ascii="宋体" w:hAnsi="宋体" w:eastAsia="宋体" w:cs="宋体"/>
          <w:color w:val="auto"/>
          <w:sz w:val="28"/>
          <w:szCs w:val="28"/>
          <w:highlight w:val="none"/>
        </w:rPr>
        <w:t>元。</w:t>
      </w:r>
    </w:p>
    <w:p>
      <w:pPr>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合同附件五</w:t>
      </w:r>
    </w:p>
    <w:p>
      <w:pPr>
        <w:spacing w:line="360" w:lineRule="auto"/>
        <w:jc w:val="center"/>
        <w:rPr>
          <w:rFonts w:hint="eastAsia" w:ascii="宋体" w:hAnsi="宋体" w:eastAsia="宋体" w:cs="宋体"/>
          <w:b/>
          <w:bCs/>
          <w:color w:val="auto"/>
          <w:sz w:val="28"/>
          <w:szCs w:val="28"/>
          <w:highlight w:val="none"/>
          <w:lang w:val="zh-TW" w:eastAsia="zh-TW"/>
        </w:rPr>
      </w:pPr>
      <w:bookmarkStart w:id="475" w:name="_Toc3472"/>
      <w:r>
        <w:rPr>
          <w:rFonts w:hint="eastAsia" w:ascii="宋体" w:hAnsi="宋体" w:eastAsia="宋体" w:cs="宋体"/>
          <w:b/>
          <w:bCs/>
          <w:color w:val="auto"/>
          <w:sz w:val="28"/>
          <w:szCs w:val="28"/>
          <w:highlight w:val="none"/>
        </w:rPr>
        <w:t>项目</w:t>
      </w:r>
      <w:r>
        <w:rPr>
          <w:rFonts w:hint="eastAsia" w:ascii="宋体" w:hAnsi="宋体" w:eastAsia="宋体" w:cs="宋体"/>
          <w:b/>
          <w:bCs/>
          <w:color w:val="auto"/>
          <w:sz w:val="28"/>
          <w:szCs w:val="28"/>
          <w:highlight w:val="none"/>
          <w:lang w:val="zh-TW"/>
        </w:rPr>
        <w:t>维序</w:t>
      </w:r>
      <w:r>
        <w:rPr>
          <w:rFonts w:hint="eastAsia" w:ascii="宋体" w:hAnsi="宋体" w:eastAsia="宋体" w:cs="宋体"/>
          <w:b/>
          <w:bCs/>
          <w:color w:val="auto"/>
          <w:sz w:val="28"/>
          <w:szCs w:val="28"/>
          <w:highlight w:val="none"/>
          <w:lang w:val="zh-TW" w:eastAsia="zh-TW"/>
        </w:rPr>
        <w:t>服务</w:t>
      </w:r>
      <w:r>
        <w:rPr>
          <w:rFonts w:hint="eastAsia" w:ascii="宋体" w:hAnsi="宋体" w:eastAsia="宋体" w:cs="宋体"/>
          <w:b/>
          <w:bCs/>
          <w:color w:val="auto"/>
          <w:sz w:val="28"/>
          <w:szCs w:val="28"/>
          <w:highlight w:val="none"/>
        </w:rPr>
        <w:t>品质</w:t>
      </w:r>
      <w:r>
        <w:rPr>
          <w:rFonts w:hint="eastAsia" w:ascii="宋体" w:hAnsi="宋体" w:eastAsia="宋体" w:cs="宋体"/>
          <w:b/>
          <w:bCs/>
          <w:color w:val="auto"/>
          <w:sz w:val="28"/>
          <w:szCs w:val="28"/>
          <w:highlight w:val="none"/>
          <w:lang w:val="zh-TW" w:eastAsia="zh-TW"/>
        </w:rPr>
        <w:t>检查考核表</w:t>
      </w:r>
    </w:p>
    <w:tbl>
      <w:tblPr>
        <w:tblStyle w:val="19"/>
        <w:tblW w:w="13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4256"/>
        <w:gridCol w:w="4444"/>
        <w:gridCol w:w="2043"/>
        <w:gridCol w:w="538"/>
        <w:gridCol w:w="441"/>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63" w:type="dxa"/>
            <w:vAlign w:val="center"/>
          </w:tcPr>
          <w:p>
            <w:pPr>
              <w:widowControl/>
              <w:spacing w:line="240" w:lineRule="auto"/>
              <w:ind w:firstLine="0"/>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lang w:eastAsia="zh-TW"/>
              </w:rPr>
              <w:t>检查类别</w:t>
            </w:r>
          </w:p>
        </w:tc>
        <w:tc>
          <w:tcPr>
            <w:tcW w:w="4256" w:type="dxa"/>
            <w:vAlign w:val="center"/>
          </w:tcPr>
          <w:p>
            <w:pPr>
              <w:widowControl/>
              <w:spacing w:line="240" w:lineRule="auto"/>
              <w:ind w:firstLine="236"/>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lang w:eastAsia="zh-TW"/>
              </w:rPr>
              <w:t>检查内容</w:t>
            </w:r>
          </w:p>
        </w:tc>
        <w:tc>
          <w:tcPr>
            <w:tcW w:w="4444" w:type="dxa"/>
            <w:vAlign w:val="center"/>
          </w:tcPr>
          <w:p>
            <w:pPr>
              <w:widowControl/>
              <w:spacing w:line="240" w:lineRule="auto"/>
              <w:ind w:firstLine="236"/>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lang w:eastAsia="zh-TW"/>
              </w:rPr>
              <w:t>检查标准及方法</w:t>
            </w:r>
          </w:p>
        </w:tc>
        <w:tc>
          <w:tcPr>
            <w:tcW w:w="2043" w:type="dxa"/>
            <w:vAlign w:val="center"/>
          </w:tcPr>
          <w:p>
            <w:pPr>
              <w:widowControl/>
              <w:spacing w:line="240" w:lineRule="auto"/>
              <w:ind w:firstLine="236"/>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lang w:eastAsia="zh-TW"/>
              </w:rPr>
              <w:t>评分标准</w:t>
            </w:r>
          </w:p>
        </w:tc>
        <w:tc>
          <w:tcPr>
            <w:tcW w:w="538" w:type="dxa"/>
            <w:vAlign w:val="center"/>
          </w:tcPr>
          <w:p>
            <w:pPr>
              <w:widowControl/>
              <w:spacing w:line="240" w:lineRule="auto"/>
              <w:ind w:firstLine="0"/>
              <w:jc w:val="both"/>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lang w:eastAsia="zh-TW"/>
              </w:rPr>
              <w:t>分值</w:t>
            </w:r>
          </w:p>
        </w:tc>
        <w:tc>
          <w:tcPr>
            <w:tcW w:w="441" w:type="dxa"/>
            <w:vAlign w:val="center"/>
          </w:tcPr>
          <w:p>
            <w:pPr>
              <w:widowControl/>
              <w:spacing w:line="240" w:lineRule="auto"/>
              <w:ind w:firstLine="0"/>
              <w:jc w:val="both"/>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lang w:eastAsia="zh-TW"/>
              </w:rPr>
              <w:t>得分</w:t>
            </w:r>
          </w:p>
        </w:tc>
        <w:tc>
          <w:tcPr>
            <w:tcW w:w="1151" w:type="dxa"/>
            <w:vAlign w:val="center"/>
          </w:tcPr>
          <w:p>
            <w:pPr>
              <w:widowControl/>
              <w:spacing w:line="240" w:lineRule="auto"/>
              <w:ind w:firstLine="0"/>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lang w:eastAsia="zh-TW"/>
              </w:rPr>
              <w:t>事实记录（要点）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restart"/>
            <w:vAlign w:val="center"/>
          </w:tcPr>
          <w:p>
            <w:pPr>
              <w:widowControl/>
              <w:spacing w:line="240" w:lineRule="auto"/>
              <w:ind w:firstLine="0"/>
              <w:jc w:val="both"/>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TW"/>
              </w:rPr>
              <w:t>交接班和备勤管理</w:t>
            </w:r>
          </w:p>
        </w:tc>
        <w:tc>
          <w:tcPr>
            <w:tcW w:w="4256"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岗位交接班：集合、</w:t>
            </w:r>
            <w:r>
              <w:rPr>
                <w:rFonts w:hint="eastAsia" w:ascii="宋体" w:hAnsi="宋体" w:eastAsia="宋体" w:cs="宋体"/>
                <w:color w:val="auto"/>
                <w:kern w:val="0"/>
                <w:sz w:val="22"/>
                <w:szCs w:val="22"/>
                <w:highlight w:val="none"/>
                <w:lang w:eastAsia="zh-TW"/>
              </w:rPr>
              <w:t>列队入园</w:t>
            </w:r>
            <w:r>
              <w:rPr>
                <w:rFonts w:hint="eastAsia" w:ascii="宋体" w:hAnsi="宋体" w:eastAsia="宋体" w:cs="宋体"/>
                <w:color w:val="auto"/>
                <w:kern w:val="0"/>
                <w:sz w:val="22"/>
                <w:szCs w:val="22"/>
                <w:highlight w:val="none"/>
              </w:rPr>
              <w:t>、班前会、逐岗交接、集合、班后会、列队带回。</w:t>
            </w:r>
          </w:p>
        </w:tc>
        <w:tc>
          <w:tcPr>
            <w:tcW w:w="4444"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观察</w:t>
            </w:r>
            <w:r>
              <w:rPr>
                <w:rFonts w:hint="eastAsia" w:ascii="宋体" w:hAnsi="宋体" w:eastAsia="宋体" w:cs="宋体"/>
                <w:color w:val="auto"/>
                <w:kern w:val="0"/>
                <w:sz w:val="22"/>
                <w:szCs w:val="22"/>
                <w:highlight w:val="none"/>
                <w:lang w:eastAsia="zh-TW"/>
              </w:rPr>
              <w:t>岗位交接班流程是否按照规定进行</w:t>
            </w:r>
          </w:p>
        </w:tc>
        <w:tc>
          <w:tcPr>
            <w:tcW w:w="2043" w:type="dxa"/>
            <w:vAlign w:val="center"/>
          </w:tcPr>
          <w:p>
            <w:pPr>
              <w:widowControl/>
              <w:spacing w:line="240" w:lineRule="auto"/>
              <w:ind w:firstLine="236"/>
              <w:jc w:val="left"/>
              <w:rPr>
                <w:rFonts w:hint="eastAsia" w:ascii="宋体" w:hAnsi="宋体" w:eastAsia="宋体" w:cs="宋体"/>
                <w:color w:val="auto"/>
                <w:kern w:val="0"/>
                <w:sz w:val="22"/>
                <w:szCs w:val="22"/>
                <w:highlight w:val="none"/>
                <w:lang w:eastAsia="zh-TW"/>
              </w:rPr>
            </w:pPr>
            <w:r>
              <w:rPr>
                <w:rFonts w:hint="eastAsia" w:ascii="宋体" w:hAnsi="宋体" w:eastAsia="宋体" w:cs="宋体"/>
                <w:color w:val="auto"/>
                <w:kern w:val="0"/>
                <w:sz w:val="22"/>
                <w:szCs w:val="22"/>
                <w:highlight w:val="none"/>
                <w:lang w:eastAsia="zh-TW"/>
              </w:rPr>
              <w:t>不符合</w:t>
            </w:r>
          </w:p>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TW"/>
              </w:rPr>
              <w:t>不得分</w:t>
            </w:r>
          </w:p>
        </w:tc>
        <w:tc>
          <w:tcPr>
            <w:tcW w:w="538" w:type="dxa"/>
            <w:vAlign w:val="center"/>
          </w:tcPr>
          <w:p>
            <w:pPr>
              <w:widowControl/>
              <w:spacing w:line="240" w:lineRule="auto"/>
              <w:ind w:firstLine="236"/>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p>
        </w:tc>
        <w:tc>
          <w:tcPr>
            <w:tcW w:w="441" w:type="dxa"/>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1151"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continue"/>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4256"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TW"/>
              </w:rPr>
              <w:t>标准化班组会</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eastAsia="zh-TW"/>
              </w:rPr>
              <w:t>维序员岗前15分钟到岗、集合，进行专项检查和训练</w:t>
            </w:r>
          </w:p>
        </w:tc>
        <w:tc>
          <w:tcPr>
            <w:tcW w:w="4444"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TW"/>
              </w:rPr>
              <w:t>调取项目日常晨会视频</w:t>
            </w:r>
            <w:r>
              <w:rPr>
                <w:rFonts w:hint="eastAsia" w:ascii="宋体" w:hAnsi="宋体" w:eastAsia="宋体" w:cs="宋体"/>
                <w:color w:val="auto"/>
                <w:kern w:val="0"/>
                <w:sz w:val="22"/>
                <w:szCs w:val="22"/>
                <w:highlight w:val="none"/>
              </w:rPr>
              <w:t>，5分钟形体礼仪，5分钟训练及5分钟工作安排。</w:t>
            </w:r>
          </w:p>
        </w:tc>
        <w:tc>
          <w:tcPr>
            <w:tcW w:w="2043" w:type="dxa"/>
            <w:vAlign w:val="center"/>
          </w:tcPr>
          <w:p>
            <w:pPr>
              <w:widowControl/>
              <w:spacing w:line="240" w:lineRule="auto"/>
              <w:ind w:firstLine="236"/>
              <w:jc w:val="left"/>
              <w:rPr>
                <w:rFonts w:hint="eastAsia" w:ascii="宋体" w:hAnsi="宋体" w:eastAsia="宋体" w:cs="宋体"/>
                <w:color w:val="auto"/>
                <w:kern w:val="0"/>
                <w:sz w:val="22"/>
                <w:szCs w:val="22"/>
                <w:highlight w:val="none"/>
                <w:lang w:eastAsia="zh-TW"/>
              </w:rPr>
            </w:pPr>
            <w:r>
              <w:rPr>
                <w:rFonts w:hint="eastAsia" w:ascii="宋体" w:hAnsi="宋体" w:eastAsia="宋体" w:cs="宋体"/>
                <w:color w:val="auto"/>
                <w:kern w:val="0"/>
                <w:sz w:val="22"/>
                <w:szCs w:val="22"/>
                <w:highlight w:val="none"/>
                <w:lang w:eastAsia="zh-TW"/>
              </w:rPr>
              <w:t>不符合</w:t>
            </w:r>
          </w:p>
          <w:p>
            <w:pPr>
              <w:widowControl/>
              <w:spacing w:line="240" w:lineRule="auto"/>
              <w:ind w:firstLine="236"/>
              <w:jc w:val="left"/>
              <w:rPr>
                <w:rFonts w:hint="eastAsia" w:ascii="宋体" w:hAnsi="宋体" w:eastAsia="宋体" w:cs="宋体"/>
                <w:color w:val="auto"/>
                <w:kern w:val="0"/>
                <w:sz w:val="22"/>
                <w:szCs w:val="22"/>
                <w:highlight w:val="none"/>
                <w:lang w:eastAsia="zh-TW"/>
              </w:rPr>
            </w:pPr>
            <w:r>
              <w:rPr>
                <w:rFonts w:hint="eastAsia" w:ascii="宋体" w:hAnsi="宋体" w:eastAsia="宋体" w:cs="宋体"/>
                <w:color w:val="auto"/>
                <w:kern w:val="0"/>
                <w:sz w:val="22"/>
                <w:szCs w:val="22"/>
                <w:highlight w:val="none"/>
                <w:lang w:eastAsia="zh-TW"/>
              </w:rPr>
              <w:t>不得分</w:t>
            </w:r>
          </w:p>
        </w:tc>
        <w:tc>
          <w:tcPr>
            <w:tcW w:w="538" w:type="dxa"/>
            <w:vAlign w:val="center"/>
          </w:tcPr>
          <w:p>
            <w:pPr>
              <w:widowControl/>
              <w:spacing w:line="240" w:lineRule="auto"/>
              <w:ind w:firstLine="236"/>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p>
        </w:tc>
        <w:tc>
          <w:tcPr>
            <w:tcW w:w="441" w:type="dxa"/>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1151"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continue"/>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4256"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TW"/>
              </w:rPr>
              <w:t>交接时接班队员首先清点物品（对讲机、警用器材、锁匙和灭火器等），如发现缺损应要求上一班人员说明物品去向，在《维序岗位值班记录》中做好记录并上报当值中队长/班长。班长签字确认。</w:t>
            </w:r>
          </w:p>
        </w:tc>
        <w:tc>
          <w:tcPr>
            <w:tcW w:w="4444"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TW"/>
              </w:rPr>
              <w:t>抽查岗位交接班记录表是否按要求落实。</w:t>
            </w:r>
          </w:p>
        </w:tc>
        <w:tc>
          <w:tcPr>
            <w:tcW w:w="2043"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1项不符合扣1分</w:t>
            </w:r>
          </w:p>
        </w:tc>
        <w:tc>
          <w:tcPr>
            <w:tcW w:w="538" w:type="dxa"/>
            <w:vAlign w:val="center"/>
          </w:tcPr>
          <w:p>
            <w:pPr>
              <w:widowControl/>
              <w:spacing w:line="240" w:lineRule="auto"/>
              <w:ind w:firstLine="236"/>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p>
        </w:tc>
        <w:tc>
          <w:tcPr>
            <w:tcW w:w="441" w:type="dxa"/>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1151"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continue"/>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4256"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TW"/>
              </w:rPr>
              <w:t>岗位配置警用物品摆放整齐有序，桌面、座椅干净无灰尘、无杂物。</w:t>
            </w:r>
          </w:p>
        </w:tc>
        <w:tc>
          <w:tcPr>
            <w:tcW w:w="4444"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TW"/>
              </w:rPr>
              <w:t>抽查2个岗位、检查是否有物品清单。</w:t>
            </w:r>
          </w:p>
        </w:tc>
        <w:tc>
          <w:tcPr>
            <w:tcW w:w="2043"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1项不符合扣0.5分</w:t>
            </w:r>
          </w:p>
        </w:tc>
        <w:tc>
          <w:tcPr>
            <w:tcW w:w="538" w:type="dxa"/>
            <w:vAlign w:val="center"/>
          </w:tcPr>
          <w:p>
            <w:pPr>
              <w:widowControl/>
              <w:spacing w:line="240" w:lineRule="auto"/>
              <w:ind w:firstLine="236"/>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p>
        </w:tc>
        <w:tc>
          <w:tcPr>
            <w:tcW w:w="441" w:type="dxa"/>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1151"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continue"/>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4256" w:type="dxa"/>
            <w:vMerge w:val="restart"/>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TW"/>
              </w:rPr>
              <w:t>集体宿舍内配置紧急联系设施（如：电话、警铃和对讲机等）</w:t>
            </w:r>
          </w:p>
        </w:tc>
        <w:tc>
          <w:tcPr>
            <w:tcW w:w="4444" w:type="dxa"/>
            <w:vMerge w:val="restart"/>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TW"/>
              </w:rPr>
              <w:t xml:space="preserve">查看宿舍现场。 </w:t>
            </w:r>
          </w:p>
        </w:tc>
        <w:tc>
          <w:tcPr>
            <w:tcW w:w="2043" w:type="dxa"/>
            <w:vMerge w:val="restart"/>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1项不符合扣1分</w:t>
            </w:r>
          </w:p>
        </w:tc>
        <w:tc>
          <w:tcPr>
            <w:tcW w:w="538" w:type="dxa"/>
            <w:vMerge w:val="restart"/>
            <w:vAlign w:val="center"/>
          </w:tcPr>
          <w:p>
            <w:pPr>
              <w:widowControl/>
              <w:spacing w:line="240" w:lineRule="auto"/>
              <w:ind w:firstLine="236"/>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p>
        </w:tc>
        <w:tc>
          <w:tcPr>
            <w:tcW w:w="441" w:type="dxa"/>
            <w:vMerge w:val="restart"/>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1151" w:type="dxa"/>
            <w:vMerge w:val="restart"/>
            <w:vAlign w:val="center"/>
          </w:tcPr>
          <w:p>
            <w:pPr>
              <w:widowControl/>
              <w:spacing w:line="240" w:lineRule="auto"/>
              <w:ind w:firstLine="236"/>
              <w:jc w:val="left"/>
              <w:rPr>
                <w:rFonts w:hint="eastAsia"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continue"/>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4256" w:type="dxa"/>
            <w:vMerge w:val="continue"/>
            <w:vAlign w:val="center"/>
          </w:tcPr>
          <w:p>
            <w:pPr>
              <w:widowControl/>
              <w:spacing w:line="240" w:lineRule="auto"/>
              <w:ind w:firstLine="236"/>
              <w:jc w:val="left"/>
              <w:rPr>
                <w:rFonts w:hint="eastAsia" w:ascii="宋体" w:hAnsi="宋体" w:eastAsia="宋体" w:cs="宋体"/>
                <w:color w:val="auto"/>
                <w:kern w:val="0"/>
                <w:sz w:val="22"/>
                <w:szCs w:val="22"/>
                <w:highlight w:val="none"/>
              </w:rPr>
            </w:pPr>
          </w:p>
        </w:tc>
        <w:tc>
          <w:tcPr>
            <w:tcW w:w="4444" w:type="dxa"/>
            <w:vMerge w:val="continue"/>
            <w:vAlign w:val="center"/>
          </w:tcPr>
          <w:p>
            <w:pPr>
              <w:widowControl/>
              <w:spacing w:line="240" w:lineRule="auto"/>
              <w:ind w:firstLine="236"/>
              <w:jc w:val="left"/>
              <w:rPr>
                <w:rFonts w:hint="eastAsia" w:ascii="宋体" w:hAnsi="宋体" w:eastAsia="宋体" w:cs="宋体"/>
                <w:color w:val="auto"/>
                <w:kern w:val="0"/>
                <w:sz w:val="22"/>
                <w:szCs w:val="22"/>
                <w:highlight w:val="none"/>
              </w:rPr>
            </w:pPr>
          </w:p>
        </w:tc>
        <w:tc>
          <w:tcPr>
            <w:tcW w:w="2043" w:type="dxa"/>
            <w:vMerge w:val="continue"/>
            <w:vAlign w:val="center"/>
          </w:tcPr>
          <w:p>
            <w:pPr>
              <w:widowControl/>
              <w:spacing w:line="240" w:lineRule="auto"/>
              <w:ind w:firstLine="236"/>
              <w:jc w:val="left"/>
              <w:rPr>
                <w:rFonts w:hint="eastAsia" w:ascii="宋体" w:hAnsi="宋体" w:eastAsia="宋体" w:cs="宋体"/>
                <w:color w:val="auto"/>
                <w:kern w:val="0"/>
                <w:sz w:val="22"/>
                <w:szCs w:val="22"/>
                <w:highlight w:val="none"/>
              </w:rPr>
            </w:pPr>
          </w:p>
        </w:tc>
        <w:tc>
          <w:tcPr>
            <w:tcW w:w="538" w:type="dxa"/>
            <w:vMerge w:val="continue"/>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441" w:type="dxa"/>
            <w:vMerge w:val="continue"/>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1151" w:type="dxa"/>
            <w:vMerge w:val="continue"/>
            <w:vAlign w:val="center"/>
          </w:tcPr>
          <w:p>
            <w:pPr>
              <w:widowControl/>
              <w:spacing w:line="240" w:lineRule="auto"/>
              <w:ind w:firstLine="236"/>
              <w:jc w:val="left"/>
              <w:rPr>
                <w:rFonts w:hint="eastAsia"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continue"/>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4256"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TW"/>
              </w:rPr>
              <w:t>每季度至少组织开展一次备勤秩序维护员紧急集合训练。</w:t>
            </w:r>
          </w:p>
        </w:tc>
        <w:tc>
          <w:tcPr>
            <w:tcW w:w="4444"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TW"/>
              </w:rPr>
              <w:t>查看紧急集合训练记录。</w:t>
            </w:r>
          </w:p>
        </w:tc>
        <w:tc>
          <w:tcPr>
            <w:tcW w:w="2043"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TW"/>
              </w:rPr>
              <w:t>不符合不得分</w:t>
            </w:r>
          </w:p>
        </w:tc>
        <w:tc>
          <w:tcPr>
            <w:tcW w:w="538" w:type="dxa"/>
            <w:vAlign w:val="center"/>
          </w:tcPr>
          <w:p>
            <w:pPr>
              <w:widowControl/>
              <w:spacing w:line="240" w:lineRule="auto"/>
              <w:ind w:firstLine="236"/>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p>
        </w:tc>
        <w:tc>
          <w:tcPr>
            <w:tcW w:w="441" w:type="dxa"/>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1151"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restart"/>
            <w:vAlign w:val="center"/>
          </w:tcPr>
          <w:p>
            <w:pPr>
              <w:widowControl/>
              <w:spacing w:line="240" w:lineRule="auto"/>
              <w:ind w:firstLine="236"/>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门禁管理</w:t>
            </w:r>
          </w:p>
        </w:tc>
        <w:tc>
          <w:tcPr>
            <w:tcW w:w="4256" w:type="dxa"/>
            <w:vMerge w:val="restart"/>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TW"/>
              </w:rPr>
              <w:t>维序员仪容仪表符合公司BI要求。接触客户过程中举止端庄大方，礼貌用语，做到请字开头，谢字不离口。保持门禁常闭状态，对进出人员要有管控措施。</w:t>
            </w:r>
          </w:p>
        </w:tc>
        <w:tc>
          <w:tcPr>
            <w:tcW w:w="4444"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1、观察3组来访客人，岗位是否主动微笑问好、礼貌问明来意，有效控制外来人员，经与业主确认后，对来访人员应进行登记管理。观察岗位有无随意对未带IC卡或APP一键的客户开门。</w:t>
            </w:r>
          </w:p>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2、遇到业主搬运大件物品，能主动提供便民推车或者通知巡逻岗帮助其搬运。</w:t>
            </w:r>
          </w:p>
        </w:tc>
        <w:tc>
          <w:tcPr>
            <w:tcW w:w="2043"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1组不符合扣3分</w:t>
            </w:r>
          </w:p>
        </w:tc>
        <w:tc>
          <w:tcPr>
            <w:tcW w:w="538" w:type="dxa"/>
            <w:vAlign w:val="center"/>
          </w:tcPr>
          <w:p>
            <w:pPr>
              <w:widowControl/>
              <w:spacing w:line="240" w:lineRule="auto"/>
              <w:ind w:firstLine="236"/>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w:t>
            </w:r>
          </w:p>
        </w:tc>
        <w:tc>
          <w:tcPr>
            <w:tcW w:w="441" w:type="dxa"/>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1151"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continue"/>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4256" w:type="dxa"/>
            <w:vMerge w:val="continue"/>
            <w:vAlign w:val="center"/>
          </w:tcPr>
          <w:p>
            <w:pPr>
              <w:widowControl/>
              <w:spacing w:line="240" w:lineRule="auto"/>
              <w:ind w:firstLine="236"/>
              <w:jc w:val="left"/>
              <w:rPr>
                <w:rFonts w:hint="eastAsia" w:ascii="宋体" w:hAnsi="宋体" w:eastAsia="宋体" w:cs="宋体"/>
                <w:color w:val="auto"/>
                <w:kern w:val="0"/>
                <w:sz w:val="22"/>
                <w:szCs w:val="22"/>
                <w:highlight w:val="none"/>
              </w:rPr>
            </w:pPr>
          </w:p>
        </w:tc>
        <w:tc>
          <w:tcPr>
            <w:tcW w:w="4444"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2、抽查3个门禁是否全天24小时处于关闭状态。</w:t>
            </w:r>
          </w:p>
        </w:tc>
        <w:tc>
          <w:tcPr>
            <w:tcW w:w="2043"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1项不符合扣1分</w:t>
            </w:r>
          </w:p>
        </w:tc>
        <w:tc>
          <w:tcPr>
            <w:tcW w:w="538" w:type="dxa"/>
            <w:vAlign w:val="center"/>
          </w:tcPr>
          <w:p>
            <w:pPr>
              <w:widowControl/>
              <w:spacing w:line="240" w:lineRule="auto"/>
              <w:ind w:firstLine="236"/>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w:t>
            </w:r>
          </w:p>
        </w:tc>
        <w:tc>
          <w:tcPr>
            <w:tcW w:w="441" w:type="dxa"/>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1151"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continue"/>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4256" w:type="dxa"/>
            <w:vMerge w:val="restart"/>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TW"/>
              </w:rPr>
              <w:t>施工人员/供方人员登记管理，核查证件</w:t>
            </w:r>
          </w:p>
        </w:tc>
        <w:tc>
          <w:tcPr>
            <w:tcW w:w="4444"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1、查看出入口岗对临时施工、物业服务供方等人员的进出是否实行登记。 2、询问2个岗位维序员在检查出入证时应核对哪些要求。    </w:t>
            </w:r>
          </w:p>
        </w:tc>
        <w:tc>
          <w:tcPr>
            <w:tcW w:w="2043" w:type="dxa"/>
            <w:vMerge w:val="restart"/>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1项不符合扣1分，3项以上不得分</w:t>
            </w:r>
          </w:p>
        </w:tc>
        <w:tc>
          <w:tcPr>
            <w:tcW w:w="538" w:type="dxa"/>
            <w:vMerge w:val="restart"/>
            <w:vAlign w:val="center"/>
          </w:tcPr>
          <w:p>
            <w:pPr>
              <w:widowControl/>
              <w:spacing w:line="240" w:lineRule="auto"/>
              <w:ind w:firstLine="236"/>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w:t>
            </w:r>
          </w:p>
        </w:tc>
        <w:tc>
          <w:tcPr>
            <w:tcW w:w="441" w:type="dxa"/>
            <w:vMerge w:val="restart"/>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1151" w:type="dxa"/>
            <w:vMerge w:val="restart"/>
            <w:vAlign w:val="center"/>
          </w:tcPr>
          <w:p>
            <w:pPr>
              <w:widowControl/>
              <w:spacing w:line="240" w:lineRule="auto"/>
              <w:ind w:firstLine="236"/>
              <w:jc w:val="left"/>
              <w:rPr>
                <w:rFonts w:hint="eastAsia" w:ascii="宋体" w:hAnsi="宋体" w:eastAsia="宋体" w:cs="宋体"/>
                <w:color w:val="auto"/>
                <w:kern w:val="0"/>
                <w:sz w:val="22"/>
                <w:szCs w:val="22"/>
                <w:highlight w:val="none"/>
              </w:rPr>
            </w:pPr>
          </w:p>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continue"/>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4256" w:type="dxa"/>
            <w:vMerge w:val="continue"/>
            <w:vAlign w:val="center"/>
          </w:tcPr>
          <w:p>
            <w:pPr>
              <w:widowControl/>
              <w:spacing w:line="240" w:lineRule="auto"/>
              <w:ind w:firstLine="236"/>
              <w:jc w:val="left"/>
              <w:rPr>
                <w:rFonts w:hint="eastAsia" w:ascii="宋体" w:hAnsi="宋体" w:eastAsia="宋体" w:cs="宋体"/>
                <w:color w:val="auto"/>
                <w:kern w:val="0"/>
                <w:sz w:val="22"/>
                <w:szCs w:val="22"/>
                <w:highlight w:val="none"/>
              </w:rPr>
            </w:pPr>
          </w:p>
        </w:tc>
        <w:tc>
          <w:tcPr>
            <w:tcW w:w="4444"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3、观察小区内装修施工等经常出入的人员应凭证出入。          </w:t>
            </w:r>
          </w:p>
        </w:tc>
        <w:tc>
          <w:tcPr>
            <w:tcW w:w="2043" w:type="dxa"/>
            <w:vMerge w:val="continue"/>
            <w:vAlign w:val="center"/>
          </w:tcPr>
          <w:p>
            <w:pPr>
              <w:widowControl/>
              <w:spacing w:line="240" w:lineRule="auto"/>
              <w:ind w:firstLine="236"/>
              <w:jc w:val="left"/>
              <w:rPr>
                <w:rFonts w:hint="eastAsia" w:ascii="宋体" w:hAnsi="宋体" w:eastAsia="宋体" w:cs="宋体"/>
                <w:color w:val="auto"/>
                <w:kern w:val="0"/>
                <w:sz w:val="22"/>
                <w:szCs w:val="22"/>
                <w:highlight w:val="none"/>
              </w:rPr>
            </w:pPr>
          </w:p>
        </w:tc>
        <w:tc>
          <w:tcPr>
            <w:tcW w:w="538" w:type="dxa"/>
            <w:vMerge w:val="continue"/>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441" w:type="dxa"/>
            <w:vMerge w:val="continue"/>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1151" w:type="dxa"/>
            <w:vMerge w:val="continue"/>
            <w:vAlign w:val="center"/>
          </w:tcPr>
          <w:p>
            <w:pPr>
              <w:widowControl/>
              <w:spacing w:line="240" w:lineRule="auto"/>
              <w:ind w:firstLine="236"/>
              <w:jc w:val="left"/>
              <w:rPr>
                <w:rFonts w:hint="eastAsia"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continue"/>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4256" w:type="dxa"/>
            <w:vMerge w:val="continue"/>
            <w:vAlign w:val="center"/>
          </w:tcPr>
          <w:p>
            <w:pPr>
              <w:widowControl/>
              <w:spacing w:line="240" w:lineRule="auto"/>
              <w:ind w:firstLine="236"/>
              <w:jc w:val="left"/>
              <w:rPr>
                <w:rFonts w:hint="eastAsia" w:ascii="宋体" w:hAnsi="宋体" w:eastAsia="宋体" w:cs="宋体"/>
                <w:color w:val="auto"/>
                <w:kern w:val="0"/>
                <w:sz w:val="22"/>
                <w:szCs w:val="22"/>
                <w:highlight w:val="none"/>
              </w:rPr>
            </w:pPr>
          </w:p>
        </w:tc>
        <w:tc>
          <w:tcPr>
            <w:tcW w:w="4444"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4、查看服务区域内政府配套公共设备、设施施工，施工人员记录。 </w:t>
            </w:r>
          </w:p>
        </w:tc>
        <w:tc>
          <w:tcPr>
            <w:tcW w:w="2043" w:type="dxa"/>
            <w:vMerge w:val="continue"/>
            <w:vAlign w:val="center"/>
          </w:tcPr>
          <w:p>
            <w:pPr>
              <w:widowControl/>
              <w:spacing w:line="240" w:lineRule="auto"/>
              <w:ind w:firstLine="236"/>
              <w:jc w:val="left"/>
              <w:rPr>
                <w:rFonts w:hint="eastAsia" w:ascii="宋体" w:hAnsi="宋体" w:eastAsia="宋体" w:cs="宋体"/>
                <w:color w:val="auto"/>
                <w:kern w:val="0"/>
                <w:sz w:val="22"/>
                <w:szCs w:val="22"/>
                <w:highlight w:val="none"/>
              </w:rPr>
            </w:pPr>
          </w:p>
        </w:tc>
        <w:tc>
          <w:tcPr>
            <w:tcW w:w="538" w:type="dxa"/>
            <w:vMerge w:val="continue"/>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441" w:type="dxa"/>
            <w:vMerge w:val="continue"/>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1151" w:type="dxa"/>
            <w:vMerge w:val="continue"/>
            <w:vAlign w:val="center"/>
          </w:tcPr>
          <w:p>
            <w:pPr>
              <w:widowControl/>
              <w:spacing w:line="240" w:lineRule="auto"/>
              <w:ind w:firstLine="236"/>
              <w:jc w:val="left"/>
              <w:rPr>
                <w:rFonts w:hint="eastAsia"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continue"/>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4256" w:type="dxa"/>
            <w:vMerge w:val="continue"/>
            <w:vAlign w:val="center"/>
          </w:tcPr>
          <w:p>
            <w:pPr>
              <w:widowControl/>
              <w:spacing w:line="240" w:lineRule="auto"/>
              <w:ind w:firstLine="236"/>
              <w:jc w:val="left"/>
              <w:rPr>
                <w:rFonts w:hint="eastAsia" w:ascii="宋体" w:hAnsi="宋体" w:eastAsia="宋体" w:cs="宋体"/>
                <w:color w:val="auto"/>
                <w:kern w:val="0"/>
                <w:sz w:val="22"/>
                <w:szCs w:val="22"/>
                <w:highlight w:val="none"/>
              </w:rPr>
            </w:pPr>
          </w:p>
        </w:tc>
        <w:tc>
          <w:tcPr>
            <w:tcW w:w="4444"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5、抽查供方服务人员进入管理服务区域，是否穿制服、佩带工作证。 </w:t>
            </w:r>
          </w:p>
        </w:tc>
        <w:tc>
          <w:tcPr>
            <w:tcW w:w="2043" w:type="dxa"/>
            <w:vMerge w:val="continue"/>
            <w:vAlign w:val="center"/>
          </w:tcPr>
          <w:p>
            <w:pPr>
              <w:widowControl/>
              <w:spacing w:line="240" w:lineRule="auto"/>
              <w:ind w:firstLine="236"/>
              <w:jc w:val="left"/>
              <w:rPr>
                <w:rFonts w:hint="eastAsia" w:ascii="宋体" w:hAnsi="宋体" w:eastAsia="宋体" w:cs="宋体"/>
                <w:color w:val="auto"/>
                <w:kern w:val="0"/>
                <w:sz w:val="22"/>
                <w:szCs w:val="22"/>
                <w:highlight w:val="none"/>
              </w:rPr>
            </w:pPr>
          </w:p>
        </w:tc>
        <w:tc>
          <w:tcPr>
            <w:tcW w:w="538" w:type="dxa"/>
            <w:vMerge w:val="continue"/>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441" w:type="dxa"/>
            <w:vMerge w:val="continue"/>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1151" w:type="dxa"/>
            <w:vMerge w:val="continue"/>
            <w:vAlign w:val="center"/>
          </w:tcPr>
          <w:p>
            <w:pPr>
              <w:widowControl/>
              <w:spacing w:line="240" w:lineRule="auto"/>
              <w:ind w:firstLine="236"/>
              <w:jc w:val="left"/>
              <w:rPr>
                <w:rFonts w:hint="eastAsia"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continue"/>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4256"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TW"/>
              </w:rPr>
              <w:t>熟悉大件物资放行流程，按流程执行管理和记录</w:t>
            </w:r>
          </w:p>
        </w:tc>
        <w:tc>
          <w:tcPr>
            <w:tcW w:w="4444"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1、询问岗位对大件物品放行流程。 2、查看岗位《大件物资放行条》是否有值班人员签字确认。      </w:t>
            </w:r>
          </w:p>
        </w:tc>
        <w:tc>
          <w:tcPr>
            <w:tcW w:w="2043"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1项不符合扣1分</w:t>
            </w:r>
          </w:p>
        </w:tc>
        <w:tc>
          <w:tcPr>
            <w:tcW w:w="538" w:type="dxa"/>
            <w:vAlign w:val="center"/>
          </w:tcPr>
          <w:p>
            <w:pPr>
              <w:widowControl/>
              <w:spacing w:line="240" w:lineRule="auto"/>
              <w:ind w:firstLine="236"/>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p>
        </w:tc>
        <w:tc>
          <w:tcPr>
            <w:tcW w:w="441" w:type="dxa"/>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1151"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restart"/>
            <w:vAlign w:val="center"/>
          </w:tcPr>
          <w:p>
            <w:pPr>
              <w:widowControl/>
              <w:spacing w:line="240" w:lineRule="auto"/>
              <w:ind w:firstLine="236"/>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TW"/>
              </w:rPr>
              <w:t>日常巡逻</w:t>
            </w:r>
          </w:p>
        </w:tc>
        <w:tc>
          <w:tcPr>
            <w:tcW w:w="4256" w:type="dxa"/>
            <w:vMerge w:val="restart"/>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TW"/>
              </w:rPr>
              <w:t>巡逻路线</w:t>
            </w:r>
          </w:p>
        </w:tc>
        <w:tc>
          <w:tcPr>
            <w:tcW w:w="4444"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1、查看是否设定2套以上巡逻方案，建立有《维序巡逻路线控制清单》。</w:t>
            </w:r>
          </w:p>
        </w:tc>
        <w:tc>
          <w:tcPr>
            <w:tcW w:w="2043" w:type="dxa"/>
            <w:vMerge w:val="restart"/>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1项不符合扣1分</w:t>
            </w:r>
          </w:p>
        </w:tc>
        <w:tc>
          <w:tcPr>
            <w:tcW w:w="538" w:type="dxa"/>
            <w:vMerge w:val="restart"/>
            <w:vAlign w:val="center"/>
          </w:tcPr>
          <w:p>
            <w:pPr>
              <w:widowControl/>
              <w:spacing w:line="240" w:lineRule="auto"/>
              <w:ind w:firstLine="236"/>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p>
        </w:tc>
        <w:tc>
          <w:tcPr>
            <w:tcW w:w="441" w:type="dxa"/>
            <w:vMerge w:val="restart"/>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1151" w:type="dxa"/>
            <w:vMerge w:val="restart"/>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continue"/>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4256" w:type="dxa"/>
            <w:vMerge w:val="continue"/>
            <w:vAlign w:val="center"/>
          </w:tcPr>
          <w:p>
            <w:pPr>
              <w:widowControl/>
              <w:spacing w:line="240" w:lineRule="auto"/>
              <w:ind w:firstLine="236"/>
              <w:jc w:val="left"/>
              <w:rPr>
                <w:rFonts w:hint="eastAsia" w:ascii="宋体" w:hAnsi="宋体" w:eastAsia="宋体" w:cs="宋体"/>
                <w:color w:val="auto"/>
                <w:kern w:val="0"/>
                <w:sz w:val="22"/>
                <w:szCs w:val="22"/>
                <w:highlight w:val="none"/>
              </w:rPr>
            </w:pPr>
          </w:p>
        </w:tc>
        <w:tc>
          <w:tcPr>
            <w:tcW w:w="4444"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2、抽查巡逻岗在巡逻周期内，是否对园区全面巡逻一次，发现问题并有详细记录。                 </w:t>
            </w:r>
          </w:p>
        </w:tc>
        <w:tc>
          <w:tcPr>
            <w:tcW w:w="2043" w:type="dxa"/>
            <w:vMerge w:val="continue"/>
            <w:vAlign w:val="center"/>
          </w:tcPr>
          <w:p>
            <w:pPr>
              <w:widowControl/>
              <w:spacing w:line="240" w:lineRule="auto"/>
              <w:ind w:firstLine="236"/>
              <w:jc w:val="left"/>
              <w:rPr>
                <w:rFonts w:hint="eastAsia" w:ascii="宋体" w:hAnsi="宋体" w:eastAsia="宋体" w:cs="宋体"/>
                <w:color w:val="auto"/>
                <w:kern w:val="0"/>
                <w:sz w:val="22"/>
                <w:szCs w:val="22"/>
                <w:highlight w:val="none"/>
              </w:rPr>
            </w:pPr>
          </w:p>
        </w:tc>
        <w:tc>
          <w:tcPr>
            <w:tcW w:w="538" w:type="dxa"/>
            <w:vMerge w:val="continue"/>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441" w:type="dxa"/>
            <w:vMerge w:val="continue"/>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1151" w:type="dxa"/>
            <w:vMerge w:val="continue"/>
            <w:vAlign w:val="center"/>
          </w:tcPr>
          <w:p>
            <w:pPr>
              <w:widowControl/>
              <w:spacing w:line="240" w:lineRule="auto"/>
              <w:ind w:firstLine="236"/>
              <w:jc w:val="left"/>
              <w:rPr>
                <w:rFonts w:hint="eastAsia"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continue"/>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4256"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TW"/>
              </w:rPr>
              <w:t>每天夜间23：00至次日7:00，巡逻岗每1小时需在监控摄像范围内向监控中心报岗1次。</w:t>
            </w:r>
          </w:p>
        </w:tc>
        <w:tc>
          <w:tcPr>
            <w:tcW w:w="4444"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TW"/>
              </w:rPr>
              <w:t>查看监控中心记录表。</w:t>
            </w:r>
          </w:p>
        </w:tc>
        <w:tc>
          <w:tcPr>
            <w:tcW w:w="2043"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TW"/>
              </w:rPr>
              <w:t>1次不符合扣1分</w:t>
            </w:r>
          </w:p>
        </w:tc>
        <w:tc>
          <w:tcPr>
            <w:tcW w:w="538" w:type="dxa"/>
            <w:vAlign w:val="center"/>
          </w:tcPr>
          <w:p>
            <w:pPr>
              <w:widowControl/>
              <w:spacing w:line="240" w:lineRule="auto"/>
              <w:ind w:firstLine="236"/>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w:t>
            </w:r>
          </w:p>
        </w:tc>
        <w:tc>
          <w:tcPr>
            <w:tcW w:w="441" w:type="dxa"/>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1151"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continue"/>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4256"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TW"/>
              </w:rPr>
              <w:t>巡逻过程中，对地面上的烟头、纸屑等垃圾做到“人过地净”，对于大面积垃圾污染或油污等情况，要及时通知客服前台或相关部门处理。遇到</w:t>
            </w:r>
            <w:r>
              <w:rPr>
                <w:rFonts w:hint="eastAsia" w:ascii="宋体" w:hAnsi="宋体" w:eastAsia="宋体" w:cs="宋体"/>
                <w:color w:val="auto"/>
                <w:kern w:val="0"/>
                <w:sz w:val="22"/>
                <w:szCs w:val="22"/>
                <w:highlight w:val="none"/>
              </w:rPr>
              <w:t>业主</w:t>
            </w:r>
            <w:r>
              <w:rPr>
                <w:rFonts w:hint="eastAsia" w:ascii="宋体" w:hAnsi="宋体" w:eastAsia="宋体" w:cs="宋体"/>
                <w:color w:val="auto"/>
                <w:kern w:val="0"/>
                <w:sz w:val="22"/>
                <w:szCs w:val="22"/>
                <w:highlight w:val="none"/>
                <w:lang w:eastAsia="zh-TW"/>
              </w:rPr>
              <w:t>应主动礼让并主动问候或点头示意</w:t>
            </w:r>
            <w:r>
              <w:rPr>
                <w:rFonts w:hint="eastAsia" w:ascii="宋体" w:hAnsi="宋体" w:eastAsia="宋体" w:cs="宋体"/>
                <w:color w:val="auto"/>
                <w:kern w:val="0"/>
                <w:sz w:val="22"/>
                <w:szCs w:val="22"/>
                <w:highlight w:val="none"/>
              </w:rPr>
              <w:t>。</w:t>
            </w:r>
          </w:p>
        </w:tc>
        <w:tc>
          <w:tcPr>
            <w:tcW w:w="4444"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TW"/>
              </w:rPr>
              <w:t>观察岗位是否按“人过地净”落实</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eastAsia="zh-TW"/>
              </w:rPr>
              <w:t>遇到业主是否主动问候或点头示意</w:t>
            </w:r>
            <w:r>
              <w:rPr>
                <w:rFonts w:hint="eastAsia" w:ascii="宋体" w:hAnsi="宋体" w:eastAsia="宋体" w:cs="宋体"/>
                <w:color w:val="auto"/>
                <w:kern w:val="0"/>
                <w:sz w:val="22"/>
                <w:szCs w:val="22"/>
                <w:highlight w:val="none"/>
              </w:rPr>
              <w:t>。</w:t>
            </w:r>
          </w:p>
        </w:tc>
        <w:tc>
          <w:tcPr>
            <w:tcW w:w="2043"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TW"/>
              </w:rPr>
              <w:t>不符合不得分</w:t>
            </w:r>
          </w:p>
        </w:tc>
        <w:tc>
          <w:tcPr>
            <w:tcW w:w="538" w:type="dxa"/>
            <w:vAlign w:val="center"/>
          </w:tcPr>
          <w:p>
            <w:pPr>
              <w:widowControl/>
              <w:spacing w:line="240" w:lineRule="auto"/>
              <w:ind w:firstLine="236"/>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p>
        </w:tc>
        <w:tc>
          <w:tcPr>
            <w:tcW w:w="441" w:type="dxa"/>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1151"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continue"/>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4256"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TW"/>
              </w:rPr>
              <w:t>巡逻时通过巡更棒、扫描二维码或手工等形式进行巡逻签到，巡逻完毕后认真填写《维序巡逻记录》，巡逻记录详细完整，包括但不限于巡逻情况，发现的问题，事件处理经过等。</w:t>
            </w:r>
          </w:p>
        </w:tc>
        <w:tc>
          <w:tcPr>
            <w:tcW w:w="4444"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TW"/>
              </w:rPr>
              <w:t>查看《维序巡逻记录》。</w:t>
            </w:r>
          </w:p>
        </w:tc>
        <w:tc>
          <w:tcPr>
            <w:tcW w:w="2043"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TW"/>
              </w:rPr>
              <w:t>抽查2处以上不符合不得分</w:t>
            </w:r>
          </w:p>
        </w:tc>
        <w:tc>
          <w:tcPr>
            <w:tcW w:w="538" w:type="dxa"/>
            <w:vAlign w:val="center"/>
          </w:tcPr>
          <w:p>
            <w:pPr>
              <w:widowControl/>
              <w:spacing w:line="240" w:lineRule="auto"/>
              <w:ind w:firstLine="236"/>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p>
        </w:tc>
        <w:tc>
          <w:tcPr>
            <w:tcW w:w="441" w:type="dxa"/>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1151"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continue"/>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4256"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TW"/>
              </w:rPr>
              <w:t>检查围栏、围墙上方物防设施是否有损坏，小区周界及围墙是否有可疑人员或堆放易于攀爬的物品。</w:t>
            </w:r>
          </w:p>
        </w:tc>
        <w:tc>
          <w:tcPr>
            <w:tcW w:w="4444"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TW"/>
              </w:rPr>
              <w:t>查看、测试。</w:t>
            </w:r>
          </w:p>
        </w:tc>
        <w:tc>
          <w:tcPr>
            <w:tcW w:w="2043"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TW"/>
              </w:rPr>
              <w:t>不符合1项扣1分，2处以上不得分</w:t>
            </w:r>
          </w:p>
        </w:tc>
        <w:tc>
          <w:tcPr>
            <w:tcW w:w="538" w:type="dxa"/>
            <w:vAlign w:val="center"/>
          </w:tcPr>
          <w:p>
            <w:pPr>
              <w:widowControl/>
              <w:spacing w:line="240" w:lineRule="auto"/>
              <w:ind w:firstLine="236"/>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p>
        </w:tc>
        <w:tc>
          <w:tcPr>
            <w:tcW w:w="441" w:type="dxa"/>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1151"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continue"/>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4256"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TW"/>
              </w:rPr>
              <w:t>每天对周界系统进行检查，发现问题及时报修，遇有不能立即解决的问题时，应立即上报。</w:t>
            </w:r>
          </w:p>
        </w:tc>
        <w:tc>
          <w:tcPr>
            <w:tcW w:w="4444"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TW"/>
              </w:rPr>
              <w:t>抽查巡查记录和报修记录。</w:t>
            </w:r>
          </w:p>
        </w:tc>
        <w:tc>
          <w:tcPr>
            <w:tcW w:w="2043"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TW"/>
              </w:rPr>
              <w:t>不符合1项扣1分，2处以上不得分</w:t>
            </w:r>
          </w:p>
        </w:tc>
        <w:tc>
          <w:tcPr>
            <w:tcW w:w="538" w:type="dxa"/>
            <w:vAlign w:val="center"/>
          </w:tcPr>
          <w:p>
            <w:pPr>
              <w:widowControl/>
              <w:spacing w:line="240" w:lineRule="auto"/>
              <w:ind w:firstLine="236"/>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p>
        </w:tc>
        <w:tc>
          <w:tcPr>
            <w:tcW w:w="441" w:type="dxa"/>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1151"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continue"/>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4256"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TW"/>
              </w:rPr>
              <w:t>检查公共设施如公共信息栏、广告牌、灯箱、高脚架等是否牢固，发现问题及时报修。</w:t>
            </w:r>
          </w:p>
        </w:tc>
        <w:tc>
          <w:tcPr>
            <w:tcW w:w="4444"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TW"/>
              </w:rPr>
              <w:t>现场查看相关设施及巡查、报修记录。</w:t>
            </w:r>
          </w:p>
        </w:tc>
        <w:tc>
          <w:tcPr>
            <w:tcW w:w="2043"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TW"/>
              </w:rPr>
              <w:t>不符合1处扣0.5分，出现3处以上不得分</w:t>
            </w:r>
          </w:p>
        </w:tc>
        <w:tc>
          <w:tcPr>
            <w:tcW w:w="538" w:type="dxa"/>
            <w:vAlign w:val="center"/>
          </w:tcPr>
          <w:p>
            <w:pPr>
              <w:widowControl/>
              <w:spacing w:line="240" w:lineRule="auto"/>
              <w:ind w:firstLine="236"/>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p>
        </w:tc>
        <w:tc>
          <w:tcPr>
            <w:tcW w:w="441" w:type="dxa"/>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1151"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restart"/>
            <w:vAlign w:val="center"/>
          </w:tcPr>
          <w:p>
            <w:pPr>
              <w:widowControl/>
              <w:spacing w:line="240" w:lineRule="auto"/>
              <w:ind w:firstLine="236"/>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TW"/>
              </w:rPr>
              <w:t>整装巡逻</w:t>
            </w:r>
          </w:p>
        </w:tc>
        <w:tc>
          <w:tcPr>
            <w:tcW w:w="4256"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TW"/>
              </w:rPr>
              <w:t>维序巡逻岗位配置标准</w:t>
            </w:r>
          </w:p>
        </w:tc>
        <w:tc>
          <w:tcPr>
            <w:tcW w:w="4444"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1、观察整装巡逻的最低人数为2人。 2、观察巡逻岗是否按配置要求落实，如：防暴背心、防暴头盔、防爆警棍、防暴手电和对讲机等。</w:t>
            </w:r>
          </w:p>
        </w:tc>
        <w:tc>
          <w:tcPr>
            <w:tcW w:w="2043"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TW"/>
              </w:rPr>
              <w:t>一项不符合扣1分</w:t>
            </w:r>
          </w:p>
        </w:tc>
        <w:tc>
          <w:tcPr>
            <w:tcW w:w="538" w:type="dxa"/>
            <w:vAlign w:val="center"/>
          </w:tcPr>
          <w:p>
            <w:pPr>
              <w:widowControl/>
              <w:spacing w:line="240" w:lineRule="auto"/>
              <w:ind w:firstLine="236"/>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p>
        </w:tc>
        <w:tc>
          <w:tcPr>
            <w:tcW w:w="441" w:type="dxa"/>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1151"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continue"/>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4256" w:type="dxa"/>
            <w:vMerge w:val="restart"/>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TW"/>
              </w:rPr>
              <w:t>维序巡逻管理要求</w:t>
            </w:r>
          </w:p>
        </w:tc>
        <w:tc>
          <w:tcPr>
            <w:tcW w:w="4444"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1、抽查监控录像是否巡逻每天进行1次。              </w:t>
            </w:r>
          </w:p>
        </w:tc>
        <w:tc>
          <w:tcPr>
            <w:tcW w:w="2043" w:type="dxa"/>
            <w:vMerge w:val="restart"/>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TW"/>
              </w:rPr>
              <w:t>一项不符合扣2分</w:t>
            </w:r>
          </w:p>
        </w:tc>
        <w:tc>
          <w:tcPr>
            <w:tcW w:w="538" w:type="dxa"/>
            <w:vMerge w:val="restart"/>
            <w:vAlign w:val="center"/>
          </w:tcPr>
          <w:p>
            <w:pPr>
              <w:widowControl/>
              <w:spacing w:line="240" w:lineRule="auto"/>
              <w:ind w:firstLine="236"/>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w:t>
            </w:r>
          </w:p>
        </w:tc>
        <w:tc>
          <w:tcPr>
            <w:tcW w:w="441" w:type="dxa"/>
            <w:vMerge w:val="restart"/>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1151" w:type="dxa"/>
            <w:vMerge w:val="restart"/>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continue"/>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4256" w:type="dxa"/>
            <w:vMerge w:val="continue"/>
            <w:vAlign w:val="center"/>
          </w:tcPr>
          <w:p>
            <w:pPr>
              <w:widowControl/>
              <w:spacing w:line="240" w:lineRule="auto"/>
              <w:ind w:firstLine="236"/>
              <w:jc w:val="left"/>
              <w:rPr>
                <w:rFonts w:hint="eastAsia" w:ascii="宋体" w:hAnsi="宋体" w:eastAsia="宋体" w:cs="宋体"/>
                <w:color w:val="auto"/>
                <w:kern w:val="0"/>
                <w:sz w:val="22"/>
                <w:szCs w:val="22"/>
                <w:highlight w:val="none"/>
              </w:rPr>
            </w:pPr>
          </w:p>
        </w:tc>
        <w:tc>
          <w:tcPr>
            <w:tcW w:w="4444"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2、抽查监控录像是否按巡逻路线进行巡逻。                </w:t>
            </w:r>
          </w:p>
        </w:tc>
        <w:tc>
          <w:tcPr>
            <w:tcW w:w="2043" w:type="dxa"/>
            <w:vMerge w:val="continue"/>
            <w:vAlign w:val="center"/>
          </w:tcPr>
          <w:p>
            <w:pPr>
              <w:widowControl/>
              <w:spacing w:line="240" w:lineRule="auto"/>
              <w:ind w:firstLine="236"/>
              <w:jc w:val="left"/>
              <w:rPr>
                <w:rFonts w:hint="eastAsia" w:ascii="宋体" w:hAnsi="宋体" w:eastAsia="宋体" w:cs="宋体"/>
                <w:color w:val="auto"/>
                <w:kern w:val="0"/>
                <w:sz w:val="22"/>
                <w:szCs w:val="22"/>
                <w:highlight w:val="none"/>
              </w:rPr>
            </w:pPr>
          </w:p>
        </w:tc>
        <w:tc>
          <w:tcPr>
            <w:tcW w:w="538" w:type="dxa"/>
            <w:vMerge w:val="continue"/>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441" w:type="dxa"/>
            <w:vMerge w:val="continue"/>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1151" w:type="dxa"/>
            <w:vMerge w:val="continue"/>
            <w:vAlign w:val="center"/>
          </w:tcPr>
          <w:p>
            <w:pPr>
              <w:widowControl/>
              <w:spacing w:line="240" w:lineRule="auto"/>
              <w:ind w:firstLine="236"/>
              <w:jc w:val="left"/>
              <w:rPr>
                <w:rFonts w:hint="eastAsia"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restart"/>
            <w:vAlign w:val="center"/>
          </w:tcPr>
          <w:p>
            <w:pPr>
              <w:widowControl/>
              <w:spacing w:line="240" w:lineRule="auto"/>
              <w:ind w:firstLine="236"/>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异常情况处置</w:t>
            </w:r>
          </w:p>
        </w:tc>
        <w:tc>
          <w:tcPr>
            <w:tcW w:w="4256" w:type="dxa"/>
            <w:vMerge w:val="restart"/>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TW"/>
              </w:rPr>
              <w:t>暴风雨来临前需检查防汛物资储备情况，如防汛沙袋、潜水泵、应急照明等</w:t>
            </w:r>
          </w:p>
        </w:tc>
        <w:tc>
          <w:tcPr>
            <w:tcW w:w="4444"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1、查看物资储备清单。         </w:t>
            </w:r>
          </w:p>
        </w:tc>
        <w:tc>
          <w:tcPr>
            <w:tcW w:w="2043" w:type="dxa"/>
            <w:vMerge w:val="restart"/>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1项不符合扣1分，2项以上不得分</w:t>
            </w:r>
          </w:p>
        </w:tc>
        <w:tc>
          <w:tcPr>
            <w:tcW w:w="538" w:type="dxa"/>
            <w:vMerge w:val="restart"/>
            <w:vAlign w:val="center"/>
          </w:tcPr>
          <w:p>
            <w:pPr>
              <w:widowControl/>
              <w:spacing w:line="240" w:lineRule="auto"/>
              <w:ind w:firstLine="236"/>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w:t>
            </w:r>
          </w:p>
        </w:tc>
        <w:tc>
          <w:tcPr>
            <w:tcW w:w="441" w:type="dxa"/>
            <w:vMerge w:val="restart"/>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1151" w:type="dxa"/>
            <w:vMerge w:val="restart"/>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continue"/>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4256" w:type="dxa"/>
            <w:vMerge w:val="continue"/>
            <w:vAlign w:val="center"/>
          </w:tcPr>
          <w:p>
            <w:pPr>
              <w:widowControl/>
              <w:spacing w:line="240" w:lineRule="auto"/>
              <w:ind w:firstLine="236"/>
              <w:jc w:val="left"/>
              <w:rPr>
                <w:rFonts w:hint="eastAsia" w:ascii="宋体" w:hAnsi="宋体" w:eastAsia="宋体" w:cs="宋体"/>
                <w:color w:val="auto"/>
                <w:kern w:val="0"/>
                <w:sz w:val="22"/>
                <w:szCs w:val="22"/>
                <w:highlight w:val="none"/>
              </w:rPr>
            </w:pPr>
          </w:p>
        </w:tc>
        <w:tc>
          <w:tcPr>
            <w:tcW w:w="4444"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2、查看有无配置防汛沙袋。     </w:t>
            </w:r>
          </w:p>
        </w:tc>
        <w:tc>
          <w:tcPr>
            <w:tcW w:w="2043" w:type="dxa"/>
            <w:vMerge w:val="continue"/>
            <w:vAlign w:val="center"/>
          </w:tcPr>
          <w:p>
            <w:pPr>
              <w:widowControl/>
              <w:spacing w:line="240" w:lineRule="auto"/>
              <w:ind w:firstLine="236"/>
              <w:jc w:val="left"/>
              <w:rPr>
                <w:rFonts w:hint="eastAsia" w:ascii="宋体" w:hAnsi="宋体" w:eastAsia="宋体" w:cs="宋体"/>
                <w:color w:val="auto"/>
                <w:kern w:val="0"/>
                <w:sz w:val="22"/>
                <w:szCs w:val="22"/>
                <w:highlight w:val="none"/>
              </w:rPr>
            </w:pPr>
          </w:p>
        </w:tc>
        <w:tc>
          <w:tcPr>
            <w:tcW w:w="538" w:type="dxa"/>
            <w:vMerge w:val="continue"/>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441" w:type="dxa"/>
            <w:vMerge w:val="continue"/>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1151" w:type="dxa"/>
            <w:vMerge w:val="continue"/>
            <w:vAlign w:val="center"/>
          </w:tcPr>
          <w:p>
            <w:pPr>
              <w:widowControl/>
              <w:spacing w:line="240" w:lineRule="auto"/>
              <w:ind w:firstLine="236"/>
              <w:jc w:val="left"/>
              <w:rPr>
                <w:rFonts w:hint="eastAsia"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continue"/>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4256" w:type="dxa"/>
            <w:vMerge w:val="continue"/>
            <w:vAlign w:val="center"/>
          </w:tcPr>
          <w:p>
            <w:pPr>
              <w:widowControl/>
              <w:spacing w:line="240" w:lineRule="auto"/>
              <w:ind w:firstLine="236"/>
              <w:jc w:val="left"/>
              <w:rPr>
                <w:rFonts w:hint="eastAsia" w:ascii="宋体" w:hAnsi="宋体" w:eastAsia="宋体" w:cs="宋体"/>
                <w:color w:val="auto"/>
                <w:kern w:val="0"/>
                <w:sz w:val="22"/>
                <w:szCs w:val="22"/>
                <w:highlight w:val="none"/>
              </w:rPr>
            </w:pPr>
          </w:p>
        </w:tc>
        <w:tc>
          <w:tcPr>
            <w:tcW w:w="4444"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3、查看储备的潜水泵。         </w:t>
            </w:r>
          </w:p>
        </w:tc>
        <w:tc>
          <w:tcPr>
            <w:tcW w:w="2043" w:type="dxa"/>
            <w:vMerge w:val="continue"/>
            <w:vAlign w:val="center"/>
          </w:tcPr>
          <w:p>
            <w:pPr>
              <w:widowControl/>
              <w:spacing w:line="240" w:lineRule="auto"/>
              <w:ind w:firstLine="236"/>
              <w:jc w:val="left"/>
              <w:rPr>
                <w:rFonts w:hint="eastAsia" w:ascii="宋体" w:hAnsi="宋体" w:eastAsia="宋体" w:cs="宋体"/>
                <w:color w:val="auto"/>
                <w:kern w:val="0"/>
                <w:sz w:val="22"/>
                <w:szCs w:val="22"/>
                <w:highlight w:val="none"/>
              </w:rPr>
            </w:pPr>
          </w:p>
        </w:tc>
        <w:tc>
          <w:tcPr>
            <w:tcW w:w="538" w:type="dxa"/>
            <w:vMerge w:val="continue"/>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441" w:type="dxa"/>
            <w:vMerge w:val="continue"/>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1151" w:type="dxa"/>
            <w:vMerge w:val="continue"/>
            <w:vAlign w:val="center"/>
          </w:tcPr>
          <w:p>
            <w:pPr>
              <w:widowControl/>
              <w:spacing w:line="240" w:lineRule="auto"/>
              <w:ind w:firstLine="236"/>
              <w:jc w:val="left"/>
              <w:rPr>
                <w:rFonts w:hint="eastAsia"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continue"/>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4256" w:type="dxa"/>
            <w:vMerge w:val="continue"/>
            <w:vAlign w:val="center"/>
          </w:tcPr>
          <w:p>
            <w:pPr>
              <w:widowControl/>
              <w:spacing w:line="240" w:lineRule="auto"/>
              <w:ind w:firstLine="236"/>
              <w:jc w:val="left"/>
              <w:rPr>
                <w:rFonts w:hint="eastAsia" w:ascii="宋体" w:hAnsi="宋体" w:eastAsia="宋体" w:cs="宋体"/>
                <w:color w:val="auto"/>
                <w:kern w:val="0"/>
                <w:sz w:val="22"/>
                <w:szCs w:val="22"/>
                <w:highlight w:val="none"/>
              </w:rPr>
            </w:pPr>
          </w:p>
        </w:tc>
        <w:tc>
          <w:tcPr>
            <w:tcW w:w="4444"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4、查看应急照明是否能正常使用。</w:t>
            </w:r>
          </w:p>
        </w:tc>
        <w:tc>
          <w:tcPr>
            <w:tcW w:w="2043" w:type="dxa"/>
            <w:vMerge w:val="continue"/>
            <w:vAlign w:val="center"/>
          </w:tcPr>
          <w:p>
            <w:pPr>
              <w:widowControl/>
              <w:spacing w:line="240" w:lineRule="auto"/>
              <w:ind w:firstLine="236"/>
              <w:jc w:val="left"/>
              <w:rPr>
                <w:rFonts w:hint="eastAsia" w:ascii="宋体" w:hAnsi="宋体" w:eastAsia="宋体" w:cs="宋体"/>
                <w:color w:val="auto"/>
                <w:kern w:val="0"/>
                <w:sz w:val="22"/>
                <w:szCs w:val="22"/>
                <w:highlight w:val="none"/>
              </w:rPr>
            </w:pPr>
          </w:p>
        </w:tc>
        <w:tc>
          <w:tcPr>
            <w:tcW w:w="538" w:type="dxa"/>
            <w:vMerge w:val="continue"/>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441" w:type="dxa"/>
            <w:vMerge w:val="continue"/>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1151" w:type="dxa"/>
            <w:vMerge w:val="continue"/>
            <w:vAlign w:val="center"/>
          </w:tcPr>
          <w:p>
            <w:pPr>
              <w:widowControl/>
              <w:spacing w:line="240" w:lineRule="auto"/>
              <w:ind w:firstLine="236"/>
              <w:jc w:val="left"/>
              <w:rPr>
                <w:rFonts w:hint="eastAsia"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continue"/>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4256" w:type="dxa"/>
            <w:vMerge w:val="restart"/>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异常情况接报3分钟赶到现场，熟悉处置流程</w:t>
            </w:r>
          </w:p>
        </w:tc>
        <w:tc>
          <w:tcPr>
            <w:tcW w:w="4444"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1、测试是否在3分钟内有维序员赶到现场，在行进中降低自身发出的音量，对现场人员进行盘查。               </w:t>
            </w:r>
          </w:p>
        </w:tc>
        <w:tc>
          <w:tcPr>
            <w:tcW w:w="2043" w:type="dxa"/>
            <w:vMerge w:val="restart"/>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1项不符合扣3分，2项以上不得分</w:t>
            </w:r>
          </w:p>
        </w:tc>
        <w:tc>
          <w:tcPr>
            <w:tcW w:w="538" w:type="dxa"/>
            <w:vMerge w:val="restart"/>
            <w:vAlign w:val="center"/>
          </w:tcPr>
          <w:p>
            <w:pPr>
              <w:widowControl/>
              <w:spacing w:line="240" w:lineRule="auto"/>
              <w:ind w:firstLine="236"/>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7</w:t>
            </w:r>
          </w:p>
        </w:tc>
        <w:tc>
          <w:tcPr>
            <w:tcW w:w="441" w:type="dxa"/>
            <w:vMerge w:val="restart"/>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1151" w:type="dxa"/>
            <w:vMerge w:val="restart"/>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continue"/>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4256" w:type="dxa"/>
            <w:vMerge w:val="continue"/>
            <w:vAlign w:val="center"/>
          </w:tcPr>
          <w:p>
            <w:pPr>
              <w:widowControl/>
              <w:spacing w:line="240" w:lineRule="auto"/>
              <w:ind w:firstLine="236"/>
              <w:jc w:val="left"/>
              <w:rPr>
                <w:rFonts w:hint="eastAsia" w:ascii="宋体" w:hAnsi="宋体" w:eastAsia="宋体" w:cs="宋体"/>
                <w:color w:val="auto"/>
                <w:kern w:val="0"/>
                <w:sz w:val="22"/>
                <w:szCs w:val="22"/>
                <w:highlight w:val="none"/>
              </w:rPr>
            </w:pPr>
          </w:p>
        </w:tc>
        <w:tc>
          <w:tcPr>
            <w:tcW w:w="4444"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2、测试当值巡逻员是否按应急预案要求时间内携带相关器材赶赴现场处理。                    </w:t>
            </w:r>
          </w:p>
        </w:tc>
        <w:tc>
          <w:tcPr>
            <w:tcW w:w="2043" w:type="dxa"/>
            <w:vMerge w:val="continue"/>
            <w:vAlign w:val="center"/>
          </w:tcPr>
          <w:p>
            <w:pPr>
              <w:widowControl/>
              <w:spacing w:line="240" w:lineRule="auto"/>
              <w:ind w:firstLine="236"/>
              <w:jc w:val="left"/>
              <w:rPr>
                <w:rFonts w:hint="eastAsia" w:ascii="宋体" w:hAnsi="宋体" w:eastAsia="宋体" w:cs="宋体"/>
                <w:color w:val="auto"/>
                <w:kern w:val="0"/>
                <w:sz w:val="22"/>
                <w:szCs w:val="22"/>
                <w:highlight w:val="none"/>
              </w:rPr>
            </w:pPr>
          </w:p>
        </w:tc>
        <w:tc>
          <w:tcPr>
            <w:tcW w:w="538" w:type="dxa"/>
            <w:vMerge w:val="continue"/>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441" w:type="dxa"/>
            <w:vMerge w:val="continue"/>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1151" w:type="dxa"/>
            <w:vMerge w:val="continue"/>
            <w:vAlign w:val="center"/>
          </w:tcPr>
          <w:p>
            <w:pPr>
              <w:widowControl/>
              <w:spacing w:line="240" w:lineRule="auto"/>
              <w:ind w:firstLine="236"/>
              <w:jc w:val="left"/>
              <w:rPr>
                <w:rFonts w:hint="eastAsia"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continue"/>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4256" w:type="dxa"/>
            <w:vMerge w:val="continue"/>
            <w:vAlign w:val="center"/>
          </w:tcPr>
          <w:p>
            <w:pPr>
              <w:widowControl/>
              <w:spacing w:line="240" w:lineRule="auto"/>
              <w:ind w:firstLine="236"/>
              <w:jc w:val="left"/>
              <w:rPr>
                <w:rFonts w:hint="eastAsia" w:ascii="宋体" w:hAnsi="宋体" w:eastAsia="宋体" w:cs="宋体"/>
                <w:color w:val="auto"/>
                <w:kern w:val="0"/>
                <w:sz w:val="22"/>
                <w:szCs w:val="22"/>
                <w:highlight w:val="none"/>
              </w:rPr>
            </w:pPr>
          </w:p>
        </w:tc>
        <w:tc>
          <w:tcPr>
            <w:tcW w:w="4444"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3、观察到达现场后，是否检查报警区域及周边异常情况并及时反馈。                    </w:t>
            </w:r>
          </w:p>
        </w:tc>
        <w:tc>
          <w:tcPr>
            <w:tcW w:w="2043" w:type="dxa"/>
            <w:vMerge w:val="continue"/>
            <w:vAlign w:val="center"/>
          </w:tcPr>
          <w:p>
            <w:pPr>
              <w:widowControl/>
              <w:spacing w:line="240" w:lineRule="auto"/>
              <w:ind w:firstLine="236"/>
              <w:jc w:val="left"/>
              <w:rPr>
                <w:rFonts w:hint="eastAsia" w:ascii="宋体" w:hAnsi="宋体" w:eastAsia="宋体" w:cs="宋体"/>
                <w:color w:val="auto"/>
                <w:kern w:val="0"/>
                <w:sz w:val="22"/>
                <w:szCs w:val="22"/>
                <w:highlight w:val="none"/>
              </w:rPr>
            </w:pPr>
          </w:p>
        </w:tc>
        <w:tc>
          <w:tcPr>
            <w:tcW w:w="538" w:type="dxa"/>
            <w:vMerge w:val="continue"/>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441" w:type="dxa"/>
            <w:vMerge w:val="continue"/>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1151" w:type="dxa"/>
            <w:vMerge w:val="continue"/>
            <w:vAlign w:val="center"/>
          </w:tcPr>
          <w:p>
            <w:pPr>
              <w:widowControl/>
              <w:spacing w:line="240" w:lineRule="auto"/>
              <w:ind w:firstLine="236"/>
              <w:jc w:val="left"/>
              <w:rPr>
                <w:rFonts w:hint="eastAsia"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restart"/>
            <w:vAlign w:val="center"/>
          </w:tcPr>
          <w:p>
            <w:pPr>
              <w:widowControl/>
              <w:spacing w:line="240" w:lineRule="auto"/>
              <w:ind w:firstLine="236"/>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TW"/>
              </w:rPr>
              <w:t>安防智能系统/设备管理</w:t>
            </w:r>
          </w:p>
        </w:tc>
        <w:tc>
          <w:tcPr>
            <w:tcW w:w="4256" w:type="dxa"/>
            <w:vMerge w:val="restart"/>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TW"/>
              </w:rPr>
              <w:t>门禁控制</w:t>
            </w:r>
          </w:p>
        </w:tc>
        <w:tc>
          <w:tcPr>
            <w:tcW w:w="4444"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1、询问门禁配有密码开启功能，除系统管理员外，其他人员不得使用。   </w:t>
            </w:r>
          </w:p>
        </w:tc>
        <w:tc>
          <w:tcPr>
            <w:tcW w:w="2043" w:type="dxa"/>
            <w:vMerge w:val="restart"/>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TW"/>
              </w:rPr>
              <w:t>一项不符合扣2分</w:t>
            </w:r>
          </w:p>
        </w:tc>
        <w:tc>
          <w:tcPr>
            <w:tcW w:w="538" w:type="dxa"/>
            <w:vMerge w:val="restart"/>
            <w:vAlign w:val="center"/>
          </w:tcPr>
          <w:p>
            <w:pPr>
              <w:widowControl/>
              <w:spacing w:line="240" w:lineRule="auto"/>
              <w:ind w:firstLine="236"/>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w:t>
            </w:r>
          </w:p>
        </w:tc>
        <w:tc>
          <w:tcPr>
            <w:tcW w:w="441" w:type="dxa"/>
            <w:vMerge w:val="restart"/>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1151" w:type="dxa"/>
            <w:vMerge w:val="restart"/>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continue"/>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4256" w:type="dxa"/>
            <w:vMerge w:val="continue"/>
            <w:vAlign w:val="center"/>
          </w:tcPr>
          <w:p>
            <w:pPr>
              <w:widowControl/>
              <w:spacing w:line="240" w:lineRule="auto"/>
              <w:ind w:firstLine="236"/>
              <w:jc w:val="left"/>
              <w:rPr>
                <w:rFonts w:hint="eastAsia" w:ascii="宋体" w:hAnsi="宋体" w:eastAsia="宋体" w:cs="宋体"/>
                <w:color w:val="auto"/>
                <w:kern w:val="0"/>
                <w:sz w:val="22"/>
                <w:szCs w:val="22"/>
                <w:highlight w:val="none"/>
              </w:rPr>
            </w:pPr>
          </w:p>
        </w:tc>
        <w:tc>
          <w:tcPr>
            <w:tcW w:w="4444"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2、查看《维序岗位值班记录》是否有故障记录及报修记录。</w:t>
            </w:r>
          </w:p>
        </w:tc>
        <w:tc>
          <w:tcPr>
            <w:tcW w:w="2043" w:type="dxa"/>
            <w:vMerge w:val="continue"/>
            <w:vAlign w:val="center"/>
          </w:tcPr>
          <w:p>
            <w:pPr>
              <w:widowControl/>
              <w:spacing w:line="240" w:lineRule="auto"/>
              <w:ind w:firstLine="236"/>
              <w:jc w:val="left"/>
              <w:rPr>
                <w:rFonts w:hint="eastAsia" w:ascii="宋体" w:hAnsi="宋体" w:eastAsia="宋体" w:cs="宋体"/>
                <w:color w:val="auto"/>
                <w:kern w:val="0"/>
                <w:sz w:val="22"/>
                <w:szCs w:val="22"/>
                <w:highlight w:val="none"/>
              </w:rPr>
            </w:pPr>
          </w:p>
        </w:tc>
        <w:tc>
          <w:tcPr>
            <w:tcW w:w="538" w:type="dxa"/>
            <w:vMerge w:val="continue"/>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441" w:type="dxa"/>
            <w:vMerge w:val="continue"/>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1151" w:type="dxa"/>
            <w:vMerge w:val="continue"/>
            <w:vAlign w:val="center"/>
          </w:tcPr>
          <w:p>
            <w:pPr>
              <w:widowControl/>
              <w:spacing w:line="240" w:lineRule="auto"/>
              <w:ind w:firstLine="236"/>
              <w:jc w:val="left"/>
              <w:rPr>
                <w:rFonts w:hint="eastAsia"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continue"/>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4256" w:type="dxa"/>
            <w:vMerge w:val="restart"/>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TW"/>
              </w:rPr>
              <w:t>周界防范系统（红外、电子脉冲）</w:t>
            </w:r>
          </w:p>
        </w:tc>
        <w:tc>
          <w:tcPr>
            <w:tcW w:w="4444"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1、测试是否设防，无盲区和死角，并具备防拆、防破坏功能。      </w:t>
            </w:r>
          </w:p>
        </w:tc>
        <w:tc>
          <w:tcPr>
            <w:tcW w:w="2043" w:type="dxa"/>
            <w:vMerge w:val="restart"/>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1项不符合扣2分</w:t>
            </w:r>
          </w:p>
        </w:tc>
        <w:tc>
          <w:tcPr>
            <w:tcW w:w="538" w:type="dxa"/>
            <w:vMerge w:val="restart"/>
            <w:vAlign w:val="center"/>
          </w:tcPr>
          <w:p>
            <w:pPr>
              <w:widowControl/>
              <w:spacing w:line="240" w:lineRule="auto"/>
              <w:ind w:firstLine="236"/>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w:t>
            </w:r>
          </w:p>
        </w:tc>
        <w:tc>
          <w:tcPr>
            <w:tcW w:w="441" w:type="dxa"/>
            <w:vMerge w:val="restart"/>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1151" w:type="dxa"/>
            <w:vMerge w:val="restart"/>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continue"/>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4256" w:type="dxa"/>
            <w:vMerge w:val="continue"/>
            <w:vAlign w:val="center"/>
          </w:tcPr>
          <w:p>
            <w:pPr>
              <w:widowControl/>
              <w:spacing w:line="240" w:lineRule="auto"/>
              <w:ind w:firstLine="236"/>
              <w:jc w:val="left"/>
              <w:rPr>
                <w:rFonts w:hint="eastAsia" w:ascii="宋体" w:hAnsi="宋体" w:eastAsia="宋体" w:cs="宋体"/>
                <w:color w:val="auto"/>
                <w:kern w:val="0"/>
                <w:sz w:val="22"/>
                <w:szCs w:val="22"/>
                <w:highlight w:val="none"/>
              </w:rPr>
            </w:pPr>
          </w:p>
        </w:tc>
        <w:tc>
          <w:tcPr>
            <w:tcW w:w="4444"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2、查看每天是否有对周界报警系统的设防情况进行一次测试。    </w:t>
            </w:r>
          </w:p>
        </w:tc>
        <w:tc>
          <w:tcPr>
            <w:tcW w:w="2043" w:type="dxa"/>
            <w:vMerge w:val="continue"/>
            <w:vAlign w:val="center"/>
          </w:tcPr>
          <w:p>
            <w:pPr>
              <w:widowControl/>
              <w:spacing w:line="240" w:lineRule="auto"/>
              <w:ind w:firstLine="236"/>
              <w:jc w:val="left"/>
              <w:rPr>
                <w:rFonts w:hint="eastAsia" w:ascii="宋体" w:hAnsi="宋体" w:eastAsia="宋体" w:cs="宋体"/>
                <w:color w:val="auto"/>
                <w:kern w:val="0"/>
                <w:sz w:val="22"/>
                <w:szCs w:val="22"/>
                <w:highlight w:val="none"/>
              </w:rPr>
            </w:pPr>
          </w:p>
        </w:tc>
        <w:tc>
          <w:tcPr>
            <w:tcW w:w="538" w:type="dxa"/>
            <w:vMerge w:val="continue"/>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441" w:type="dxa"/>
            <w:vMerge w:val="continue"/>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1151" w:type="dxa"/>
            <w:vMerge w:val="continue"/>
            <w:vAlign w:val="center"/>
          </w:tcPr>
          <w:p>
            <w:pPr>
              <w:widowControl/>
              <w:spacing w:line="240" w:lineRule="auto"/>
              <w:ind w:firstLine="236"/>
              <w:jc w:val="left"/>
              <w:rPr>
                <w:rFonts w:hint="eastAsia"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continue"/>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4256" w:type="dxa"/>
            <w:vMerge w:val="continue"/>
            <w:vAlign w:val="center"/>
          </w:tcPr>
          <w:p>
            <w:pPr>
              <w:widowControl/>
              <w:spacing w:line="240" w:lineRule="auto"/>
              <w:ind w:firstLine="236"/>
              <w:jc w:val="left"/>
              <w:rPr>
                <w:rFonts w:hint="eastAsia" w:ascii="宋体" w:hAnsi="宋体" w:eastAsia="宋体" w:cs="宋体"/>
                <w:color w:val="auto"/>
                <w:kern w:val="0"/>
                <w:sz w:val="22"/>
                <w:szCs w:val="22"/>
                <w:highlight w:val="none"/>
              </w:rPr>
            </w:pPr>
          </w:p>
        </w:tc>
        <w:tc>
          <w:tcPr>
            <w:tcW w:w="4444"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3、周界报警系统安装区域要安装监控摄像头予以辅助。          </w:t>
            </w:r>
          </w:p>
        </w:tc>
        <w:tc>
          <w:tcPr>
            <w:tcW w:w="2043" w:type="dxa"/>
            <w:vMerge w:val="continue"/>
            <w:vAlign w:val="center"/>
          </w:tcPr>
          <w:p>
            <w:pPr>
              <w:widowControl/>
              <w:spacing w:line="240" w:lineRule="auto"/>
              <w:ind w:firstLine="236"/>
              <w:jc w:val="left"/>
              <w:rPr>
                <w:rFonts w:hint="eastAsia" w:ascii="宋体" w:hAnsi="宋体" w:eastAsia="宋体" w:cs="宋体"/>
                <w:color w:val="auto"/>
                <w:kern w:val="0"/>
                <w:sz w:val="22"/>
                <w:szCs w:val="22"/>
                <w:highlight w:val="none"/>
              </w:rPr>
            </w:pPr>
          </w:p>
        </w:tc>
        <w:tc>
          <w:tcPr>
            <w:tcW w:w="538" w:type="dxa"/>
            <w:vMerge w:val="continue"/>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441" w:type="dxa"/>
            <w:vMerge w:val="continue"/>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1151" w:type="dxa"/>
            <w:vMerge w:val="continue"/>
            <w:vAlign w:val="center"/>
          </w:tcPr>
          <w:p>
            <w:pPr>
              <w:widowControl/>
              <w:spacing w:line="240" w:lineRule="auto"/>
              <w:ind w:firstLine="236"/>
              <w:jc w:val="left"/>
              <w:rPr>
                <w:rFonts w:hint="eastAsia"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restart"/>
            <w:vAlign w:val="center"/>
          </w:tcPr>
          <w:p>
            <w:pPr>
              <w:widowControl/>
              <w:spacing w:line="240" w:lineRule="auto"/>
              <w:ind w:firstLine="236"/>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TW"/>
              </w:rPr>
              <w:t>消防管理</w:t>
            </w:r>
          </w:p>
        </w:tc>
        <w:tc>
          <w:tcPr>
            <w:tcW w:w="4256" w:type="dxa"/>
            <w:vMerge w:val="restart"/>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TW"/>
              </w:rPr>
              <w:t>消防设备设施台账</w:t>
            </w:r>
          </w:p>
        </w:tc>
        <w:tc>
          <w:tcPr>
            <w:tcW w:w="4444"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1、查看消防设备设施台账类别清晰，内容完整。                </w:t>
            </w:r>
          </w:p>
        </w:tc>
        <w:tc>
          <w:tcPr>
            <w:tcW w:w="2043" w:type="dxa"/>
            <w:vMerge w:val="restart"/>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1项不符合扣1分</w:t>
            </w:r>
          </w:p>
        </w:tc>
        <w:tc>
          <w:tcPr>
            <w:tcW w:w="538" w:type="dxa"/>
            <w:vMerge w:val="restart"/>
            <w:vAlign w:val="center"/>
          </w:tcPr>
          <w:p>
            <w:pPr>
              <w:widowControl/>
              <w:spacing w:line="240" w:lineRule="auto"/>
              <w:ind w:firstLine="236"/>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w:t>
            </w:r>
          </w:p>
        </w:tc>
        <w:tc>
          <w:tcPr>
            <w:tcW w:w="441" w:type="dxa"/>
            <w:vMerge w:val="restart"/>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1151" w:type="dxa"/>
            <w:vMerge w:val="restart"/>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continue"/>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4256" w:type="dxa"/>
            <w:vMerge w:val="continue"/>
            <w:vAlign w:val="center"/>
          </w:tcPr>
          <w:p>
            <w:pPr>
              <w:widowControl/>
              <w:spacing w:line="240" w:lineRule="auto"/>
              <w:ind w:firstLine="236"/>
              <w:jc w:val="left"/>
              <w:rPr>
                <w:rFonts w:hint="eastAsia" w:ascii="宋体" w:hAnsi="宋体" w:eastAsia="宋体" w:cs="宋体"/>
                <w:color w:val="auto"/>
                <w:kern w:val="0"/>
                <w:sz w:val="22"/>
                <w:szCs w:val="22"/>
                <w:highlight w:val="none"/>
              </w:rPr>
            </w:pPr>
          </w:p>
        </w:tc>
        <w:tc>
          <w:tcPr>
            <w:tcW w:w="4444"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2、抽查台账所列2处物资应与现场一致。</w:t>
            </w:r>
          </w:p>
        </w:tc>
        <w:tc>
          <w:tcPr>
            <w:tcW w:w="2043" w:type="dxa"/>
            <w:vMerge w:val="continue"/>
            <w:vAlign w:val="center"/>
          </w:tcPr>
          <w:p>
            <w:pPr>
              <w:widowControl/>
              <w:spacing w:line="240" w:lineRule="auto"/>
              <w:ind w:firstLine="236"/>
              <w:jc w:val="left"/>
              <w:rPr>
                <w:rFonts w:hint="eastAsia" w:ascii="宋体" w:hAnsi="宋体" w:eastAsia="宋体" w:cs="宋体"/>
                <w:color w:val="auto"/>
                <w:kern w:val="0"/>
                <w:sz w:val="22"/>
                <w:szCs w:val="22"/>
                <w:highlight w:val="none"/>
              </w:rPr>
            </w:pPr>
          </w:p>
        </w:tc>
        <w:tc>
          <w:tcPr>
            <w:tcW w:w="538" w:type="dxa"/>
            <w:vMerge w:val="continue"/>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441" w:type="dxa"/>
            <w:vMerge w:val="continue"/>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1151" w:type="dxa"/>
            <w:vMerge w:val="continue"/>
            <w:vAlign w:val="center"/>
          </w:tcPr>
          <w:p>
            <w:pPr>
              <w:widowControl/>
              <w:spacing w:line="240" w:lineRule="auto"/>
              <w:ind w:firstLine="236"/>
              <w:jc w:val="left"/>
              <w:rPr>
                <w:rFonts w:hint="eastAsia"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continue"/>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4256" w:type="dxa"/>
            <w:vMerge w:val="restart"/>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TW"/>
              </w:rPr>
              <w:t>消防通道</w:t>
            </w:r>
          </w:p>
        </w:tc>
        <w:tc>
          <w:tcPr>
            <w:tcW w:w="4444"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1、查看消防通道无堆放杂物，畅通、无阻碍物和无不符合消防规定的门等设施。  </w:t>
            </w:r>
          </w:p>
        </w:tc>
        <w:tc>
          <w:tcPr>
            <w:tcW w:w="2043" w:type="dxa"/>
            <w:vMerge w:val="restart"/>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1项不符合扣1分，2项以上不得分</w:t>
            </w:r>
          </w:p>
        </w:tc>
        <w:tc>
          <w:tcPr>
            <w:tcW w:w="538" w:type="dxa"/>
            <w:vMerge w:val="restart"/>
            <w:vAlign w:val="center"/>
          </w:tcPr>
          <w:p>
            <w:pPr>
              <w:widowControl/>
              <w:spacing w:line="240" w:lineRule="auto"/>
              <w:ind w:firstLine="236"/>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w:t>
            </w:r>
          </w:p>
        </w:tc>
        <w:tc>
          <w:tcPr>
            <w:tcW w:w="441" w:type="dxa"/>
            <w:vMerge w:val="restart"/>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1151" w:type="dxa"/>
            <w:vMerge w:val="restart"/>
            <w:vAlign w:val="center"/>
          </w:tcPr>
          <w:p>
            <w:pPr>
              <w:widowControl/>
              <w:spacing w:line="240" w:lineRule="auto"/>
              <w:ind w:firstLine="236"/>
              <w:jc w:val="left"/>
              <w:rPr>
                <w:rFonts w:hint="eastAsia"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continue"/>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4256" w:type="dxa"/>
            <w:vMerge w:val="continue"/>
            <w:vAlign w:val="center"/>
          </w:tcPr>
          <w:p>
            <w:pPr>
              <w:widowControl/>
              <w:spacing w:line="240" w:lineRule="auto"/>
              <w:ind w:firstLine="236"/>
              <w:jc w:val="left"/>
              <w:rPr>
                <w:rFonts w:hint="eastAsia" w:ascii="宋体" w:hAnsi="宋体" w:eastAsia="宋体" w:cs="宋体"/>
                <w:color w:val="auto"/>
                <w:kern w:val="0"/>
                <w:sz w:val="22"/>
                <w:szCs w:val="22"/>
                <w:highlight w:val="none"/>
              </w:rPr>
            </w:pPr>
          </w:p>
        </w:tc>
        <w:tc>
          <w:tcPr>
            <w:tcW w:w="4444"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2、检查2条消防通道是否符合公司要求。</w:t>
            </w:r>
          </w:p>
        </w:tc>
        <w:tc>
          <w:tcPr>
            <w:tcW w:w="2043" w:type="dxa"/>
            <w:vMerge w:val="continue"/>
            <w:vAlign w:val="center"/>
          </w:tcPr>
          <w:p>
            <w:pPr>
              <w:widowControl/>
              <w:spacing w:line="240" w:lineRule="auto"/>
              <w:ind w:firstLine="236"/>
              <w:jc w:val="left"/>
              <w:rPr>
                <w:rFonts w:hint="eastAsia" w:ascii="宋体" w:hAnsi="宋体" w:eastAsia="宋体" w:cs="宋体"/>
                <w:color w:val="auto"/>
                <w:kern w:val="0"/>
                <w:sz w:val="22"/>
                <w:szCs w:val="22"/>
                <w:highlight w:val="none"/>
              </w:rPr>
            </w:pPr>
          </w:p>
        </w:tc>
        <w:tc>
          <w:tcPr>
            <w:tcW w:w="538" w:type="dxa"/>
            <w:vMerge w:val="continue"/>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441" w:type="dxa"/>
            <w:vMerge w:val="continue"/>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1151" w:type="dxa"/>
            <w:vMerge w:val="continue"/>
            <w:vAlign w:val="center"/>
          </w:tcPr>
          <w:p>
            <w:pPr>
              <w:widowControl/>
              <w:spacing w:line="240" w:lineRule="auto"/>
              <w:ind w:firstLine="236"/>
              <w:jc w:val="left"/>
              <w:rPr>
                <w:rFonts w:hint="eastAsia"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continue"/>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4256" w:type="dxa"/>
            <w:vMerge w:val="restart"/>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TW"/>
              </w:rPr>
              <w:t>消防设施设备</w:t>
            </w:r>
          </w:p>
        </w:tc>
        <w:tc>
          <w:tcPr>
            <w:tcW w:w="4444"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1、查看消防设备设施完好无损，可随时启用，严禁挪作他用。    </w:t>
            </w:r>
          </w:p>
        </w:tc>
        <w:tc>
          <w:tcPr>
            <w:tcW w:w="2043" w:type="dxa"/>
            <w:vMerge w:val="restart"/>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1项不符合扣1分，3项以上不得分</w:t>
            </w:r>
          </w:p>
        </w:tc>
        <w:tc>
          <w:tcPr>
            <w:tcW w:w="538" w:type="dxa"/>
            <w:vMerge w:val="restart"/>
            <w:vAlign w:val="center"/>
          </w:tcPr>
          <w:p>
            <w:pPr>
              <w:widowControl/>
              <w:spacing w:line="240" w:lineRule="auto"/>
              <w:ind w:firstLine="236"/>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w:t>
            </w:r>
          </w:p>
        </w:tc>
        <w:tc>
          <w:tcPr>
            <w:tcW w:w="441" w:type="dxa"/>
            <w:vMerge w:val="restart"/>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1151" w:type="dxa"/>
            <w:vMerge w:val="restart"/>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continue"/>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4256" w:type="dxa"/>
            <w:vMerge w:val="continue"/>
            <w:vAlign w:val="center"/>
          </w:tcPr>
          <w:p>
            <w:pPr>
              <w:widowControl/>
              <w:spacing w:line="240" w:lineRule="auto"/>
              <w:ind w:firstLine="236"/>
              <w:jc w:val="left"/>
              <w:rPr>
                <w:rFonts w:hint="eastAsia" w:ascii="宋体" w:hAnsi="宋体" w:eastAsia="宋体" w:cs="宋体"/>
                <w:color w:val="auto"/>
                <w:kern w:val="0"/>
                <w:sz w:val="22"/>
                <w:szCs w:val="22"/>
                <w:highlight w:val="none"/>
              </w:rPr>
            </w:pPr>
          </w:p>
        </w:tc>
        <w:tc>
          <w:tcPr>
            <w:tcW w:w="4444"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2、查看项目消防物资配备情况，如：消防斧头、消防扳手、铁撬、铁锤等消防工具，以及警戒带、医疗箱及常用医药、防烟防毒工具等。 </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 xml:space="preserve">3、抽查消防设施是否定期进行检查，并保存相关记录。          </w:t>
            </w:r>
          </w:p>
        </w:tc>
        <w:tc>
          <w:tcPr>
            <w:tcW w:w="2043" w:type="dxa"/>
            <w:vMerge w:val="continue"/>
            <w:vAlign w:val="center"/>
          </w:tcPr>
          <w:p>
            <w:pPr>
              <w:widowControl/>
              <w:spacing w:line="240" w:lineRule="auto"/>
              <w:ind w:firstLine="236"/>
              <w:jc w:val="left"/>
              <w:rPr>
                <w:rFonts w:hint="eastAsia" w:ascii="宋体" w:hAnsi="宋体" w:eastAsia="宋体" w:cs="宋体"/>
                <w:color w:val="auto"/>
                <w:kern w:val="0"/>
                <w:sz w:val="22"/>
                <w:szCs w:val="22"/>
                <w:highlight w:val="none"/>
              </w:rPr>
            </w:pPr>
          </w:p>
        </w:tc>
        <w:tc>
          <w:tcPr>
            <w:tcW w:w="538" w:type="dxa"/>
            <w:vMerge w:val="continue"/>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441" w:type="dxa"/>
            <w:vMerge w:val="continue"/>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1151" w:type="dxa"/>
            <w:vMerge w:val="continue"/>
            <w:vAlign w:val="center"/>
          </w:tcPr>
          <w:p>
            <w:pPr>
              <w:widowControl/>
              <w:spacing w:line="240" w:lineRule="auto"/>
              <w:ind w:firstLine="236"/>
              <w:jc w:val="left"/>
              <w:rPr>
                <w:rFonts w:hint="eastAsia"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continue"/>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4256" w:type="dxa"/>
            <w:vMerge w:val="continue"/>
            <w:vAlign w:val="center"/>
          </w:tcPr>
          <w:p>
            <w:pPr>
              <w:widowControl/>
              <w:spacing w:line="240" w:lineRule="auto"/>
              <w:ind w:firstLine="236"/>
              <w:jc w:val="left"/>
              <w:rPr>
                <w:rFonts w:hint="eastAsia" w:ascii="宋体" w:hAnsi="宋体" w:eastAsia="宋体" w:cs="宋体"/>
                <w:color w:val="auto"/>
                <w:kern w:val="0"/>
                <w:sz w:val="22"/>
                <w:szCs w:val="22"/>
                <w:highlight w:val="none"/>
              </w:rPr>
            </w:pPr>
          </w:p>
        </w:tc>
        <w:tc>
          <w:tcPr>
            <w:tcW w:w="4444"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4、目测消防工具柜是否符合公司要求，并对相关记录进行检查。</w:t>
            </w:r>
          </w:p>
        </w:tc>
        <w:tc>
          <w:tcPr>
            <w:tcW w:w="2043" w:type="dxa"/>
            <w:vMerge w:val="continue"/>
            <w:vAlign w:val="center"/>
          </w:tcPr>
          <w:p>
            <w:pPr>
              <w:widowControl/>
              <w:spacing w:line="240" w:lineRule="auto"/>
              <w:ind w:firstLine="236"/>
              <w:jc w:val="left"/>
              <w:rPr>
                <w:rFonts w:hint="eastAsia" w:ascii="宋体" w:hAnsi="宋体" w:eastAsia="宋体" w:cs="宋体"/>
                <w:color w:val="auto"/>
                <w:kern w:val="0"/>
                <w:sz w:val="22"/>
                <w:szCs w:val="22"/>
                <w:highlight w:val="none"/>
              </w:rPr>
            </w:pPr>
          </w:p>
        </w:tc>
        <w:tc>
          <w:tcPr>
            <w:tcW w:w="538" w:type="dxa"/>
            <w:vMerge w:val="continue"/>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441" w:type="dxa"/>
            <w:vMerge w:val="continue"/>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1151" w:type="dxa"/>
            <w:vMerge w:val="continue"/>
            <w:vAlign w:val="center"/>
          </w:tcPr>
          <w:p>
            <w:pPr>
              <w:widowControl/>
              <w:spacing w:line="240" w:lineRule="auto"/>
              <w:ind w:firstLine="236"/>
              <w:jc w:val="left"/>
              <w:rPr>
                <w:rFonts w:hint="eastAsia"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continue"/>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4256" w:type="dxa"/>
            <w:vMerge w:val="restart"/>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TW"/>
              </w:rPr>
              <w:t>重点区域</w:t>
            </w:r>
          </w:p>
        </w:tc>
        <w:tc>
          <w:tcPr>
            <w:tcW w:w="4444" w:type="dxa"/>
            <w:vMerge w:val="restart"/>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1、检查燃油（气）罐储备是否隔离管理，区域内有严禁烟火醒目标识，配置足够灭火器材。   </w:t>
            </w:r>
          </w:p>
        </w:tc>
        <w:tc>
          <w:tcPr>
            <w:tcW w:w="2043" w:type="dxa"/>
            <w:vMerge w:val="restart"/>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1项不符合扣2分</w:t>
            </w:r>
          </w:p>
        </w:tc>
        <w:tc>
          <w:tcPr>
            <w:tcW w:w="538" w:type="dxa"/>
            <w:vMerge w:val="restart"/>
            <w:vAlign w:val="center"/>
          </w:tcPr>
          <w:p>
            <w:pPr>
              <w:widowControl/>
              <w:spacing w:line="240" w:lineRule="auto"/>
              <w:ind w:firstLine="236"/>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w:t>
            </w:r>
          </w:p>
        </w:tc>
        <w:tc>
          <w:tcPr>
            <w:tcW w:w="441" w:type="dxa"/>
            <w:vMerge w:val="restart"/>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1151" w:type="dxa"/>
            <w:vMerge w:val="restart"/>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continue"/>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4256" w:type="dxa"/>
            <w:vMerge w:val="continue"/>
            <w:vAlign w:val="center"/>
          </w:tcPr>
          <w:p>
            <w:pPr>
              <w:widowControl/>
              <w:spacing w:line="240" w:lineRule="auto"/>
              <w:ind w:firstLine="236"/>
              <w:jc w:val="left"/>
              <w:rPr>
                <w:rFonts w:hint="eastAsia" w:ascii="宋体" w:hAnsi="宋体" w:eastAsia="宋体" w:cs="宋体"/>
                <w:color w:val="auto"/>
                <w:kern w:val="0"/>
                <w:sz w:val="22"/>
                <w:szCs w:val="22"/>
                <w:highlight w:val="none"/>
              </w:rPr>
            </w:pPr>
          </w:p>
        </w:tc>
        <w:tc>
          <w:tcPr>
            <w:tcW w:w="4444" w:type="dxa"/>
            <w:vMerge w:val="continue"/>
            <w:vAlign w:val="center"/>
          </w:tcPr>
          <w:p>
            <w:pPr>
              <w:widowControl/>
              <w:spacing w:line="240" w:lineRule="auto"/>
              <w:ind w:firstLine="236"/>
              <w:jc w:val="left"/>
              <w:rPr>
                <w:rFonts w:hint="eastAsia" w:ascii="宋体" w:hAnsi="宋体" w:eastAsia="宋体" w:cs="宋体"/>
                <w:color w:val="auto"/>
                <w:kern w:val="0"/>
                <w:sz w:val="22"/>
                <w:szCs w:val="22"/>
                <w:highlight w:val="none"/>
              </w:rPr>
            </w:pPr>
          </w:p>
        </w:tc>
        <w:tc>
          <w:tcPr>
            <w:tcW w:w="2043" w:type="dxa"/>
            <w:vMerge w:val="continue"/>
            <w:vAlign w:val="center"/>
          </w:tcPr>
          <w:p>
            <w:pPr>
              <w:widowControl/>
              <w:spacing w:line="240" w:lineRule="auto"/>
              <w:ind w:firstLine="236"/>
              <w:jc w:val="left"/>
              <w:rPr>
                <w:rFonts w:hint="eastAsia" w:ascii="宋体" w:hAnsi="宋体" w:eastAsia="宋体" w:cs="宋体"/>
                <w:color w:val="auto"/>
                <w:kern w:val="0"/>
                <w:sz w:val="22"/>
                <w:szCs w:val="22"/>
                <w:highlight w:val="none"/>
              </w:rPr>
            </w:pPr>
          </w:p>
        </w:tc>
        <w:tc>
          <w:tcPr>
            <w:tcW w:w="538" w:type="dxa"/>
            <w:vMerge w:val="continue"/>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441" w:type="dxa"/>
            <w:vMerge w:val="continue"/>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1151" w:type="dxa"/>
            <w:vMerge w:val="continue"/>
            <w:vAlign w:val="center"/>
          </w:tcPr>
          <w:p>
            <w:pPr>
              <w:widowControl/>
              <w:spacing w:line="240" w:lineRule="auto"/>
              <w:ind w:firstLine="236"/>
              <w:jc w:val="left"/>
              <w:rPr>
                <w:rFonts w:hint="eastAsia"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continue"/>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4256"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TW"/>
              </w:rPr>
              <w:t>义务消防队</w:t>
            </w:r>
          </w:p>
        </w:tc>
        <w:tc>
          <w:tcPr>
            <w:tcW w:w="4444"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1、查看是否成立义务消防队。 2、查看义务消防队员花名册是否及时更新。</w:t>
            </w:r>
          </w:p>
        </w:tc>
        <w:tc>
          <w:tcPr>
            <w:tcW w:w="2043"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1项不符合扣1分</w:t>
            </w:r>
          </w:p>
        </w:tc>
        <w:tc>
          <w:tcPr>
            <w:tcW w:w="538" w:type="dxa"/>
            <w:vAlign w:val="center"/>
          </w:tcPr>
          <w:p>
            <w:pPr>
              <w:widowControl/>
              <w:spacing w:line="240" w:lineRule="auto"/>
              <w:ind w:firstLine="236"/>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p>
        </w:tc>
        <w:tc>
          <w:tcPr>
            <w:tcW w:w="441" w:type="dxa"/>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1151"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restart"/>
            <w:vAlign w:val="center"/>
          </w:tcPr>
          <w:p>
            <w:pPr>
              <w:widowControl/>
              <w:spacing w:line="240" w:lineRule="auto"/>
              <w:ind w:firstLine="236"/>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TW"/>
              </w:rPr>
              <w:t>夜间值班管理</w:t>
            </w:r>
          </w:p>
        </w:tc>
        <w:tc>
          <w:tcPr>
            <w:tcW w:w="4256"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TW"/>
              </w:rPr>
              <w:t>监控岗位夜间值班情况</w:t>
            </w:r>
          </w:p>
        </w:tc>
        <w:tc>
          <w:tcPr>
            <w:tcW w:w="4444"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1、抽查2个岗位3段值班情况，是否精神状态良好、无脱岗、睡岗。 </w:t>
            </w:r>
          </w:p>
        </w:tc>
        <w:tc>
          <w:tcPr>
            <w:tcW w:w="2043"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1项不符合扣2分，2项以上不得分</w:t>
            </w:r>
          </w:p>
        </w:tc>
        <w:tc>
          <w:tcPr>
            <w:tcW w:w="538" w:type="dxa"/>
            <w:vAlign w:val="center"/>
          </w:tcPr>
          <w:p>
            <w:pPr>
              <w:widowControl/>
              <w:spacing w:line="240" w:lineRule="auto"/>
              <w:ind w:firstLine="236"/>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w:t>
            </w:r>
          </w:p>
        </w:tc>
        <w:tc>
          <w:tcPr>
            <w:tcW w:w="441" w:type="dxa"/>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1151"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continue"/>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4256"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TW"/>
              </w:rPr>
              <w:t>夜间查岗情况</w:t>
            </w:r>
          </w:p>
        </w:tc>
        <w:tc>
          <w:tcPr>
            <w:tcW w:w="4444"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TW"/>
              </w:rPr>
              <w:t>1、乙方领班应每天对秩序员夜间值班情况进行巡查并记录。查看记录或照片是否按频次要求落实。</w:t>
            </w:r>
          </w:p>
        </w:tc>
        <w:tc>
          <w:tcPr>
            <w:tcW w:w="2043"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1次不符合扣1分,3次以上本次不得分</w:t>
            </w:r>
          </w:p>
        </w:tc>
        <w:tc>
          <w:tcPr>
            <w:tcW w:w="538" w:type="dxa"/>
            <w:vAlign w:val="center"/>
          </w:tcPr>
          <w:p>
            <w:pPr>
              <w:widowControl/>
              <w:spacing w:line="240" w:lineRule="auto"/>
              <w:ind w:firstLine="236"/>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w:t>
            </w:r>
          </w:p>
        </w:tc>
        <w:tc>
          <w:tcPr>
            <w:tcW w:w="441" w:type="dxa"/>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1151"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Align w:val="center"/>
          </w:tcPr>
          <w:p>
            <w:pPr>
              <w:widowControl/>
              <w:spacing w:line="240" w:lineRule="auto"/>
              <w:ind w:firstLine="236"/>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TW"/>
              </w:rPr>
              <w:t>危险源风险评价</w:t>
            </w:r>
          </w:p>
        </w:tc>
        <w:tc>
          <w:tcPr>
            <w:tcW w:w="4256"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TW"/>
              </w:rPr>
              <w:t>危险源辨识、风险评价和风险控制的评审、更新</w:t>
            </w:r>
          </w:p>
        </w:tc>
        <w:tc>
          <w:tcPr>
            <w:tcW w:w="4444"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TW"/>
              </w:rPr>
              <w:t>查看《危险源辨识/评价清单》、《重大危险源控制清单》清单。</w:t>
            </w:r>
          </w:p>
        </w:tc>
        <w:tc>
          <w:tcPr>
            <w:tcW w:w="2043"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1项不符合扣1分</w:t>
            </w:r>
          </w:p>
        </w:tc>
        <w:tc>
          <w:tcPr>
            <w:tcW w:w="538" w:type="dxa"/>
            <w:vAlign w:val="center"/>
          </w:tcPr>
          <w:p>
            <w:pPr>
              <w:widowControl/>
              <w:spacing w:line="240" w:lineRule="auto"/>
              <w:ind w:firstLine="236"/>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w:t>
            </w:r>
          </w:p>
        </w:tc>
        <w:tc>
          <w:tcPr>
            <w:tcW w:w="441" w:type="dxa"/>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1151"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Align w:val="center"/>
          </w:tcPr>
          <w:p>
            <w:pPr>
              <w:widowControl/>
              <w:spacing w:line="240" w:lineRule="auto"/>
              <w:ind w:firstLine="236"/>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TW"/>
              </w:rPr>
              <w:t>知识技能训练</w:t>
            </w:r>
          </w:p>
        </w:tc>
        <w:tc>
          <w:tcPr>
            <w:tcW w:w="4256"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1、乙方应为项目制定年度训练计划，分解到月。</w:t>
            </w:r>
          </w:p>
          <w:p>
            <w:pPr>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kern w:val="0"/>
                <w:sz w:val="22"/>
                <w:szCs w:val="22"/>
                <w:highlight w:val="none"/>
              </w:rPr>
              <w:t>每月28日前制定下月度的训练计划，含应急预案演练。</w:t>
            </w:r>
          </w:p>
          <w:p>
            <w:pPr>
              <w:spacing w:line="240" w:lineRule="auto"/>
              <w:ind w:firstLine="236"/>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3、按计划落实培训和演练。</w:t>
            </w:r>
          </w:p>
        </w:tc>
        <w:tc>
          <w:tcPr>
            <w:tcW w:w="4444"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查看年度训练计划、月度训练计划、设施记录。                </w:t>
            </w:r>
          </w:p>
        </w:tc>
        <w:tc>
          <w:tcPr>
            <w:tcW w:w="2043"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TW"/>
              </w:rPr>
              <w:t>一项不符合扣1分，2项以上不得分</w:t>
            </w:r>
          </w:p>
        </w:tc>
        <w:tc>
          <w:tcPr>
            <w:tcW w:w="538" w:type="dxa"/>
            <w:vAlign w:val="center"/>
          </w:tcPr>
          <w:p>
            <w:pPr>
              <w:widowControl/>
              <w:spacing w:line="240" w:lineRule="auto"/>
              <w:ind w:firstLine="236"/>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w:t>
            </w:r>
          </w:p>
        </w:tc>
        <w:tc>
          <w:tcPr>
            <w:tcW w:w="441" w:type="dxa"/>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1151"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restart"/>
            <w:vAlign w:val="center"/>
          </w:tcPr>
          <w:p>
            <w:pPr>
              <w:widowControl/>
              <w:spacing w:line="240" w:lineRule="auto"/>
              <w:ind w:firstLine="236"/>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TW"/>
              </w:rPr>
              <w:t>宿舍内务</w:t>
            </w:r>
          </w:p>
        </w:tc>
        <w:tc>
          <w:tcPr>
            <w:tcW w:w="4256" w:type="dxa"/>
            <w:vMerge w:val="restart"/>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TW"/>
              </w:rPr>
              <w:t>宿舍轮流值日</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eastAsia="zh-TW"/>
              </w:rPr>
              <w:t>起居室</w:t>
            </w:r>
            <w:r>
              <w:rPr>
                <w:rFonts w:hint="eastAsia" w:ascii="宋体" w:hAnsi="宋体" w:eastAsia="宋体" w:cs="宋体"/>
                <w:color w:val="auto"/>
                <w:kern w:val="0"/>
                <w:sz w:val="22"/>
                <w:szCs w:val="22"/>
                <w:highlight w:val="none"/>
              </w:rPr>
              <w:t>、卫生间、</w:t>
            </w:r>
            <w:r>
              <w:rPr>
                <w:rFonts w:hint="eastAsia" w:ascii="宋体" w:hAnsi="宋体" w:eastAsia="宋体" w:cs="宋体"/>
                <w:color w:val="auto"/>
                <w:kern w:val="0"/>
                <w:sz w:val="22"/>
                <w:szCs w:val="22"/>
                <w:highlight w:val="none"/>
                <w:lang w:eastAsia="zh-TW"/>
              </w:rPr>
              <w:t>活动区域整洁</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eastAsia="zh-TW"/>
              </w:rPr>
              <w:t>无异味</w:t>
            </w: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eastAsia="zh-TW"/>
              </w:rPr>
              <w:t>床铺整齐</w:t>
            </w:r>
            <w:r>
              <w:rPr>
                <w:rFonts w:hint="eastAsia" w:ascii="宋体" w:hAnsi="宋体" w:eastAsia="宋体" w:cs="宋体"/>
                <w:color w:val="auto"/>
                <w:kern w:val="0"/>
                <w:sz w:val="22"/>
                <w:szCs w:val="22"/>
                <w:highlight w:val="none"/>
              </w:rPr>
              <w:t>，无饲养宠物，无违规使用电器等安全隐患行为。</w:t>
            </w:r>
          </w:p>
        </w:tc>
        <w:tc>
          <w:tcPr>
            <w:tcW w:w="4444"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1、查看宿舍是否落实轮流值日。       </w:t>
            </w:r>
          </w:p>
        </w:tc>
        <w:tc>
          <w:tcPr>
            <w:tcW w:w="2043" w:type="dxa"/>
            <w:vMerge w:val="restart"/>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1项不符合扣1分</w:t>
            </w:r>
          </w:p>
        </w:tc>
        <w:tc>
          <w:tcPr>
            <w:tcW w:w="538" w:type="dxa"/>
            <w:vMerge w:val="restart"/>
            <w:vAlign w:val="center"/>
          </w:tcPr>
          <w:p>
            <w:pPr>
              <w:widowControl/>
              <w:spacing w:line="240" w:lineRule="auto"/>
              <w:ind w:firstLine="236"/>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p>
        </w:tc>
        <w:tc>
          <w:tcPr>
            <w:tcW w:w="441" w:type="dxa"/>
            <w:vMerge w:val="restart"/>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1151" w:type="dxa"/>
            <w:vMerge w:val="restart"/>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continue"/>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4256" w:type="dxa"/>
            <w:vMerge w:val="continue"/>
            <w:vAlign w:val="center"/>
          </w:tcPr>
          <w:p>
            <w:pPr>
              <w:widowControl/>
              <w:spacing w:line="240" w:lineRule="auto"/>
              <w:ind w:firstLine="236"/>
              <w:jc w:val="left"/>
              <w:rPr>
                <w:rFonts w:hint="eastAsia" w:ascii="宋体" w:hAnsi="宋体" w:eastAsia="宋体" w:cs="宋体"/>
                <w:color w:val="auto"/>
                <w:kern w:val="0"/>
                <w:sz w:val="22"/>
                <w:szCs w:val="22"/>
                <w:highlight w:val="none"/>
              </w:rPr>
            </w:pPr>
          </w:p>
        </w:tc>
        <w:tc>
          <w:tcPr>
            <w:tcW w:w="4444"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2、查看活动区域清洁情况。</w:t>
            </w:r>
          </w:p>
        </w:tc>
        <w:tc>
          <w:tcPr>
            <w:tcW w:w="2043" w:type="dxa"/>
            <w:vMerge w:val="continue"/>
            <w:vAlign w:val="center"/>
          </w:tcPr>
          <w:p>
            <w:pPr>
              <w:widowControl/>
              <w:spacing w:line="240" w:lineRule="auto"/>
              <w:ind w:firstLine="236"/>
              <w:jc w:val="left"/>
              <w:rPr>
                <w:rFonts w:hint="eastAsia" w:ascii="宋体" w:hAnsi="宋体" w:eastAsia="宋体" w:cs="宋体"/>
                <w:color w:val="auto"/>
                <w:kern w:val="0"/>
                <w:sz w:val="22"/>
                <w:szCs w:val="22"/>
                <w:highlight w:val="none"/>
              </w:rPr>
            </w:pPr>
          </w:p>
        </w:tc>
        <w:tc>
          <w:tcPr>
            <w:tcW w:w="538" w:type="dxa"/>
            <w:vMerge w:val="continue"/>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441" w:type="dxa"/>
            <w:vMerge w:val="continue"/>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1151" w:type="dxa"/>
            <w:vMerge w:val="continue"/>
            <w:vAlign w:val="center"/>
          </w:tcPr>
          <w:p>
            <w:pPr>
              <w:widowControl/>
              <w:spacing w:line="240" w:lineRule="auto"/>
              <w:ind w:firstLine="236"/>
              <w:jc w:val="left"/>
              <w:rPr>
                <w:rFonts w:hint="eastAsia" w:ascii="宋体" w:hAnsi="宋体" w:eastAsia="宋体" w:cs="宋体"/>
                <w:color w:val="auto"/>
                <w:kern w:val="0"/>
                <w:sz w:val="22"/>
                <w:szCs w:val="22"/>
                <w:highlight w:val="none"/>
              </w:rPr>
            </w:pPr>
          </w:p>
        </w:tc>
      </w:tr>
      <w:tr>
        <w:tblPrEx>
          <w:tblCellMar>
            <w:top w:w="0" w:type="dxa"/>
            <w:left w:w="108" w:type="dxa"/>
            <w:bottom w:w="0" w:type="dxa"/>
            <w:right w:w="108" w:type="dxa"/>
          </w:tblCellMar>
        </w:tblPrEx>
        <w:trPr>
          <w:trHeight w:val="567" w:hRule="atLeast"/>
          <w:jc w:val="center"/>
        </w:trPr>
        <w:tc>
          <w:tcPr>
            <w:tcW w:w="863" w:type="dxa"/>
            <w:vMerge w:val="continue"/>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4256" w:type="dxa"/>
            <w:vMerge w:val="continue"/>
            <w:vAlign w:val="center"/>
          </w:tcPr>
          <w:p>
            <w:pPr>
              <w:widowControl/>
              <w:spacing w:line="240" w:lineRule="auto"/>
              <w:ind w:firstLine="236"/>
              <w:jc w:val="left"/>
              <w:rPr>
                <w:rFonts w:hint="eastAsia" w:ascii="宋体" w:hAnsi="宋体" w:eastAsia="宋体" w:cs="宋体"/>
                <w:color w:val="auto"/>
                <w:kern w:val="0"/>
                <w:sz w:val="22"/>
                <w:szCs w:val="22"/>
                <w:highlight w:val="none"/>
              </w:rPr>
            </w:pPr>
          </w:p>
        </w:tc>
        <w:tc>
          <w:tcPr>
            <w:tcW w:w="4444"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3、查看床铺、个人物品摆放情况。</w:t>
            </w:r>
          </w:p>
        </w:tc>
        <w:tc>
          <w:tcPr>
            <w:tcW w:w="2043" w:type="dxa"/>
            <w:vMerge w:val="continue"/>
            <w:vAlign w:val="center"/>
          </w:tcPr>
          <w:p>
            <w:pPr>
              <w:widowControl/>
              <w:spacing w:line="240" w:lineRule="auto"/>
              <w:ind w:firstLine="236"/>
              <w:jc w:val="left"/>
              <w:rPr>
                <w:rFonts w:hint="eastAsia" w:ascii="宋体" w:hAnsi="宋体" w:eastAsia="宋体" w:cs="宋体"/>
                <w:color w:val="auto"/>
                <w:kern w:val="0"/>
                <w:sz w:val="22"/>
                <w:szCs w:val="22"/>
                <w:highlight w:val="none"/>
              </w:rPr>
            </w:pPr>
          </w:p>
        </w:tc>
        <w:tc>
          <w:tcPr>
            <w:tcW w:w="538" w:type="dxa"/>
            <w:vMerge w:val="continue"/>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441" w:type="dxa"/>
            <w:vMerge w:val="continue"/>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1151" w:type="dxa"/>
            <w:vMerge w:val="continue"/>
            <w:vAlign w:val="center"/>
          </w:tcPr>
          <w:p>
            <w:pPr>
              <w:widowControl/>
              <w:spacing w:line="240" w:lineRule="auto"/>
              <w:ind w:firstLine="236"/>
              <w:jc w:val="left"/>
              <w:rPr>
                <w:rFonts w:hint="eastAsia"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continue"/>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4256" w:type="dxa"/>
            <w:vMerge w:val="continue"/>
            <w:vAlign w:val="center"/>
          </w:tcPr>
          <w:p>
            <w:pPr>
              <w:widowControl/>
              <w:spacing w:line="240" w:lineRule="auto"/>
              <w:ind w:firstLine="236"/>
              <w:jc w:val="left"/>
              <w:rPr>
                <w:rFonts w:hint="eastAsia" w:ascii="宋体" w:hAnsi="宋体" w:eastAsia="宋体" w:cs="宋体"/>
                <w:color w:val="auto"/>
                <w:kern w:val="0"/>
                <w:sz w:val="22"/>
                <w:szCs w:val="22"/>
                <w:highlight w:val="none"/>
              </w:rPr>
            </w:pPr>
          </w:p>
        </w:tc>
        <w:tc>
          <w:tcPr>
            <w:tcW w:w="4444"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4、不得在宿舍饲养宠物。</w:t>
            </w:r>
          </w:p>
        </w:tc>
        <w:tc>
          <w:tcPr>
            <w:tcW w:w="2043" w:type="dxa"/>
            <w:vMerge w:val="continue"/>
            <w:vAlign w:val="center"/>
          </w:tcPr>
          <w:p>
            <w:pPr>
              <w:widowControl/>
              <w:spacing w:line="240" w:lineRule="auto"/>
              <w:ind w:firstLine="236"/>
              <w:jc w:val="left"/>
              <w:rPr>
                <w:rFonts w:hint="eastAsia" w:ascii="宋体" w:hAnsi="宋体" w:eastAsia="宋体" w:cs="宋体"/>
                <w:color w:val="auto"/>
                <w:kern w:val="0"/>
                <w:sz w:val="22"/>
                <w:szCs w:val="22"/>
                <w:highlight w:val="none"/>
              </w:rPr>
            </w:pPr>
          </w:p>
        </w:tc>
        <w:tc>
          <w:tcPr>
            <w:tcW w:w="538" w:type="dxa"/>
            <w:vMerge w:val="continue"/>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441" w:type="dxa"/>
            <w:vMerge w:val="continue"/>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1151" w:type="dxa"/>
            <w:vMerge w:val="continue"/>
            <w:vAlign w:val="center"/>
          </w:tcPr>
          <w:p>
            <w:pPr>
              <w:widowControl/>
              <w:spacing w:line="240" w:lineRule="auto"/>
              <w:ind w:firstLine="236"/>
              <w:jc w:val="left"/>
              <w:rPr>
                <w:rFonts w:hint="eastAsia"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3" w:type="dxa"/>
            <w:vMerge w:val="continue"/>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4256" w:type="dxa"/>
            <w:vMerge w:val="continue"/>
            <w:vAlign w:val="center"/>
          </w:tcPr>
          <w:p>
            <w:pPr>
              <w:widowControl/>
              <w:spacing w:line="240" w:lineRule="auto"/>
              <w:ind w:firstLine="236"/>
              <w:jc w:val="left"/>
              <w:rPr>
                <w:rFonts w:hint="eastAsia" w:ascii="宋体" w:hAnsi="宋体" w:eastAsia="宋体" w:cs="宋体"/>
                <w:color w:val="auto"/>
                <w:kern w:val="0"/>
                <w:sz w:val="22"/>
                <w:szCs w:val="22"/>
                <w:highlight w:val="none"/>
              </w:rPr>
            </w:pPr>
          </w:p>
        </w:tc>
        <w:tc>
          <w:tcPr>
            <w:tcW w:w="4444"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5、无违规使用电器等安全隐患行为。</w:t>
            </w:r>
          </w:p>
        </w:tc>
        <w:tc>
          <w:tcPr>
            <w:tcW w:w="2043" w:type="dxa"/>
            <w:vMerge w:val="continue"/>
            <w:vAlign w:val="center"/>
          </w:tcPr>
          <w:p>
            <w:pPr>
              <w:widowControl/>
              <w:spacing w:line="240" w:lineRule="auto"/>
              <w:ind w:firstLine="236"/>
              <w:jc w:val="left"/>
              <w:rPr>
                <w:rFonts w:hint="eastAsia" w:ascii="宋体" w:hAnsi="宋体" w:eastAsia="宋体" w:cs="宋体"/>
                <w:color w:val="auto"/>
                <w:kern w:val="0"/>
                <w:sz w:val="22"/>
                <w:szCs w:val="22"/>
                <w:highlight w:val="none"/>
              </w:rPr>
            </w:pPr>
          </w:p>
        </w:tc>
        <w:tc>
          <w:tcPr>
            <w:tcW w:w="538" w:type="dxa"/>
            <w:vMerge w:val="continue"/>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441" w:type="dxa"/>
            <w:vMerge w:val="continue"/>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1151" w:type="dxa"/>
            <w:vMerge w:val="continue"/>
            <w:vAlign w:val="center"/>
          </w:tcPr>
          <w:p>
            <w:pPr>
              <w:widowControl/>
              <w:spacing w:line="240" w:lineRule="auto"/>
              <w:ind w:firstLine="236"/>
              <w:jc w:val="left"/>
              <w:rPr>
                <w:rFonts w:hint="eastAsia" w:ascii="宋体" w:hAnsi="宋体" w:eastAsia="宋体" w:cs="宋体"/>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06" w:type="dxa"/>
            <w:gridSpan w:val="4"/>
            <w:vAlign w:val="center"/>
          </w:tcPr>
          <w:p>
            <w:pPr>
              <w:widowControl/>
              <w:spacing w:line="240" w:lineRule="auto"/>
              <w:ind w:firstLine="236"/>
              <w:jc w:val="righ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得分</w:t>
            </w:r>
          </w:p>
        </w:tc>
        <w:tc>
          <w:tcPr>
            <w:tcW w:w="538" w:type="dxa"/>
            <w:vAlign w:val="center"/>
          </w:tcPr>
          <w:p>
            <w:pPr>
              <w:widowControl/>
              <w:spacing w:line="240" w:lineRule="auto"/>
              <w:ind w:firstLine="236"/>
              <w:jc w:val="center"/>
              <w:rPr>
                <w:rFonts w:hint="eastAsia" w:ascii="宋体" w:hAnsi="宋体" w:eastAsia="宋体" w:cs="宋体"/>
                <w:color w:val="auto"/>
                <w:kern w:val="0"/>
                <w:sz w:val="22"/>
                <w:szCs w:val="22"/>
                <w:highlight w:val="none"/>
              </w:rPr>
            </w:pPr>
          </w:p>
        </w:tc>
        <w:tc>
          <w:tcPr>
            <w:tcW w:w="441" w:type="dxa"/>
            <w:vAlign w:val="center"/>
          </w:tcPr>
          <w:p>
            <w:pPr>
              <w:widowControl/>
              <w:spacing w:line="240" w:lineRule="auto"/>
              <w:ind w:firstLine="236"/>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c>
          <w:tcPr>
            <w:tcW w:w="1151" w:type="dxa"/>
            <w:vAlign w:val="center"/>
          </w:tcPr>
          <w:p>
            <w:pPr>
              <w:widowControl/>
              <w:spacing w:line="240" w:lineRule="auto"/>
              <w:ind w:firstLine="236"/>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r>
    </w:tbl>
    <w:p>
      <w:pPr>
        <w:tabs>
          <w:tab w:val="left" w:pos="709"/>
        </w:tabs>
        <w:spacing w:line="360" w:lineRule="auto"/>
        <w:ind w:firstLine="562" w:firstLineChars="200"/>
        <w:jc w:val="left"/>
        <w:rPr>
          <w:rStyle w:val="23"/>
          <w:rFonts w:hint="eastAsia" w:ascii="宋体" w:hAnsi="宋体" w:eastAsia="宋体" w:cs="宋体"/>
          <w:b/>
          <w:color w:val="auto"/>
          <w:sz w:val="28"/>
          <w:szCs w:val="28"/>
          <w:highlight w:val="none"/>
          <w:lang w:eastAsia="zh-TW"/>
        </w:rPr>
      </w:pPr>
      <w:r>
        <w:rPr>
          <w:rStyle w:val="23"/>
          <w:rFonts w:hint="eastAsia" w:ascii="宋体" w:hAnsi="宋体" w:eastAsia="宋体" w:cs="宋体"/>
          <w:b/>
          <w:color w:val="auto"/>
          <w:sz w:val="28"/>
          <w:szCs w:val="28"/>
          <w:highlight w:val="none"/>
          <w:lang w:val="zh-TW" w:eastAsia="zh-TW"/>
        </w:rPr>
        <w:t>评分人：</w:t>
      </w:r>
      <w:r>
        <w:rPr>
          <w:rStyle w:val="23"/>
          <w:rFonts w:hint="eastAsia" w:ascii="宋体" w:hAnsi="宋体" w:eastAsia="宋体" w:cs="宋体"/>
          <w:b/>
          <w:color w:val="auto"/>
          <w:sz w:val="28"/>
          <w:szCs w:val="28"/>
          <w:highlight w:val="none"/>
        </w:rPr>
        <w:t xml:space="preserve">                              评分日期：                             </w:t>
      </w:r>
      <w:r>
        <w:rPr>
          <w:rStyle w:val="23"/>
          <w:rFonts w:hint="eastAsia" w:ascii="宋体" w:hAnsi="宋体" w:eastAsia="宋体" w:cs="宋体"/>
          <w:b/>
          <w:color w:val="auto"/>
          <w:sz w:val="28"/>
          <w:szCs w:val="28"/>
          <w:highlight w:val="none"/>
          <w:lang w:val="zh-TW" w:eastAsia="zh-TW"/>
        </w:rPr>
        <w:t xml:space="preserve">项目负责人确认：      </w:t>
      </w:r>
      <w:r>
        <w:rPr>
          <w:rStyle w:val="23"/>
          <w:rFonts w:hint="eastAsia" w:ascii="宋体" w:hAnsi="宋体" w:eastAsia="宋体" w:cs="宋体"/>
          <w:b/>
          <w:color w:val="auto"/>
          <w:sz w:val="28"/>
          <w:szCs w:val="28"/>
          <w:highlight w:val="none"/>
          <w:lang w:eastAsia="zh-TW"/>
        </w:rPr>
        <w:t xml:space="preserve"> </w:t>
      </w:r>
      <w:bookmarkEnd w:id="475"/>
      <w:bookmarkStart w:id="476" w:name="_Toc30400"/>
    </w:p>
    <w:bookmarkEnd w:id="476"/>
    <w:p>
      <w:pPr>
        <w:spacing w:line="360" w:lineRule="auto"/>
        <w:ind w:firstLine="236"/>
        <w:jc w:val="left"/>
        <w:rPr>
          <w:rFonts w:hint="eastAsia" w:ascii="宋体" w:hAnsi="宋体" w:eastAsia="宋体" w:cs="宋体"/>
          <w:color w:val="auto"/>
          <w:sz w:val="28"/>
          <w:szCs w:val="28"/>
          <w:highlight w:val="none"/>
        </w:rPr>
        <w:sectPr>
          <w:pgSz w:w="16838" w:h="11906" w:orient="landscape"/>
          <w:pgMar w:top="1701" w:right="1701" w:bottom="1701" w:left="1701" w:header="851" w:footer="992" w:gutter="0"/>
          <w:cols w:space="0" w:num="1"/>
          <w:docGrid w:type="lines" w:linePitch="314" w:charSpace="0"/>
        </w:sectPr>
      </w:pPr>
    </w:p>
    <w:p>
      <w:pPr>
        <w:spacing w:line="360" w:lineRule="auto"/>
        <w:ind w:firstLine="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格式14</w:t>
      </w:r>
    </w:p>
    <w:p>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投标人密封条</w:t>
      </w:r>
    </w:p>
    <w:p>
      <w:pPr>
        <w:spacing w:line="360" w:lineRule="auto"/>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p>
    <w:p>
      <w:pPr>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    密    封    条</w:t>
      </w:r>
    </w:p>
    <w:tbl>
      <w:tblPr>
        <w:tblStyle w:val="19"/>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305"/>
        <w:gridCol w:w="2239"/>
        <w:gridCol w:w="1486"/>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27" w:type="dxa"/>
            <w:vAlign w:val="center"/>
          </w:tcPr>
          <w:p>
            <w:pPr>
              <w:spacing w:line="360" w:lineRule="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送   呈</w:t>
            </w:r>
          </w:p>
        </w:tc>
        <w:tc>
          <w:tcPr>
            <w:tcW w:w="7230" w:type="dxa"/>
            <w:gridSpan w:val="4"/>
            <w:vAlign w:val="center"/>
          </w:tcPr>
          <w:p>
            <w:pPr>
              <w:spacing w:line="360" w:lineRule="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厦门国贸城市服务集团股份有限公司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427" w:type="dxa"/>
            <w:vAlign w:val="center"/>
          </w:tcPr>
          <w:p>
            <w:pPr>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项目</w:t>
            </w:r>
          </w:p>
          <w:p>
            <w:pPr>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名称</w:t>
            </w:r>
          </w:p>
        </w:tc>
        <w:tc>
          <w:tcPr>
            <w:tcW w:w="3544" w:type="dxa"/>
            <w:gridSpan w:val="2"/>
            <w:vAlign w:val="center"/>
          </w:tcPr>
          <w:p>
            <w:pPr>
              <w:spacing w:line="360" w:lineRule="auto"/>
              <w:ind w:firstLine="295"/>
              <w:jc w:val="center"/>
              <w:rPr>
                <w:rFonts w:hint="eastAsia" w:ascii="宋体" w:hAnsi="宋体" w:eastAsia="宋体" w:cs="宋体"/>
                <w:bCs/>
                <w:color w:val="auto"/>
                <w:sz w:val="28"/>
                <w:szCs w:val="28"/>
                <w:highlight w:val="none"/>
                <w:lang w:val="zh-CN"/>
              </w:rPr>
            </w:pPr>
            <w:r>
              <w:rPr>
                <w:rFonts w:hint="eastAsia" w:ascii="宋体" w:hAnsi="宋体" w:eastAsia="宋体" w:cs="宋体"/>
                <w:bCs/>
                <w:color w:val="auto"/>
                <w:sz w:val="28"/>
                <w:szCs w:val="28"/>
                <w:highlight w:val="none"/>
                <w:lang w:val="zh-CN"/>
              </w:rPr>
              <w:t>*******项目</w:t>
            </w:r>
          </w:p>
        </w:tc>
        <w:tc>
          <w:tcPr>
            <w:tcW w:w="1486" w:type="dxa"/>
            <w:vAlign w:val="center"/>
          </w:tcPr>
          <w:p>
            <w:pPr>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招标</w:t>
            </w:r>
          </w:p>
          <w:p>
            <w:pPr>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编号</w:t>
            </w:r>
          </w:p>
        </w:tc>
        <w:tc>
          <w:tcPr>
            <w:tcW w:w="2200" w:type="dxa"/>
            <w:vAlign w:val="center"/>
          </w:tcPr>
          <w:p>
            <w:pPr>
              <w:spacing w:line="360" w:lineRule="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427" w:type="dxa"/>
            <w:vAlign w:val="center"/>
          </w:tcPr>
          <w:p>
            <w:pPr>
              <w:spacing w:line="360" w:lineRule="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截标日期</w:t>
            </w:r>
          </w:p>
        </w:tc>
        <w:tc>
          <w:tcPr>
            <w:tcW w:w="7230" w:type="dxa"/>
            <w:gridSpan w:val="4"/>
            <w:vAlign w:val="center"/>
          </w:tcPr>
          <w:p>
            <w:pPr>
              <w:spacing w:line="360" w:lineRule="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年月日分止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732" w:type="dxa"/>
            <w:gridSpan w:val="2"/>
            <w:vAlign w:val="center"/>
          </w:tcPr>
          <w:p>
            <w:pPr>
              <w:spacing w:line="360" w:lineRule="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报价单位名称（加盖密封章或公章）</w:t>
            </w:r>
          </w:p>
        </w:tc>
        <w:tc>
          <w:tcPr>
            <w:tcW w:w="5925" w:type="dxa"/>
            <w:gridSpan w:val="3"/>
            <w:vAlign w:val="center"/>
          </w:tcPr>
          <w:p>
            <w:pPr>
              <w:spacing w:line="360" w:lineRule="auto"/>
              <w:rPr>
                <w:rFonts w:hint="eastAsia" w:ascii="宋体" w:hAnsi="宋体" w:eastAsia="宋体" w:cs="宋体"/>
                <w:color w:val="auto"/>
                <w:kern w:val="0"/>
                <w:sz w:val="28"/>
                <w:szCs w:val="28"/>
                <w:highlight w:val="none"/>
              </w:rPr>
            </w:pPr>
          </w:p>
        </w:tc>
      </w:tr>
    </w:tbl>
    <w:p>
      <w:pPr>
        <w:spacing w:line="360" w:lineRule="auto"/>
        <w:ind w:firstLine="314"/>
        <w:rPr>
          <w:rFonts w:hint="eastAsia" w:ascii="宋体" w:hAnsi="宋体" w:eastAsia="宋体" w:cs="宋体"/>
          <w:b/>
          <w:color w:val="auto"/>
          <w:sz w:val="28"/>
          <w:szCs w:val="28"/>
          <w:highlight w:val="none"/>
        </w:rPr>
      </w:pPr>
    </w:p>
    <w:p>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p>
    <w:p>
      <w:pPr>
        <w:spacing w:line="360" w:lineRule="auto"/>
        <w:rPr>
          <w:rFonts w:hint="eastAsia" w:ascii="宋体" w:hAnsi="宋体" w:eastAsia="宋体" w:cs="宋体"/>
          <w:color w:val="auto"/>
          <w:sz w:val="28"/>
          <w:szCs w:val="28"/>
          <w:highlight w:val="none"/>
        </w:rPr>
      </w:pPr>
    </w:p>
    <w:bookmarkEnd w:id="5"/>
    <w:bookmarkEnd w:id="6"/>
    <w:p>
      <w:pPr>
        <w:snapToGrid w:val="0"/>
        <w:spacing w:line="360" w:lineRule="auto"/>
        <w:ind w:left="794" w:leftChars="378" w:firstLine="281" w:firstLineChars="100"/>
        <w:rPr>
          <w:rFonts w:hint="eastAsia" w:ascii="宋体" w:hAnsi="宋体" w:eastAsia="宋体" w:cs="宋体"/>
          <w:b/>
          <w:color w:val="auto"/>
          <w:sz w:val="28"/>
          <w:szCs w:val="28"/>
          <w:highlight w:val="none"/>
          <w:u w:val="single"/>
        </w:rPr>
      </w:pPr>
    </w:p>
    <w:p>
      <w:pPr>
        <w:snapToGrid w:val="0"/>
        <w:spacing w:line="360" w:lineRule="auto"/>
        <w:ind w:left="794" w:leftChars="378" w:firstLine="281" w:firstLineChars="100"/>
        <w:rPr>
          <w:rFonts w:hint="eastAsia" w:ascii="宋体" w:hAnsi="宋体" w:eastAsia="宋体" w:cs="宋体"/>
          <w:b/>
          <w:color w:val="auto"/>
          <w:sz w:val="28"/>
          <w:szCs w:val="28"/>
          <w:highlight w:val="none"/>
          <w:u w:val="single"/>
        </w:rPr>
      </w:pPr>
    </w:p>
    <w:p>
      <w:pPr>
        <w:snapToGrid w:val="0"/>
        <w:spacing w:line="360" w:lineRule="auto"/>
        <w:ind w:left="794" w:leftChars="378" w:firstLine="281" w:firstLineChars="100"/>
        <w:rPr>
          <w:rFonts w:hint="eastAsia" w:ascii="宋体" w:hAnsi="宋体" w:eastAsia="宋体" w:cs="宋体"/>
          <w:b/>
          <w:color w:val="auto"/>
          <w:sz w:val="28"/>
          <w:szCs w:val="28"/>
          <w:highlight w:val="none"/>
          <w:u w:val="single"/>
        </w:rPr>
      </w:pPr>
    </w:p>
    <w:p>
      <w:pPr>
        <w:snapToGrid w:val="0"/>
        <w:spacing w:line="360" w:lineRule="auto"/>
        <w:ind w:left="794" w:leftChars="378" w:firstLine="281" w:firstLineChars="100"/>
        <w:rPr>
          <w:rFonts w:hint="eastAsia" w:ascii="宋体" w:hAnsi="宋体" w:eastAsia="宋体" w:cs="宋体"/>
          <w:b/>
          <w:color w:val="auto"/>
          <w:sz w:val="28"/>
          <w:szCs w:val="28"/>
          <w:highlight w:val="none"/>
          <w:u w:val="single"/>
        </w:rPr>
      </w:pPr>
    </w:p>
    <w:p>
      <w:pPr>
        <w:snapToGrid w:val="0"/>
        <w:spacing w:line="360" w:lineRule="auto"/>
        <w:ind w:left="794" w:leftChars="378" w:firstLine="281" w:firstLineChars="100"/>
        <w:rPr>
          <w:rFonts w:hint="eastAsia" w:ascii="宋体" w:hAnsi="宋体" w:eastAsia="宋体" w:cs="宋体"/>
          <w:b/>
          <w:color w:val="auto"/>
          <w:sz w:val="28"/>
          <w:szCs w:val="28"/>
          <w:highlight w:val="none"/>
          <w:u w:val="single"/>
        </w:rPr>
      </w:pPr>
    </w:p>
    <w:p>
      <w:pPr>
        <w:snapToGrid w:val="0"/>
        <w:spacing w:line="360" w:lineRule="auto"/>
        <w:ind w:left="794" w:leftChars="378" w:firstLine="281" w:firstLineChars="100"/>
        <w:rPr>
          <w:rFonts w:hint="eastAsia" w:ascii="宋体" w:hAnsi="宋体" w:eastAsia="宋体" w:cs="宋体"/>
          <w:b/>
          <w:color w:val="auto"/>
          <w:sz w:val="28"/>
          <w:szCs w:val="28"/>
          <w:highlight w:val="none"/>
          <w:u w:val="single"/>
        </w:rPr>
      </w:pPr>
    </w:p>
    <w:p>
      <w:pPr>
        <w:spacing w:line="360" w:lineRule="auto"/>
        <w:rPr>
          <w:rFonts w:hint="eastAsia" w:ascii="宋体" w:hAnsi="宋体" w:eastAsia="宋体" w:cs="宋体"/>
          <w:color w:val="auto"/>
          <w:sz w:val="28"/>
          <w:szCs w:val="28"/>
          <w:highlight w:val="none"/>
        </w:rPr>
      </w:pPr>
    </w:p>
    <w:sectPr>
      <w:footerReference r:id="rId4" w:type="default"/>
      <w:pgSz w:w="11906" w:h="16838"/>
      <w:pgMar w:top="1701" w:right="1701" w:bottom="1701" w:left="1701" w:header="851" w:footer="992" w:gutter="0"/>
      <w:pgNumType w:fmt="numberInDash"/>
      <w:cols w:space="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- 17 -</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2"/>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- 17 -</w:t>
                    </w:r>
                    <w:r>
                      <w:rPr>
                        <w:rFonts w:hint="eastAsia" w:ascii="仿宋" w:hAnsi="仿宋" w:eastAsia="仿宋" w:cs="仿宋"/>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17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- 37 -</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2"/>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- 37 -</w:t>
                    </w:r>
                    <w:r>
                      <w:rPr>
                        <w:rFonts w:hint="eastAsia" w:ascii="仿宋" w:hAnsi="仿宋" w:eastAsia="仿宋" w:cs="仿宋"/>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ACE615"/>
    <w:multiLevelType w:val="singleLevel"/>
    <w:tmpl w:val="85ACE615"/>
    <w:lvl w:ilvl="0" w:tentative="0">
      <w:start w:val="1"/>
      <w:numFmt w:val="decimal"/>
      <w:suff w:val="nothing"/>
      <w:lvlText w:val="%1、"/>
      <w:lvlJc w:val="left"/>
    </w:lvl>
  </w:abstractNum>
  <w:abstractNum w:abstractNumId="1">
    <w:nsid w:val="9E644289"/>
    <w:multiLevelType w:val="singleLevel"/>
    <w:tmpl w:val="9E644289"/>
    <w:lvl w:ilvl="0" w:tentative="0">
      <w:start w:val="1"/>
      <w:numFmt w:val="decimal"/>
      <w:suff w:val="nothing"/>
      <w:lvlText w:val="%1、"/>
      <w:lvlJc w:val="left"/>
    </w:lvl>
  </w:abstractNum>
  <w:abstractNum w:abstractNumId="2">
    <w:nsid w:val="0DDCFDB3"/>
    <w:multiLevelType w:val="singleLevel"/>
    <w:tmpl w:val="0DDCFDB3"/>
    <w:lvl w:ilvl="0" w:tentative="0">
      <w:start w:val="1"/>
      <w:numFmt w:val="decimal"/>
      <w:suff w:val="nothing"/>
      <w:lvlText w:val="%1．"/>
      <w:lvlJc w:val="left"/>
      <w:pPr>
        <w:ind w:left="0" w:firstLine="400"/>
      </w:pPr>
      <w:rPr>
        <w:rFonts w:hint="default"/>
      </w:rPr>
    </w:lvl>
  </w:abstractNum>
  <w:abstractNum w:abstractNumId="3">
    <w:nsid w:val="2BFBE0E0"/>
    <w:multiLevelType w:val="singleLevel"/>
    <w:tmpl w:val="2BFBE0E0"/>
    <w:lvl w:ilvl="0" w:tentative="0">
      <w:start w:val="1"/>
      <w:numFmt w:val="decimal"/>
      <w:suff w:val="nothing"/>
      <w:lvlText w:val="（%1）"/>
      <w:lvlJc w:val="left"/>
    </w:lvl>
  </w:abstractNum>
  <w:abstractNum w:abstractNumId="4">
    <w:nsid w:val="40523F4B"/>
    <w:multiLevelType w:val="multilevel"/>
    <w:tmpl w:val="40523F4B"/>
    <w:lvl w:ilvl="0" w:tentative="0">
      <w:start w:val="1"/>
      <w:numFmt w:val="decimal"/>
      <w:lvlText w:val="%1、"/>
      <w:lvlJc w:val="left"/>
      <w:pPr>
        <w:ind w:left="420" w:hanging="420"/>
      </w:pPr>
      <w:rPr>
        <w:rFonts w:hint="eastAsia"/>
      </w:rPr>
    </w:lvl>
    <w:lvl w:ilvl="1" w:tentative="0">
      <w:start w:val="1"/>
      <w:numFmt w:val="lowerLetter"/>
      <w:lvlText w:val="%2)"/>
      <w:lvlJc w:val="left"/>
      <w:pPr>
        <w:ind w:left="1441" w:hanging="420"/>
      </w:pPr>
    </w:lvl>
    <w:lvl w:ilvl="2" w:tentative="0">
      <w:start w:val="1"/>
      <w:numFmt w:val="lowerRoman"/>
      <w:lvlText w:val="%3."/>
      <w:lvlJc w:val="right"/>
      <w:pPr>
        <w:ind w:left="1861" w:hanging="420"/>
      </w:pPr>
    </w:lvl>
    <w:lvl w:ilvl="3" w:tentative="0">
      <w:start w:val="1"/>
      <w:numFmt w:val="decimal"/>
      <w:lvlText w:val="%4."/>
      <w:lvlJc w:val="left"/>
      <w:pPr>
        <w:ind w:left="2281" w:hanging="420"/>
      </w:pPr>
    </w:lvl>
    <w:lvl w:ilvl="4" w:tentative="0">
      <w:start w:val="1"/>
      <w:numFmt w:val="lowerLetter"/>
      <w:lvlText w:val="%5)"/>
      <w:lvlJc w:val="left"/>
      <w:pPr>
        <w:ind w:left="2701" w:hanging="420"/>
      </w:pPr>
    </w:lvl>
    <w:lvl w:ilvl="5" w:tentative="0">
      <w:start w:val="1"/>
      <w:numFmt w:val="lowerRoman"/>
      <w:lvlText w:val="%6."/>
      <w:lvlJc w:val="right"/>
      <w:pPr>
        <w:ind w:left="3121" w:hanging="420"/>
      </w:pPr>
    </w:lvl>
    <w:lvl w:ilvl="6" w:tentative="0">
      <w:start w:val="1"/>
      <w:numFmt w:val="decimal"/>
      <w:lvlText w:val="%7."/>
      <w:lvlJc w:val="left"/>
      <w:pPr>
        <w:ind w:left="3541" w:hanging="420"/>
      </w:pPr>
    </w:lvl>
    <w:lvl w:ilvl="7" w:tentative="0">
      <w:start w:val="1"/>
      <w:numFmt w:val="lowerLetter"/>
      <w:lvlText w:val="%8)"/>
      <w:lvlJc w:val="left"/>
      <w:pPr>
        <w:ind w:left="3961" w:hanging="420"/>
      </w:pPr>
    </w:lvl>
    <w:lvl w:ilvl="8" w:tentative="0">
      <w:start w:val="1"/>
      <w:numFmt w:val="lowerRoman"/>
      <w:lvlText w:val="%9."/>
      <w:lvlJc w:val="right"/>
      <w:pPr>
        <w:ind w:left="4381" w:hanging="42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doNotDisplayPageBoundaries w:val="1"/>
  <w:displayBackgroundShape w:val="1"/>
  <w:embedSystemFonts/>
  <w:bordersDoNotSurroundHeader w:val="1"/>
  <w:bordersDoNotSurroundFooter w:val="1"/>
  <w:documentProtection w:enforcement="0"/>
  <w:defaultTabStop w:val="420"/>
  <w:drawingGridHorizontalSpacing w:val="210"/>
  <w:drawingGridVerticalSpacing w:val="157"/>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mMmVkZTQ1Y2E5NmFjNDhjNjQ4YmNiMzlmNjM3MTgifQ=="/>
  </w:docVars>
  <w:rsids>
    <w:rsidRoot w:val="5A9E4E10"/>
    <w:rsid w:val="00005634"/>
    <w:rsid w:val="0003708E"/>
    <w:rsid w:val="0005453A"/>
    <w:rsid w:val="0007691E"/>
    <w:rsid w:val="0008053D"/>
    <w:rsid w:val="000C5D20"/>
    <w:rsid w:val="000D54AC"/>
    <w:rsid w:val="000F391E"/>
    <w:rsid w:val="000F595E"/>
    <w:rsid w:val="00100E74"/>
    <w:rsid w:val="00136590"/>
    <w:rsid w:val="00156E7C"/>
    <w:rsid w:val="001B06F3"/>
    <w:rsid w:val="001B3D61"/>
    <w:rsid w:val="001C3AF0"/>
    <w:rsid w:val="00207D50"/>
    <w:rsid w:val="0021092F"/>
    <w:rsid w:val="002234CB"/>
    <w:rsid w:val="00255CAC"/>
    <w:rsid w:val="00277081"/>
    <w:rsid w:val="002C0132"/>
    <w:rsid w:val="002D1DB6"/>
    <w:rsid w:val="00355E01"/>
    <w:rsid w:val="003F1D52"/>
    <w:rsid w:val="00422EE3"/>
    <w:rsid w:val="0043075E"/>
    <w:rsid w:val="00435B3B"/>
    <w:rsid w:val="00441B9F"/>
    <w:rsid w:val="00445BC8"/>
    <w:rsid w:val="00451AE0"/>
    <w:rsid w:val="0047161E"/>
    <w:rsid w:val="0047634A"/>
    <w:rsid w:val="004F36B0"/>
    <w:rsid w:val="00512AD2"/>
    <w:rsid w:val="005277F4"/>
    <w:rsid w:val="00576141"/>
    <w:rsid w:val="005921BD"/>
    <w:rsid w:val="005A328B"/>
    <w:rsid w:val="005A6E7D"/>
    <w:rsid w:val="005B4344"/>
    <w:rsid w:val="005C1EC4"/>
    <w:rsid w:val="005E18F9"/>
    <w:rsid w:val="005F0ADB"/>
    <w:rsid w:val="005F58D9"/>
    <w:rsid w:val="00613E0F"/>
    <w:rsid w:val="0062369B"/>
    <w:rsid w:val="00627E27"/>
    <w:rsid w:val="006637CC"/>
    <w:rsid w:val="006838AE"/>
    <w:rsid w:val="006C28F2"/>
    <w:rsid w:val="006D3C2E"/>
    <w:rsid w:val="006E0FCE"/>
    <w:rsid w:val="006F510C"/>
    <w:rsid w:val="00740763"/>
    <w:rsid w:val="00762237"/>
    <w:rsid w:val="0078035E"/>
    <w:rsid w:val="0078569A"/>
    <w:rsid w:val="007B25A0"/>
    <w:rsid w:val="007B47D5"/>
    <w:rsid w:val="007B4A74"/>
    <w:rsid w:val="00830789"/>
    <w:rsid w:val="008341A3"/>
    <w:rsid w:val="008668DD"/>
    <w:rsid w:val="0087213E"/>
    <w:rsid w:val="00874C67"/>
    <w:rsid w:val="008756A0"/>
    <w:rsid w:val="008A4E3B"/>
    <w:rsid w:val="008F1557"/>
    <w:rsid w:val="009212E9"/>
    <w:rsid w:val="009553CA"/>
    <w:rsid w:val="00981EC5"/>
    <w:rsid w:val="00993485"/>
    <w:rsid w:val="009A2763"/>
    <w:rsid w:val="009B501F"/>
    <w:rsid w:val="009C5CCA"/>
    <w:rsid w:val="009C6985"/>
    <w:rsid w:val="00A0207A"/>
    <w:rsid w:val="00A03D6F"/>
    <w:rsid w:val="00A17E7F"/>
    <w:rsid w:val="00A30607"/>
    <w:rsid w:val="00A36D88"/>
    <w:rsid w:val="00A711B4"/>
    <w:rsid w:val="00A739B4"/>
    <w:rsid w:val="00A83414"/>
    <w:rsid w:val="00A92F32"/>
    <w:rsid w:val="00AB65AB"/>
    <w:rsid w:val="00AB6AC3"/>
    <w:rsid w:val="00AD1C6B"/>
    <w:rsid w:val="00AF5D75"/>
    <w:rsid w:val="00B0568C"/>
    <w:rsid w:val="00B16D6B"/>
    <w:rsid w:val="00B74446"/>
    <w:rsid w:val="00BE2352"/>
    <w:rsid w:val="00C00E49"/>
    <w:rsid w:val="00C02465"/>
    <w:rsid w:val="00C25DE1"/>
    <w:rsid w:val="00C66EEC"/>
    <w:rsid w:val="00CC2D24"/>
    <w:rsid w:val="00CD3D14"/>
    <w:rsid w:val="00CE0EAD"/>
    <w:rsid w:val="00D11F8D"/>
    <w:rsid w:val="00D15041"/>
    <w:rsid w:val="00D170EF"/>
    <w:rsid w:val="00D3358E"/>
    <w:rsid w:val="00D51D2E"/>
    <w:rsid w:val="00D6541C"/>
    <w:rsid w:val="00D6749E"/>
    <w:rsid w:val="00D72F20"/>
    <w:rsid w:val="00D75368"/>
    <w:rsid w:val="00DC13AB"/>
    <w:rsid w:val="00DE7817"/>
    <w:rsid w:val="00DF2217"/>
    <w:rsid w:val="00E31DDD"/>
    <w:rsid w:val="00E45691"/>
    <w:rsid w:val="00EB3B42"/>
    <w:rsid w:val="00EC19EB"/>
    <w:rsid w:val="00EC69B7"/>
    <w:rsid w:val="00ED36C5"/>
    <w:rsid w:val="00ED3E4B"/>
    <w:rsid w:val="00EF2A2B"/>
    <w:rsid w:val="00F26E56"/>
    <w:rsid w:val="00F43545"/>
    <w:rsid w:val="00F46A2B"/>
    <w:rsid w:val="00F46AD6"/>
    <w:rsid w:val="00F5342C"/>
    <w:rsid w:val="00F647CB"/>
    <w:rsid w:val="00F77C92"/>
    <w:rsid w:val="00F90328"/>
    <w:rsid w:val="00F97650"/>
    <w:rsid w:val="00FC0E14"/>
    <w:rsid w:val="00FC7481"/>
    <w:rsid w:val="019571EF"/>
    <w:rsid w:val="03321919"/>
    <w:rsid w:val="03B86720"/>
    <w:rsid w:val="04212517"/>
    <w:rsid w:val="04926B8C"/>
    <w:rsid w:val="04BF763A"/>
    <w:rsid w:val="04D853BF"/>
    <w:rsid w:val="050634BB"/>
    <w:rsid w:val="056734AE"/>
    <w:rsid w:val="0640211D"/>
    <w:rsid w:val="06652463"/>
    <w:rsid w:val="068738DC"/>
    <w:rsid w:val="06F13CCA"/>
    <w:rsid w:val="0733366A"/>
    <w:rsid w:val="077706A0"/>
    <w:rsid w:val="07B3183F"/>
    <w:rsid w:val="088D31A5"/>
    <w:rsid w:val="08C72F61"/>
    <w:rsid w:val="08EE635C"/>
    <w:rsid w:val="09385C0D"/>
    <w:rsid w:val="0AAB0D8C"/>
    <w:rsid w:val="0AFF31D8"/>
    <w:rsid w:val="0B676EAA"/>
    <w:rsid w:val="0C234E86"/>
    <w:rsid w:val="0C347989"/>
    <w:rsid w:val="0C8445EA"/>
    <w:rsid w:val="0E4D5BF9"/>
    <w:rsid w:val="0E5536F4"/>
    <w:rsid w:val="0EA92008"/>
    <w:rsid w:val="0EF44384"/>
    <w:rsid w:val="0F64150A"/>
    <w:rsid w:val="103D57A8"/>
    <w:rsid w:val="10764ADB"/>
    <w:rsid w:val="108C26F1"/>
    <w:rsid w:val="10BA0C23"/>
    <w:rsid w:val="10CE4B7C"/>
    <w:rsid w:val="112045B5"/>
    <w:rsid w:val="11435D1A"/>
    <w:rsid w:val="11D84431"/>
    <w:rsid w:val="1226169D"/>
    <w:rsid w:val="12545EDE"/>
    <w:rsid w:val="12A460C1"/>
    <w:rsid w:val="14636234"/>
    <w:rsid w:val="14656CFA"/>
    <w:rsid w:val="153A4D44"/>
    <w:rsid w:val="15594015"/>
    <w:rsid w:val="15C25EC0"/>
    <w:rsid w:val="16105F47"/>
    <w:rsid w:val="161D79D6"/>
    <w:rsid w:val="164E2FA7"/>
    <w:rsid w:val="167504A0"/>
    <w:rsid w:val="16974A35"/>
    <w:rsid w:val="16A24DCD"/>
    <w:rsid w:val="16DB7A1C"/>
    <w:rsid w:val="18C66D91"/>
    <w:rsid w:val="18F55DCD"/>
    <w:rsid w:val="19457673"/>
    <w:rsid w:val="19810570"/>
    <w:rsid w:val="19E10942"/>
    <w:rsid w:val="1A1678A4"/>
    <w:rsid w:val="1AE50BB5"/>
    <w:rsid w:val="1B082CE1"/>
    <w:rsid w:val="1B102545"/>
    <w:rsid w:val="1B4F1853"/>
    <w:rsid w:val="1BF45035"/>
    <w:rsid w:val="1C3A162C"/>
    <w:rsid w:val="1C79375C"/>
    <w:rsid w:val="1D712019"/>
    <w:rsid w:val="1D9B0F59"/>
    <w:rsid w:val="1DEC4A7C"/>
    <w:rsid w:val="1E3D18A3"/>
    <w:rsid w:val="1E44537B"/>
    <w:rsid w:val="1E4A0B4B"/>
    <w:rsid w:val="1EAD79D8"/>
    <w:rsid w:val="1EC824DA"/>
    <w:rsid w:val="1EED7447"/>
    <w:rsid w:val="1F6B68E4"/>
    <w:rsid w:val="20062BE0"/>
    <w:rsid w:val="20FB4647"/>
    <w:rsid w:val="221B61B2"/>
    <w:rsid w:val="232946B6"/>
    <w:rsid w:val="2349104A"/>
    <w:rsid w:val="235A6343"/>
    <w:rsid w:val="236F1CA6"/>
    <w:rsid w:val="237B50D3"/>
    <w:rsid w:val="23A931DE"/>
    <w:rsid w:val="24002495"/>
    <w:rsid w:val="243008D7"/>
    <w:rsid w:val="257D1C7A"/>
    <w:rsid w:val="26E1123A"/>
    <w:rsid w:val="27306AB2"/>
    <w:rsid w:val="279A6631"/>
    <w:rsid w:val="27A209C9"/>
    <w:rsid w:val="27DC2648"/>
    <w:rsid w:val="28173165"/>
    <w:rsid w:val="28571451"/>
    <w:rsid w:val="28814EFD"/>
    <w:rsid w:val="28A2567A"/>
    <w:rsid w:val="28EB1D4C"/>
    <w:rsid w:val="2A571894"/>
    <w:rsid w:val="2A6E3454"/>
    <w:rsid w:val="2AF7061B"/>
    <w:rsid w:val="2B08046F"/>
    <w:rsid w:val="2B6217C9"/>
    <w:rsid w:val="2B6C5576"/>
    <w:rsid w:val="2BAA609E"/>
    <w:rsid w:val="2C0D5807"/>
    <w:rsid w:val="2C241DB7"/>
    <w:rsid w:val="2C7212B2"/>
    <w:rsid w:val="2CAA3ED1"/>
    <w:rsid w:val="2CF61AA4"/>
    <w:rsid w:val="2D0D0A8A"/>
    <w:rsid w:val="2D6C5D01"/>
    <w:rsid w:val="2D877ABB"/>
    <w:rsid w:val="2DDD44FF"/>
    <w:rsid w:val="2F754550"/>
    <w:rsid w:val="2FE200C7"/>
    <w:rsid w:val="30C23E8A"/>
    <w:rsid w:val="31322DBE"/>
    <w:rsid w:val="31760420"/>
    <w:rsid w:val="318B0193"/>
    <w:rsid w:val="31C37A92"/>
    <w:rsid w:val="31CC30DA"/>
    <w:rsid w:val="320C5F9D"/>
    <w:rsid w:val="32EB1476"/>
    <w:rsid w:val="33D62126"/>
    <w:rsid w:val="347F4219"/>
    <w:rsid w:val="34CB0AD9"/>
    <w:rsid w:val="34CB527E"/>
    <w:rsid w:val="354F5EC4"/>
    <w:rsid w:val="35730847"/>
    <w:rsid w:val="362A7311"/>
    <w:rsid w:val="368876BA"/>
    <w:rsid w:val="368D0A96"/>
    <w:rsid w:val="369356F2"/>
    <w:rsid w:val="371F6402"/>
    <w:rsid w:val="37273B0A"/>
    <w:rsid w:val="376E53DF"/>
    <w:rsid w:val="388E38AC"/>
    <w:rsid w:val="38C8225A"/>
    <w:rsid w:val="38FA68B7"/>
    <w:rsid w:val="39CC052D"/>
    <w:rsid w:val="3A0E18DE"/>
    <w:rsid w:val="3A371445"/>
    <w:rsid w:val="3ABE582F"/>
    <w:rsid w:val="3B011F05"/>
    <w:rsid w:val="3B112BCB"/>
    <w:rsid w:val="3B8C4279"/>
    <w:rsid w:val="3CCC7F6C"/>
    <w:rsid w:val="3D211F38"/>
    <w:rsid w:val="3D791D75"/>
    <w:rsid w:val="3DBB7E2A"/>
    <w:rsid w:val="3E2A0093"/>
    <w:rsid w:val="3E8D2C8A"/>
    <w:rsid w:val="3F141D55"/>
    <w:rsid w:val="3F5C3B2E"/>
    <w:rsid w:val="3FB05F21"/>
    <w:rsid w:val="3FD05DB3"/>
    <w:rsid w:val="3FFD1B64"/>
    <w:rsid w:val="401A4DD8"/>
    <w:rsid w:val="4050500F"/>
    <w:rsid w:val="41BB5C8D"/>
    <w:rsid w:val="421E7386"/>
    <w:rsid w:val="42B577AE"/>
    <w:rsid w:val="42CC3630"/>
    <w:rsid w:val="441647C1"/>
    <w:rsid w:val="4436276D"/>
    <w:rsid w:val="446645EF"/>
    <w:rsid w:val="44D2693A"/>
    <w:rsid w:val="44FF3C0C"/>
    <w:rsid w:val="455053D7"/>
    <w:rsid w:val="45783F65"/>
    <w:rsid w:val="45C67B21"/>
    <w:rsid w:val="45FC3821"/>
    <w:rsid w:val="46D85D5E"/>
    <w:rsid w:val="46DD5122"/>
    <w:rsid w:val="47010AEE"/>
    <w:rsid w:val="47082521"/>
    <w:rsid w:val="476350EE"/>
    <w:rsid w:val="478163DF"/>
    <w:rsid w:val="479E2B03"/>
    <w:rsid w:val="47CF0F0F"/>
    <w:rsid w:val="4812704D"/>
    <w:rsid w:val="481926BB"/>
    <w:rsid w:val="48854AE9"/>
    <w:rsid w:val="48DF378B"/>
    <w:rsid w:val="49752230"/>
    <w:rsid w:val="4A116F4C"/>
    <w:rsid w:val="4A8649B9"/>
    <w:rsid w:val="4ABF34BD"/>
    <w:rsid w:val="4B205BAB"/>
    <w:rsid w:val="4B3D0D98"/>
    <w:rsid w:val="4CB84667"/>
    <w:rsid w:val="4CCA7EF7"/>
    <w:rsid w:val="4CE865CF"/>
    <w:rsid w:val="4DB150DA"/>
    <w:rsid w:val="4DC332C4"/>
    <w:rsid w:val="4E162E45"/>
    <w:rsid w:val="4E4B687C"/>
    <w:rsid w:val="4E68458B"/>
    <w:rsid w:val="4ECF01D3"/>
    <w:rsid w:val="4EFB0AA1"/>
    <w:rsid w:val="4F6E725F"/>
    <w:rsid w:val="4F7C5C31"/>
    <w:rsid w:val="4FED4F26"/>
    <w:rsid w:val="50545C48"/>
    <w:rsid w:val="51254398"/>
    <w:rsid w:val="517820A1"/>
    <w:rsid w:val="51A2208A"/>
    <w:rsid w:val="51BF6662"/>
    <w:rsid w:val="51C77754"/>
    <w:rsid w:val="51E657D3"/>
    <w:rsid w:val="51F54737"/>
    <w:rsid w:val="52090C35"/>
    <w:rsid w:val="52EB172B"/>
    <w:rsid w:val="5433402C"/>
    <w:rsid w:val="551B39E5"/>
    <w:rsid w:val="55290504"/>
    <w:rsid w:val="557C4A98"/>
    <w:rsid w:val="564B432E"/>
    <w:rsid w:val="56766719"/>
    <w:rsid w:val="5749059F"/>
    <w:rsid w:val="57F15F7C"/>
    <w:rsid w:val="58E81E30"/>
    <w:rsid w:val="591D0F09"/>
    <w:rsid w:val="5A7203F6"/>
    <w:rsid w:val="5A9E4E10"/>
    <w:rsid w:val="5B147761"/>
    <w:rsid w:val="5BE93EB7"/>
    <w:rsid w:val="5C0244DB"/>
    <w:rsid w:val="5C4E54A7"/>
    <w:rsid w:val="5C83637D"/>
    <w:rsid w:val="5E4140E5"/>
    <w:rsid w:val="5E6210AC"/>
    <w:rsid w:val="5E6654F6"/>
    <w:rsid w:val="5E753FF3"/>
    <w:rsid w:val="5EDB5F93"/>
    <w:rsid w:val="5F10533B"/>
    <w:rsid w:val="5F763060"/>
    <w:rsid w:val="5F7A1C50"/>
    <w:rsid w:val="5FFD464A"/>
    <w:rsid w:val="601C4AB5"/>
    <w:rsid w:val="60D34262"/>
    <w:rsid w:val="612754C0"/>
    <w:rsid w:val="61AE798F"/>
    <w:rsid w:val="620415F0"/>
    <w:rsid w:val="6287513D"/>
    <w:rsid w:val="6299419B"/>
    <w:rsid w:val="62EB0199"/>
    <w:rsid w:val="63147CC6"/>
    <w:rsid w:val="638E1826"/>
    <w:rsid w:val="63B70D7D"/>
    <w:rsid w:val="642301C1"/>
    <w:rsid w:val="64AA08E2"/>
    <w:rsid w:val="64E5047D"/>
    <w:rsid w:val="65561E98"/>
    <w:rsid w:val="656A3FF0"/>
    <w:rsid w:val="659155FE"/>
    <w:rsid w:val="65EA16D1"/>
    <w:rsid w:val="65F86510"/>
    <w:rsid w:val="66377F53"/>
    <w:rsid w:val="67930C1E"/>
    <w:rsid w:val="67C27CF0"/>
    <w:rsid w:val="68555D06"/>
    <w:rsid w:val="68792AA5"/>
    <w:rsid w:val="68CD3B37"/>
    <w:rsid w:val="69BD4C13"/>
    <w:rsid w:val="69EA16F3"/>
    <w:rsid w:val="6A507835"/>
    <w:rsid w:val="6B2F50E5"/>
    <w:rsid w:val="6BAD2A66"/>
    <w:rsid w:val="6BD7471D"/>
    <w:rsid w:val="6CE60C2C"/>
    <w:rsid w:val="6D464F33"/>
    <w:rsid w:val="6D6830E8"/>
    <w:rsid w:val="6DE44E65"/>
    <w:rsid w:val="6E5C5170"/>
    <w:rsid w:val="6E6B10E2"/>
    <w:rsid w:val="6E9A5523"/>
    <w:rsid w:val="6F1C0253"/>
    <w:rsid w:val="6F20019E"/>
    <w:rsid w:val="6F40256E"/>
    <w:rsid w:val="6F4230C6"/>
    <w:rsid w:val="6F467459"/>
    <w:rsid w:val="6FC6785F"/>
    <w:rsid w:val="70590C59"/>
    <w:rsid w:val="70867C2B"/>
    <w:rsid w:val="70E9188C"/>
    <w:rsid w:val="711D243B"/>
    <w:rsid w:val="71D135D1"/>
    <w:rsid w:val="72397125"/>
    <w:rsid w:val="726245AA"/>
    <w:rsid w:val="726B0346"/>
    <w:rsid w:val="72AE3C93"/>
    <w:rsid w:val="732D2C60"/>
    <w:rsid w:val="740C15B0"/>
    <w:rsid w:val="74315BCE"/>
    <w:rsid w:val="749047A8"/>
    <w:rsid w:val="749E3893"/>
    <w:rsid w:val="757E5B9F"/>
    <w:rsid w:val="763E3B27"/>
    <w:rsid w:val="76685F07"/>
    <w:rsid w:val="76B33626"/>
    <w:rsid w:val="76FB1C5E"/>
    <w:rsid w:val="780F33D2"/>
    <w:rsid w:val="79090AA4"/>
    <w:rsid w:val="79FA494C"/>
    <w:rsid w:val="7AA66432"/>
    <w:rsid w:val="7AA71D6B"/>
    <w:rsid w:val="7BA774D1"/>
    <w:rsid w:val="7BC82E8F"/>
    <w:rsid w:val="7BFE0223"/>
    <w:rsid w:val="7CA659DB"/>
    <w:rsid w:val="7D9A7679"/>
    <w:rsid w:val="7EC12F44"/>
    <w:rsid w:val="7F607D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rFonts w:eastAsia="黑体"/>
      <w:b/>
      <w:bCs/>
      <w:kern w:val="44"/>
      <w:sz w:val="32"/>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bCs/>
      <w:sz w:val="30"/>
      <w:szCs w:val="32"/>
    </w:rPr>
  </w:style>
  <w:style w:type="paragraph" w:styleId="4">
    <w:name w:val="heading 3"/>
    <w:basedOn w:val="1"/>
    <w:next w:val="1"/>
    <w:qFormat/>
    <w:uiPriority w:val="0"/>
    <w:pPr>
      <w:keepNext/>
      <w:keepLines/>
      <w:spacing w:before="260" w:after="260" w:line="415" w:lineRule="auto"/>
      <w:outlineLvl w:val="2"/>
    </w:pPr>
    <w:rPr>
      <w:rFonts w:eastAsia="黑体"/>
      <w:b/>
      <w:bCs/>
      <w:sz w:val="28"/>
      <w:szCs w:val="32"/>
    </w:rPr>
  </w:style>
  <w:style w:type="paragraph" w:styleId="5">
    <w:name w:val="heading 4"/>
    <w:basedOn w:val="1"/>
    <w:next w:val="1"/>
    <w:autoRedefine/>
    <w:unhideWhenUsed/>
    <w:qFormat/>
    <w:uiPriority w:val="0"/>
    <w:pPr>
      <w:keepNext/>
      <w:keepLines/>
      <w:spacing w:before="280" w:after="290" w:line="372" w:lineRule="auto"/>
      <w:outlineLvl w:val="3"/>
    </w:pPr>
    <w:rPr>
      <w:rFonts w:ascii="Arial" w:hAnsi="Arial" w:eastAsia="黑体"/>
      <w:b/>
      <w:sz w:val="28"/>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widowControl/>
      <w:ind w:left="425"/>
      <w:jc w:val="left"/>
    </w:pPr>
    <w:rPr>
      <w:kern w:val="0"/>
      <w:sz w:val="20"/>
      <w:szCs w:val="20"/>
      <w:lang w:eastAsia="en-US"/>
    </w:rPr>
  </w:style>
  <w:style w:type="paragraph" w:styleId="7">
    <w:name w:val="annotation text"/>
    <w:basedOn w:val="1"/>
    <w:link w:val="38"/>
    <w:autoRedefine/>
    <w:qFormat/>
    <w:uiPriority w:val="0"/>
    <w:pPr>
      <w:jc w:val="left"/>
    </w:pPr>
  </w:style>
  <w:style w:type="paragraph" w:styleId="8">
    <w:name w:val="Body Text"/>
    <w:basedOn w:val="1"/>
    <w:autoRedefine/>
    <w:qFormat/>
    <w:uiPriority w:val="0"/>
    <w:rPr>
      <w:color w:val="FF0000"/>
    </w:rPr>
  </w:style>
  <w:style w:type="paragraph" w:styleId="9">
    <w:name w:val="toc 3"/>
    <w:basedOn w:val="1"/>
    <w:next w:val="1"/>
    <w:autoRedefine/>
    <w:qFormat/>
    <w:uiPriority w:val="39"/>
    <w:pPr>
      <w:spacing w:line="360" w:lineRule="auto"/>
      <w:ind w:left="420"/>
      <w:jc w:val="left"/>
    </w:pPr>
    <w:rPr>
      <w:iCs/>
      <w:sz w:val="24"/>
      <w:szCs w:val="20"/>
    </w:rPr>
  </w:style>
  <w:style w:type="paragraph" w:styleId="10">
    <w:name w:val="Plain Text"/>
    <w:basedOn w:val="1"/>
    <w:link w:val="37"/>
    <w:autoRedefine/>
    <w:qFormat/>
    <w:uiPriority w:val="0"/>
    <w:rPr>
      <w:rFonts w:ascii="宋体" w:hAnsi="Courier New" w:cs="Courier New"/>
      <w:szCs w:val="21"/>
    </w:rPr>
  </w:style>
  <w:style w:type="paragraph" w:styleId="11">
    <w:name w:val="Balloon Text"/>
    <w:basedOn w:val="1"/>
    <w:link w:val="33"/>
    <w:autoRedefine/>
    <w:qFormat/>
    <w:uiPriority w:val="0"/>
    <w:rPr>
      <w:sz w:val="18"/>
      <w:szCs w:val="18"/>
    </w:rPr>
  </w:style>
  <w:style w:type="paragraph" w:styleId="12">
    <w:name w:val="footer"/>
    <w:basedOn w:val="1"/>
    <w:autoRedefine/>
    <w:qFormat/>
    <w:uiPriority w:val="99"/>
    <w:pPr>
      <w:tabs>
        <w:tab w:val="center" w:pos="4153"/>
        <w:tab w:val="right" w:pos="8306"/>
      </w:tabs>
      <w:snapToGrid w:val="0"/>
      <w:jc w:val="left"/>
    </w:pPr>
    <w:rPr>
      <w:sz w:val="18"/>
      <w:szCs w:val="18"/>
    </w:rPr>
  </w:style>
  <w:style w:type="paragraph" w:styleId="13">
    <w:name w:val="header"/>
    <w:basedOn w:val="1"/>
    <w:link w:val="34"/>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39"/>
    <w:pPr>
      <w:spacing w:before="120" w:after="120" w:line="360" w:lineRule="auto"/>
      <w:jc w:val="left"/>
    </w:pPr>
    <w:rPr>
      <w:b/>
      <w:bCs/>
      <w:caps/>
      <w:sz w:val="24"/>
      <w:szCs w:val="20"/>
    </w:rPr>
  </w:style>
  <w:style w:type="paragraph" w:styleId="15">
    <w:name w:val="toc 2"/>
    <w:basedOn w:val="1"/>
    <w:next w:val="1"/>
    <w:autoRedefine/>
    <w:qFormat/>
    <w:uiPriority w:val="39"/>
    <w:pPr>
      <w:spacing w:line="360" w:lineRule="auto"/>
      <w:ind w:left="210"/>
      <w:jc w:val="left"/>
    </w:pPr>
    <w:rPr>
      <w:smallCaps/>
      <w:sz w:val="24"/>
      <w:szCs w:val="20"/>
    </w:rPr>
  </w:style>
  <w:style w:type="paragraph" w:styleId="16">
    <w:name w:val="Body Text 2"/>
    <w:basedOn w:val="1"/>
    <w:autoRedefine/>
    <w:qFormat/>
    <w:uiPriority w:val="0"/>
    <w:pPr>
      <w:spacing w:line="280" w:lineRule="exact"/>
      <w:jc w:val="center"/>
    </w:pPr>
    <w:rPr>
      <w:rFonts w:ascii="宋体" w:hAnsi="宋体"/>
      <w:spacing w:val="-12"/>
      <w:sz w:val="24"/>
    </w:rPr>
  </w:style>
  <w:style w:type="paragraph" w:styleId="17">
    <w:name w:val="Normal (Web)"/>
    <w:basedOn w:val="1"/>
    <w:autoRedefine/>
    <w:qFormat/>
    <w:uiPriority w:val="0"/>
    <w:pPr>
      <w:spacing w:line="300" w:lineRule="auto"/>
    </w:pPr>
    <w:rPr>
      <w:sz w:val="24"/>
    </w:rPr>
  </w:style>
  <w:style w:type="paragraph" w:styleId="18">
    <w:name w:val="annotation subject"/>
    <w:basedOn w:val="7"/>
    <w:next w:val="7"/>
    <w:link w:val="39"/>
    <w:autoRedefine/>
    <w:qFormat/>
    <w:uiPriority w:val="0"/>
    <w:rPr>
      <w:b/>
      <w:bCs/>
    </w:rPr>
  </w:style>
  <w:style w:type="table" w:styleId="20">
    <w:name w:val="Table Grid"/>
    <w:basedOn w:val="1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autoRedefine/>
    <w:qFormat/>
    <w:uiPriority w:val="0"/>
    <w:rPr>
      <w:b/>
      <w:bCs/>
    </w:rPr>
  </w:style>
  <w:style w:type="character" w:styleId="23">
    <w:name w:val="page number"/>
    <w:basedOn w:val="21"/>
    <w:autoRedefine/>
    <w:qFormat/>
    <w:uiPriority w:val="0"/>
  </w:style>
  <w:style w:type="character" w:styleId="24">
    <w:name w:val="Hyperlink"/>
    <w:autoRedefine/>
    <w:qFormat/>
    <w:uiPriority w:val="99"/>
    <w:rPr>
      <w:color w:val="0000FF"/>
      <w:u w:val="single"/>
    </w:rPr>
  </w:style>
  <w:style w:type="character" w:styleId="25">
    <w:name w:val="annotation reference"/>
    <w:autoRedefine/>
    <w:qFormat/>
    <w:uiPriority w:val="0"/>
    <w:rPr>
      <w:sz w:val="21"/>
      <w:szCs w:val="21"/>
    </w:rPr>
  </w:style>
  <w:style w:type="paragraph" w:customStyle="1" w:styleId="26">
    <w:name w:val="_Style 3"/>
    <w:autoRedefine/>
    <w:qFormat/>
    <w:uiPriority w:val="0"/>
    <w:pPr>
      <w:widowControl w:val="0"/>
      <w:jc w:val="both"/>
    </w:pPr>
    <w:rPr>
      <w:rFonts w:ascii="Calibri" w:hAnsi="Calibri" w:eastAsia="宋体" w:cs="Times New Roman"/>
      <w:kern w:val="2"/>
      <w:sz w:val="21"/>
      <w:szCs w:val="22"/>
      <w:lang w:val="en-US" w:eastAsia="zh-CN" w:bidi="ar-SA"/>
    </w:rPr>
  </w:style>
  <w:style w:type="paragraph" w:styleId="27">
    <w:name w:val="List Paragraph"/>
    <w:basedOn w:val="1"/>
    <w:autoRedefine/>
    <w:qFormat/>
    <w:uiPriority w:val="99"/>
    <w:pPr>
      <w:ind w:firstLine="420" w:firstLineChars="200"/>
    </w:pPr>
  </w:style>
  <w:style w:type="paragraph" w:customStyle="1" w:styleId="28">
    <w:name w:val="表头文本"/>
    <w:basedOn w:val="1"/>
    <w:autoRedefine/>
    <w:qFormat/>
    <w:uiPriority w:val="0"/>
    <w:pPr>
      <w:autoSpaceDE w:val="0"/>
      <w:autoSpaceDN w:val="0"/>
      <w:adjustRightInd w:val="0"/>
      <w:jc w:val="center"/>
    </w:pPr>
    <w:rPr>
      <w:b/>
      <w:kern w:val="0"/>
      <w:sz w:val="24"/>
      <w:szCs w:val="20"/>
    </w:rPr>
  </w:style>
  <w:style w:type="paragraph" w:customStyle="1" w:styleId="29">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30">
    <w:name w:val="样式3"/>
    <w:basedOn w:val="10"/>
    <w:autoRedefine/>
    <w:qFormat/>
    <w:uiPriority w:val="0"/>
    <w:pPr>
      <w:spacing w:line="0" w:lineRule="atLeast"/>
      <w:outlineLvl w:val="0"/>
    </w:pPr>
    <w:rPr>
      <w:rFonts w:cs="Times New Roman"/>
      <w:sz w:val="28"/>
      <w:szCs w:val="20"/>
    </w:rPr>
  </w:style>
  <w:style w:type="paragraph" w:customStyle="1" w:styleId="31">
    <w:name w:val="Table Paragraph"/>
    <w:basedOn w:val="1"/>
    <w:autoRedefine/>
    <w:qFormat/>
    <w:uiPriority w:val="1"/>
    <w:pPr>
      <w:jc w:val="left"/>
    </w:pPr>
    <w:rPr>
      <w:rFonts w:ascii="Calibri" w:hAnsi="Calibri"/>
      <w:kern w:val="0"/>
      <w:sz w:val="22"/>
      <w:szCs w:val="22"/>
      <w:lang w:eastAsia="en-US"/>
    </w:rPr>
  </w:style>
  <w:style w:type="paragraph" w:customStyle="1" w:styleId="32">
    <w:name w:val="样式2"/>
    <w:basedOn w:val="12"/>
    <w:autoRedefine/>
    <w:qFormat/>
    <w:uiPriority w:val="0"/>
    <w:pPr>
      <w:ind w:right="360"/>
    </w:pPr>
    <w:rPr>
      <w:rFonts w:ascii="宋体" w:hAnsi="宋体"/>
      <w:sz w:val="21"/>
      <w:szCs w:val="21"/>
    </w:rPr>
  </w:style>
  <w:style w:type="character" w:customStyle="1" w:styleId="33">
    <w:name w:val="批注框文本 字符"/>
    <w:basedOn w:val="21"/>
    <w:link w:val="11"/>
    <w:autoRedefine/>
    <w:qFormat/>
    <w:uiPriority w:val="0"/>
    <w:rPr>
      <w:rFonts w:ascii="Times New Roman" w:hAnsi="Times New Roman"/>
      <w:kern w:val="2"/>
      <w:sz w:val="18"/>
      <w:szCs w:val="18"/>
    </w:rPr>
  </w:style>
  <w:style w:type="character" w:customStyle="1" w:styleId="34">
    <w:name w:val="页眉 字符"/>
    <w:basedOn w:val="21"/>
    <w:link w:val="13"/>
    <w:autoRedefine/>
    <w:qFormat/>
    <w:uiPriority w:val="0"/>
    <w:rPr>
      <w:rFonts w:ascii="Times New Roman" w:hAnsi="Times New Roman"/>
      <w:kern w:val="2"/>
      <w:sz w:val="18"/>
      <w:szCs w:val="18"/>
    </w:rPr>
  </w:style>
  <w:style w:type="paragraph" w:customStyle="1" w:styleId="35">
    <w:name w:val="Char Char1 Char"/>
    <w:basedOn w:val="1"/>
    <w:autoRedefine/>
    <w:qFormat/>
    <w:uiPriority w:val="0"/>
    <w:pPr>
      <w:spacing w:line="240" w:lineRule="atLeast"/>
      <w:ind w:left="420" w:firstLine="420"/>
    </w:pPr>
    <w:rPr>
      <w:szCs w:val="20"/>
    </w:rPr>
  </w:style>
  <w:style w:type="paragraph" w:customStyle="1" w:styleId="36">
    <w:name w:val="Char Char1 Char1"/>
    <w:basedOn w:val="1"/>
    <w:autoRedefine/>
    <w:qFormat/>
    <w:uiPriority w:val="0"/>
    <w:pPr>
      <w:spacing w:line="240" w:lineRule="atLeast"/>
      <w:ind w:left="420" w:firstLine="420"/>
    </w:pPr>
    <w:rPr>
      <w:szCs w:val="20"/>
    </w:rPr>
  </w:style>
  <w:style w:type="character" w:customStyle="1" w:styleId="37">
    <w:name w:val="纯文本 字符"/>
    <w:basedOn w:val="21"/>
    <w:link w:val="10"/>
    <w:autoRedefine/>
    <w:qFormat/>
    <w:uiPriority w:val="0"/>
    <w:rPr>
      <w:rFonts w:ascii="宋体" w:hAnsi="Courier New" w:cs="Courier New"/>
      <w:kern w:val="2"/>
      <w:sz w:val="21"/>
      <w:szCs w:val="21"/>
    </w:rPr>
  </w:style>
  <w:style w:type="character" w:customStyle="1" w:styleId="38">
    <w:name w:val="批注文字 字符"/>
    <w:basedOn w:val="21"/>
    <w:link w:val="7"/>
    <w:autoRedefine/>
    <w:qFormat/>
    <w:uiPriority w:val="0"/>
    <w:rPr>
      <w:kern w:val="2"/>
      <w:sz w:val="21"/>
      <w:szCs w:val="24"/>
    </w:rPr>
  </w:style>
  <w:style w:type="character" w:customStyle="1" w:styleId="39">
    <w:name w:val="批注主题 字符"/>
    <w:basedOn w:val="38"/>
    <w:link w:val="18"/>
    <w:autoRedefine/>
    <w:qFormat/>
    <w:uiPriority w:val="0"/>
    <w:rPr>
      <w:b/>
      <w:bCs/>
      <w:kern w:val="2"/>
      <w:sz w:val="21"/>
      <w:szCs w:val="24"/>
    </w:rPr>
  </w:style>
  <w:style w:type="paragraph" w:customStyle="1" w:styleId="40">
    <w:name w:val="Char Char1 Char2"/>
    <w:basedOn w:val="1"/>
    <w:autoRedefine/>
    <w:qFormat/>
    <w:uiPriority w:val="0"/>
    <w:pPr>
      <w:spacing w:line="240" w:lineRule="atLeast"/>
      <w:ind w:left="420" w:firstLine="420"/>
    </w:pPr>
    <w:rPr>
      <w:szCs w:val="20"/>
    </w:rPr>
  </w:style>
  <w:style w:type="paragraph" w:customStyle="1" w:styleId="41">
    <w:name w:val="null3"/>
    <w:autoRedefine/>
    <w:hidden/>
    <w:qFormat/>
    <w:uiPriority w:val="0"/>
    <w:rPr>
      <w:rFonts w:hint="eastAsia" w:asciiTheme="minorHAnsi" w:hAnsiTheme="minorHAnsi" w:eastAsiaTheme="minorEastAsia" w:cstheme="minorBidi"/>
      <w:lang w:val="en-US" w:eastAsia="zh-Hans" w:bidi="ar-SA"/>
    </w:rPr>
  </w:style>
  <w:style w:type="paragraph" w:customStyle="1" w:styleId="42">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86</Pages>
  <Words>34183</Words>
  <Characters>35311</Characters>
  <Lines>283</Lines>
  <Paragraphs>79</Paragraphs>
  <TotalTime>11</TotalTime>
  <ScaleCrop>false</ScaleCrop>
  <LinksUpToDate>false</LinksUpToDate>
  <CharactersWithSpaces>37669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2024-09-26T11:52:00Z</dcterms:created>
  <dc:creator>国贸物业招标办</dc:creator>
  <cp:lastModifiedBy>林璐</cp:lastModifiedBy>
  <dcterms:modified xsi:type="dcterms:W3CDTF">2024-11-20T01:22:39Z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1BDCA4F4F8074D5190C9BD56E917C152_13</vt:lpwstr>
  </property>
</Properties>
</file>