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151" w:firstLine="240"/>
        <w:jc w:val="left"/>
        <w:rPr>
          <w:rFonts w:ascii="宋体"/>
          <w:color w:val="000000" w:themeColor="text1"/>
          <w:sz w:val="24"/>
          <w14:textFill>
            <w14:solidFill>
              <w14:schemeClr w14:val="tx1"/>
            </w14:solidFill>
          </w14:textFill>
        </w:rPr>
      </w:pPr>
      <w:bookmarkStart w:id="0" w:name="_Toc157418350"/>
      <w:bookmarkStart w:id="1" w:name="_Toc178674763"/>
      <w:bookmarkStart w:id="2" w:name="_Toc163364646"/>
      <w:bookmarkStart w:id="3" w:name="_Toc165385343"/>
      <w:bookmarkStart w:id="4" w:name="_Toc157418557"/>
      <w:bookmarkStart w:id="5" w:name="_Toc32815540"/>
      <w:bookmarkStart w:id="6" w:name="_Toc125129292"/>
    </w:p>
    <w:p>
      <w:pPr>
        <w:spacing w:line="276" w:lineRule="auto"/>
        <w:ind w:left="-151" w:firstLine="240"/>
        <w:jc w:val="left"/>
        <w:rPr>
          <w:rFonts w:ascii="宋体"/>
          <w:color w:val="000000" w:themeColor="text1"/>
          <w:sz w:val="24"/>
          <w14:textFill>
            <w14:solidFill>
              <w14:schemeClr w14:val="tx1"/>
            </w14:solidFill>
          </w14:textFill>
        </w:rPr>
      </w:pPr>
    </w:p>
    <w:p>
      <w:pPr>
        <w:spacing w:line="276" w:lineRule="auto"/>
        <w:ind w:left="-151" w:firstLine="240"/>
        <w:jc w:val="left"/>
        <w:rPr>
          <w:rFonts w:hint="eastAsia" w:asciiTheme="majorEastAsia" w:hAnsiTheme="majorEastAsia" w:eastAsiaTheme="majorEastAsia"/>
          <w:color w:val="000000" w:themeColor="text1"/>
          <w:sz w:val="24"/>
          <w14:textFill>
            <w14:solidFill>
              <w14:schemeClr w14:val="tx1"/>
            </w14:solidFill>
          </w14:textFill>
        </w:rPr>
      </w:pPr>
    </w:p>
    <w:p>
      <w:pPr>
        <w:spacing w:line="276" w:lineRule="auto"/>
        <w:ind w:left="-151" w:firstLine="843"/>
        <w:jc w:val="center"/>
        <w:rPr>
          <w:rFonts w:hint="eastAsia" w:ascii="仿宋" w:hAnsi="仿宋" w:eastAsia="仿宋"/>
          <w:b/>
          <w:bCs/>
          <w:color w:val="000000" w:themeColor="text1"/>
          <w:sz w:val="84"/>
          <w:szCs w:val="84"/>
          <w:lang w:val="zh-CN"/>
          <w14:textFill>
            <w14:solidFill>
              <w14:schemeClr w14:val="tx1"/>
            </w14:solidFill>
          </w14:textFill>
        </w:rPr>
      </w:pPr>
      <w:r>
        <w:rPr>
          <w:rFonts w:hint="eastAsia" w:ascii="仿宋" w:hAnsi="仿宋" w:eastAsia="仿宋" w:cs="仿宋"/>
          <w:b/>
          <w:bCs/>
          <w:color w:val="000000" w:themeColor="text1"/>
          <w:sz w:val="84"/>
          <w:szCs w:val="84"/>
          <w:lang w:val="zh-CN"/>
          <w14:textFill>
            <w14:solidFill>
              <w14:schemeClr w14:val="tx1"/>
            </w14:solidFill>
          </w14:textFill>
        </w:rPr>
        <w:t>招标文件</w:t>
      </w:r>
    </w:p>
    <w:p>
      <w:pPr>
        <w:spacing w:line="276" w:lineRule="auto"/>
        <w:ind w:left="-151" w:firstLine="440"/>
        <w:jc w:val="center"/>
        <w:rPr>
          <w:rFonts w:hint="eastAsia" w:ascii="仿宋" w:hAnsi="仿宋" w:eastAsia="仿宋"/>
          <w:color w:val="000000" w:themeColor="text1"/>
          <w:sz w:val="44"/>
          <w:szCs w:val="44"/>
          <w14:textFill>
            <w14:solidFill>
              <w14:schemeClr w14:val="tx1"/>
            </w14:solidFill>
          </w14:textFill>
        </w:rPr>
      </w:pPr>
      <w:bookmarkStart w:id="7" w:name="_Toc342899794"/>
    </w:p>
    <w:p>
      <w:pPr>
        <w:spacing w:line="276" w:lineRule="auto"/>
        <w:ind w:left="-151" w:firstLine="440"/>
        <w:jc w:val="center"/>
        <w:rPr>
          <w:rFonts w:hint="eastAsia" w:ascii="仿宋" w:hAnsi="仿宋" w:eastAsia="仿宋"/>
          <w:color w:val="000000" w:themeColor="text1"/>
          <w:sz w:val="44"/>
          <w:szCs w:val="44"/>
          <w14:textFill>
            <w14:solidFill>
              <w14:schemeClr w14:val="tx1"/>
            </w14:solidFill>
          </w14:textFill>
        </w:rPr>
      </w:pPr>
    </w:p>
    <w:p>
      <w:pPr>
        <w:spacing w:line="276" w:lineRule="auto"/>
        <w:ind w:left="-151" w:firstLine="866" w:firstLineChars="196"/>
        <w:rPr>
          <w:rFonts w:hint="eastAsia" w:ascii="仿宋" w:hAnsi="仿宋" w:eastAsia="仿宋" w:cs="仿宋"/>
          <w:b/>
          <w:bCs/>
          <w:color w:val="000000" w:themeColor="text1"/>
          <w:sz w:val="44"/>
          <w:szCs w:val="44"/>
          <w:lang w:val="zh-CN"/>
          <w14:textFill>
            <w14:solidFill>
              <w14:schemeClr w14:val="tx1"/>
            </w14:solidFill>
          </w14:textFill>
        </w:rPr>
      </w:pPr>
      <w:r>
        <w:rPr>
          <w:rFonts w:hint="eastAsia" w:ascii="仿宋" w:hAnsi="仿宋" w:eastAsia="仿宋" w:cs="仿宋"/>
          <w:b/>
          <w:bCs/>
          <w:color w:val="000000" w:themeColor="text1"/>
          <w:sz w:val="44"/>
          <w:szCs w:val="44"/>
          <w:lang w:val="zh-CN"/>
          <w14:textFill>
            <w14:solidFill>
              <w14:schemeClr w14:val="tx1"/>
            </w14:solidFill>
          </w14:textFill>
        </w:rPr>
        <w:t>项目名称</w:t>
      </w:r>
      <w:bookmarkEnd w:id="7"/>
      <w:r>
        <w:rPr>
          <w:rFonts w:hint="eastAsia" w:ascii="仿宋" w:hAnsi="仿宋" w:eastAsia="仿宋" w:cs="仿宋"/>
          <w:b/>
          <w:bCs/>
          <w:color w:val="000000" w:themeColor="text1"/>
          <w:sz w:val="44"/>
          <w:szCs w:val="44"/>
          <w:lang w:val="zh-CN"/>
          <w14:textFill>
            <w14:solidFill>
              <w14:schemeClr w14:val="tx1"/>
            </w14:solidFill>
          </w14:textFill>
        </w:rPr>
        <w:t>：上海国贸鹭原保</w:t>
      </w:r>
      <w:r>
        <w:rPr>
          <w:rFonts w:hint="eastAsia" w:ascii="仿宋" w:hAnsi="仿宋" w:eastAsia="仿宋" w:cs="仿宋"/>
          <w:b/>
          <w:bCs/>
          <w:color w:val="000000" w:themeColor="text1"/>
          <w:sz w:val="44"/>
          <w:szCs w:val="44"/>
          <w14:textFill>
            <w14:solidFill>
              <w14:schemeClr w14:val="tx1"/>
            </w14:solidFill>
          </w14:textFill>
        </w:rPr>
        <w:t>安</w:t>
      </w:r>
      <w:r>
        <w:rPr>
          <w:rFonts w:hint="eastAsia" w:ascii="仿宋" w:hAnsi="仿宋" w:eastAsia="仿宋" w:cs="仿宋"/>
          <w:b/>
          <w:bCs/>
          <w:color w:val="000000" w:themeColor="text1"/>
          <w:sz w:val="44"/>
          <w:szCs w:val="44"/>
          <w:lang w:val="zh-CN"/>
          <w14:textFill>
            <w14:solidFill>
              <w14:schemeClr w14:val="tx1"/>
            </w14:solidFill>
          </w14:textFill>
        </w:rPr>
        <w:t>服务</w:t>
      </w:r>
    </w:p>
    <w:p>
      <w:pPr>
        <w:spacing w:line="276" w:lineRule="auto"/>
        <w:ind w:left="-151" w:firstLine="866" w:firstLineChars="196"/>
        <w:rPr>
          <w:rFonts w:hint="eastAsia" w:ascii="仿宋" w:hAnsi="仿宋" w:eastAsia="仿宋" w:cs="仿宋"/>
          <w:b/>
          <w:bCs/>
          <w:color w:val="000000" w:themeColor="text1"/>
          <w:sz w:val="44"/>
          <w:szCs w:val="44"/>
          <w:highlight w:val="yellow"/>
          <w:lang w:val="zh-CN"/>
          <w14:textFill>
            <w14:solidFill>
              <w14:schemeClr w14:val="tx1"/>
            </w14:solidFill>
          </w14:textFill>
        </w:rPr>
      </w:pPr>
    </w:p>
    <w:p>
      <w:pPr>
        <w:spacing w:line="276" w:lineRule="auto"/>
        <w:ind w:left="-151" w:firstLine="866" w:firstLineChars="196"/>
        <w:rPr>
          <w:rFonts w:hint="default" w:ascii="仿宋" w:hAnsi="仿宋" w:eastAsia="仿宋" w:cs="宋体"/>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zh-CN"/>
          <w14:textFill>
            <w14:solidFill>
              <w14:schemeClr w14:val="tx1"/>
            </w14:solidFill>
          </w14:textFill>
        </w:rPr>
        <w:t>项目编号：</w:t>
      </w:r>
      <w:r>
        <w:rPr>
          <w:rFonts w:hint="eastAsia" w:ascii="仿宋" w:hAnsi="仿宋" w:eastAsia="仿宋" w:cs="仿宋"/>
          <w:b/>
          <w:bCs/>
          <w:color w:val="000000" w:themeColor="text1"/>
          <w:sz w:val="44"/>
          <w:szCs w:val="44"/>
          <w:lang w:val="en-US" w:eastAsia="zh-CN"/>
          <w14:textFill>
            <w14:solidFill>
              <w14:schemeClr w14:val="tx1"/>
            </w14:solidFill>
          </w14:textFill>
        </w:rPr>
        <w:t>GMFW-2024-16</w:t>
      </w:r>
    </w:p>
    <w:p>
      <w:pPr>
        <w:pStyle w:val="10"/>
        <w:spacing w:line="360" w:lineRule="auto"/>
        <w:ind w:left="-151" w:firstLine="442"/>
        <w:rPr>
          <w:rFonts w:hint="eastAsia" w:ascii="仿宋" w:hAnsi="仿宋" w:eastAsia="仿宋" w:cs="Times New Roman"/>
          <w:b/>
          <w:bCs/>
          <w:color w:val="000000" w:themeColor="text1"/>
          <w:sz w:val="44"/>
          <w:szCs w:val="44"/>
          <w14:textFill>
            <w14:solidFill>
              <w14:schemeClr w14:val="tx1"/>
            </w14:solidFill>
          </w14:textFill>
        </w:rPr>
      </w:pPr>
    </w:p>
    <w:p>
      <w:pPr>
        <w:pStyle w:val="10"/>
        <w:spacing w:line="360" w:lineRule="auto"/>
        <w:ind w:left="-151" w:firstLine="866" w:firstLineChars="196"/>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lang w:val="zh-CN"/>
          <w14:textFill>
            <w14:solidFill>
              <w14:schemeClr w14:val="tx1"/>
            </w14:solidFill>
          </w14:textFill>
        </w:rPr>
        <w:t>招标人：厦门国贸城市服务集团股份有限公司</w:t>
      </w:r>
    </w:p>
    <w:p>
      <w:pPr>
        <w:spacing w:line="276" w:lineRule="auto"/>
        <w:ind w:left="-151" w:firstLine="1546" w:firstLineChars="350"/>
        <w:rPr>
          <w:rFonts w:hint="eastAsia" w:ascii="仿宋" w:hAnsi="仿宋" w:eastAsia="仿宋"/>
          <w:b/>
          <w:bCs/>
          <w:color w:val="000000" w:themeColor="text1"/>
          <w:sz w:val="44"/>
          <w:szCs w:val="44"/>
          <w:lang w:val="zh-CN"/>
          <w14:textFill>
            <w14:solidFill>
              <w14:schemeClr w14:val="tx1"/>
            </w14:solidFill>
          </w14:textFill>
        </w:rPr>
      </w:pPr>
    </w:p>
    <w:p>
      <w:pPr>
        <w:spacing w:line="276" w:lineRule="auto"/>
        <w:ind w:left="-151" w:firstLine="440"/>
        <w:jc w:val="center"/>
        <w:rPr>
          <w:rFonts w:hint="eastAsia" w:ascii="仿宋" w:hAnsi="仿宋" w:eastAsia="仿宋"/>
          <w:color w:val="000000" w:themeColor="text1"/>
          <w:sz w:val="44"/>
          <w:szCs w:val="44"/>
          <w14:textFill>
            <w14:solidFill>
              <w14:schemeClr w14:val="tx1"/>
            </w14:solidFill>
          </w14:textFill>
        </w:rPr>
      </w:pPr>
    </w:p>
    <w:p>
      <w:pPr>
        <w:spacing w:line="276" w:lineRule="auto"/>
        <w:ind w:left="-151" w:firstLine="440"/>
        <w:jc w:val="center"/>
        <w:rPr>
          <w:rFonts w:hint="eastAsia" w:ascii="仿宋" w:hAnsi="仿宋" w:eastAsia="仿宋"/>
          <w:color w:val="000000" w:themeColor="text1"/>
          <w:sz w:val="44"/>
          <w:szCs w:val="44"/>
          <w14:textFill>
            <w14:solidFill>
              <w14:schemeClr w14:val="tx1"/>
            </w14:solidFill>
          </w14:textFill>
        </w:rPr>
      </w:pPr>
    </w:p>
    <w:p>
      <w:pPr>
        <w:spacing w:line="276" w:lineRule="auto"/>
        <w:ind w:left="-151" w:firstLine="440"/>
        <w:jc w:val="center"/>
        <w:rPr>
          <w:rFonts w:hint="eastAsia" w:ascii="仿宋" w:hAnsi="仿宋" w:eastAsia="仿宋"/>
          <w:color w:val="000000" w:themeColor="text1"/>
          <w:sz w:val="44"/>
          <w:szCs w:val="44"/>
          <w14:textFill>
            <w14:solidFill>
              <w14:schemeClr w14:val="tx1"/>
            </w14:solidFill>
          </w14:textFill>
        </w:rPr>
      </w:pPr>
    </w:p>
    <w:p>
      <w:pPr>
        <w:spacing w:line="276" w:lineRule="auto"/>
        <w:ind w:left="-151" w:firstLine="442"/>
        <w:jc w:val="center"/>
        <w:rPr>
          <w:rFonts w:hint="eastAsia" w:ascii="仿宋" w:hAnsi="仿宋" w:eastAsia="仿宋" w:cs="仿宋"/>
          <w:b/>
          <w:bCs/>
          <w:color w:val="000000" w:themeColor="text1"/>
          <w:sz w:val="44"/>
          <w:szCs w:val="44"/>
          <w:lang w:val="zh-CN"/>
          <w14:textFill>
            <w14:solidFill>
              <w14:schemeClr w14:val="tx1"/>
            </w14:solidFill>
          </w14:textFill>
        </w:rPr>
      </w:pPr>
    </w:p>
    <w:p>
      <w:pPr>
        <w:spacing w:line="276" w:lineRule="auto"/>
        <w:ind w:left="-151" w:firstLine="442"/>
        <w:jc w:val="center"/>
        <w:rPr>
          <w:rFonts w:hint="eastAsia" w:ascii="仿宋" w:hAnsi="仿宋" w:eastAsia="仿宋" w:cs="仿宋"/>
          <w:b/>
          <w:bCs/>
          <w:color w:val="000000" w:themeColor="text1"/>
          <w:sz w:val="44"/>
          <w:szCs w:val="44"/>
          <w:lang w:val="zh-CN"/>
          <w14:textFill>
            <w14:solidFill>
              <w14:schemeClr w14:val="tx1"/>
            </w14:solidFill>
          </w14:textFill>
        </w:rPr>
      </w:pPr>
    </w:p>
    <w:p>
      <w:pPr>
        <w:spacing w:line="276" w:lineRule="auto"/>
        <w:rPr>
          <w:rFonts w:hint="eastAsia" w:ascii="仿宋" w:hAnsi="仿宋" w:eastAsia="仿宋" w:cs="仿宋"/>
          <w:b/>
          <w:bCs/>
          <w:color w:val="000000" w:themeColor="text1"/>
          <w:sz w:val="44"/>
          <w:szCs w:val="44"/>
          <w:lang w:val="zh-CN"/>
          <w14:textFill>
            <w14:solidFill>
              <w14:schemeClr w14:val="tx1"/>
            </w14:solidFill>
          </w14:textFill>
        </w:rPr>
      </w:pPr>
    </w:p>
    <w:p>
      <w:pPr>
        <w:spacing w:line="276" w:lineRule="auto"/>
        <w:ind w:left="-151" w:firstLine="442"/>
        <w:jc w:val="center"/>
        <w:rPr>
          <w:rFonts w:hint="eastAsia" w:ascii="仿宋" w:hAnsi="仿宋" w:eastAsia="仿宋" w:cs="仿宋"/>
          <w:b/>
          <w:bCs/>
          <w:color w:val="000000" w:themeColor="text1"/>
          <w:sz w:val="44"/>
          <w:szCs w:val="44"/>
          <w:lang w:val="zh-CN"/>
          <w14:textFill>
            <w14:solidFill>
              <w14:schemeClr w14:val="tx1"/>
            </w14:solidFill>
          </w14:textFill>
        </w:rPr>
      </w:pPr>
    </w:p>
    <w:p>
      <w:pPr>
        <w:spacing w:line="276" w:lineRule="auto"/>
        <w:ind w:left="-151" w:firstLine="442"/>
        <w:jc w:val="center"/>
        <w:rPr>
          <w:rFonts w:hint="eastAsia" w:ascii="仿宋" w:hAnsi="仿宋" w:eastAsia="仿宋" w:cs="仿宋"/>
          <w:b/>
          <w:bCs/>
          <w:color w:val="000000" w:themeColor="text1"/>
          <w:sz w:val="44"/>
          <w:szCs w:val="44"/>
          <w:lang w:val="zh-CN"/>
          <w14:textFill>
            <w14:solidFill>
              <w14:schemeClr w14:val="tx1"/>
            </w14:solidFill>
          </w14:textFill>
        </w:rPr>
      </w:pPr>
      <w:r>
        <w:rPr>
          <w:rFonts w:hint="eastAsia" w:ascii="仿宋" w:hAnsi="仿宋" w:eastAsia="仿宋" w:cs="仿宋"/>
          <w:b/>
          <w:bCs/>
          <w:color w:val="000000" w:themeColor="text1"/>
          <w:sz w:val="44"/>
          <w:szCs w:val="44"/>
          <w:lang w:val="zh-CN"/>
          <w14:textFill>
            <w14:solidFill>
              <w14:schemeClr w14:val="tx1"/>
            </w14:solidFill>
          </w14:textFill>
        </w:rPr>
        <w:t>厦门国贸城市服务集团股份有限公司</w:t>
      </w:r>
    </w:p>
    <w:p>
      <w:pPr>
        <w:pStyle w:val="26"/>
        <w:rPr>
          <w:rFonts w:hint="eastAsia" w:ascii="仿宋" w:hAnsi="仿宋" w:eastAsia="仿宋"/>
          <w:color w:val="000000" w:themeColor="text1"/>
          <w:sz w:val="44"/>
          <w:szCs w:val="44"/>
          <w14:textFill>
            <w14:solidFill>
              <w14:schemeClr w14:val="tx1"/>
            </w14:solidFill>
          </w14:textFill>
        </w:rPr>
      </w:pPr>
    </w:p>
    <w:p>
      <w:pPr>
        <w:spacing w:line="276" w:lineRule="auto"/>
        <w:ind w:left="-151" w:firstLine="442"/>
        <w:jc w:val="center"/>
        <w:rPr>
          <w:rFonts w:hint="eastAsia" w:ascii="仿宋" w:hAnsi="仿宋" w:eastAsia="仿宋" w:cs="宋体"/>
          <w:b/>
          <w:bCs/>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2</w:t>
      </w:r>
      <w:r>
        <w:rPr>
          <w:rFonts w:ascii="仿宋" w:hAnsi="仿宋" w:eastAsia="仿宋"/>
          <w:b/>
          <w:color w:val="000000" w:themeColor="text1"/>
          <w:sz w:val="44"/>
          <w:szCs w:val="44"/>
          <w14:textFill>
            <w14:solidFill>
              <w14:schemeClr w14:val="tx1"/>
            </w14:solidFill>
          </w14:textFill>
        </w:rPr>
        <w:t>02</w:t>
      </w:r>
      <w:r>
        <w:rPr>
          <w:rFonts w:hint="eastAsia" w:ascii="仿宋" w:hAnsi="仿宋" w:eastAsia="仿宋"/>
          <w:b/>
          <w:color w:val="000000" w:themeColor="text1"/>
          <w:sz w:val="44"/>
          <w:szCs w:val="44"/>
          <w14:textFill>
            <w14:solidFill>
              <w14:schemeClr w14:val="tx1"/>
            </w14:solidFill>
          </w14:textFill>
        </w:rPr>
        <w:t>4年</w:t>
      </w:r>
      <w:r>
        <w:rPr>
          <w:rFonts w:hint="eastAsia" w:ascii="仿宋" w:hAnsi="仿宋" w:eastAsia="仿宋"/>
          <w:b/>
          <w:color w:val="000000" w:themeColor="text1"/>
          <w:sz w:val="44"/>
          <w:szCs w:val="44"/>
          <w:lang w:val="en-US" w:eastAsia="zh-CN"/>
          <w14:textFill>
            <w14:solidFill>
              <w14:schemeClr w14:val="tx1"/>
            </w14:solidFill>
          </w14:textFill>
        </w:rPr>
        <w:t>10</w:t>
      </w:r>
      <w:r>
        <w:rPr>
          <w:rFonts w:hint="eastAsia" w:ascii="仿宋" w:hAnsi="仿宋" w:eastAsia="仿宋"/>
          <w:b/>
          <w:color w:val="000000" w:themeColor="text1"/>
          <w:sz w:val="44"/>
          <w:szCs w:val="44"/>
          <w14:textFill>
            <w14:solidFill>
              <w14:schemeClr w14:val="tx1"/>
            </w14:solidFill>
          </w14:textFill>
        </w:rPr>
        <w:t>月</w:t>
      </w:r>
    </w:p>
    <w:p>
      <w:pPr>
        <w:pStyle w:val="17"/>
        <w:shd w:val="clear" w:color="auto" w:fill="FFFFFF"/>
        <w:spacing w:line="600" w:lineRule="atLeast"/>
        <w:ind w:left="0" w:firstLine="0"/>
        <w:rPr>
          <w:rFonts w:hint="eastAsia" w:asciiTheme="majorEastAsia" w:hAnsiTheme="majorEastAsia" w:eastAsiaTheme="majorEastAsia"/>
          <w:color w:val="000000" w:themeColor="text1"/>
          <w:sz w:val="36"/>
          <w:szCs w:val="36"/>
          <w14:textFill>
            <w14:solidFill>
              <w14:schemeClr w14:val="tx1"/>
            </w14:solidFill>
          </w14:textFill>
        </w:rPr>
      </w:pPr>
    </w:p>
    <w:p>
      <w:pPr>
        <w:pStyle w:val="10"/>
        <w:spacing w:line="360" w:lineRule="auto"/>
        <w:ind w:left="-151" w:firstLine="281"/>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目    录</w:t>
      </w:r>
      <w:bookmarkEnd w:id="0"/>
      <w:bookmarkEnd w:id="1"/>
      <w:bookmarkEnd w:id="2"/>
      <w:bookmarkEnd w:id="3"/>
      <w:bookmarkEnd w:id="4"/>
    </w:p>
    <w:p>
      <w:pPr>
        <w:pStyle w:val="14"/>
        <w:tabs>
          <w:tab w:val="right" w:leader="dot" w:pos="9639"/>
        </w:tabs>
        <w:rPr>
          <w:color w:val="000000" w:themeColor="text1"/>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TOC \o "1-3" \h \z \u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_Toc8467 </w:instrText>
      </w:r>
      <w:r>
        <w:rPr>
          <w:rFonts w:ascii="仿宋" w:hAnsi="仿宋" w:eastAsia="仿宋"/>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第一章　招标公</w:t>
      </w:r>
      <w:r>
        <w:rPr>
          <w:rFonts w:hint="eastAsia"/>
          <w:color w:val="000000" w:themeColor="text1"/>
          <w:lang w:val="en-US" w:eastAsia="zh-CN"/>
          <w14:textFill>
            <w14:solidFill>
              <w14:schemeClr w14:val="tx1"/>
            </w14:solidFill>
          </w14:textFill>
        </w:rPr>
        <w:t>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4"/>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_Toc24599 </w:instrText>
      </w:r>
      <w:r>
        <w:rPr>
          <w:rFonts w:ascii="仿宋" w:hAnsi="仿宋" w:eastAsia="仿宋"/>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附：招标项目一览表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4"/>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_Toc7087 </w:instrText>
      </w:r>
      <w:r>
        <w:rPr>
          <w:rFonts w:ascii="仿宋" w:hAnsi="仿宋" w:eastAsia="仿宋"/>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_Toc19884 </w:instrText>
      </w:r>
      <w:r>
        <w:rPr>
          <w:rFonts w:ascii="仿宋" w:hAnsi="仿宋" w:eastAsia="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_Toc23895 </w:instrText>
      </w:r>
      <w:r>
        <w:rPr>
          <w:rFonts w:ascii="仿宋" w:hAnsi="仿宋" w:eastAsia="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2. </w:t>
      </w:r>
      <w:r>
        <w:rPr>
          <w:rFonts w:hint="eastAsia" w:ascii="仿宋" w:hAnsi="仿宋" w:eastAsia="仿宋"/>
          <w:color w:val="000000" w:themeColor="text1"/>
          <w14:textFill>
            <w14:solidFill>
              <w14:schemeClr w14:val="tx1"/>
            </w14:solidFill>
          </w14:textFill>
        </w:rPr>
        <w:t>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_Toc414 </w:instrText>
      </w:r>
      <w:r>
        <w:rPr>
          <w:rFonts w:ascii="仿宋" w:hAnsi="仿宋" w:eastAsia="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3. </w:t>
      </w:r>
      <w:r>
        <w:rPr>
          <w:rFonts w:hint="eastAsia" w:ascii="仿宋" w:hAnsi="仿宋" w:eastAsia="仿宋"/>
          <w:color w:val="000000" w:themeColor="text1"/>
          <w14:textFill>
            <w14:solidFill>
              <w14:schemeClr w14:val="tx1"/>
            </w14:solidFill>
          </w14:textFill>
        </w:rPr>
        <w:t>合格的投标人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_Toc3687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4</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 xml:space="preserve"> 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_Toc24801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第二节  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_Toc3552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5</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_Toc11472 </w:instrText>
      </w:r>
      <w:r>
        <w:rPr>
          <w:rFonts w:ascii="仿宋" w:hAnsi="仿宋" w:eastAsia="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6. 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_Toc25763 </w:instrText>
      </w:r>
      <w:r>
        <w:rPr>
          <w:rFonts w:ascii="仿宋" w:hAnsi="仿宋" w:eastAsia="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7. </w:t>
      </w:r>
      <w:r>
        <w:rPr>
          <w:rFonts w:hint="eastAsia" w:ascii="仿宋" w:hAnsi="仿宋" w:eastAsia="仿宋"/>
          <w:color w:val="000000" w:themeColor="text1"/>
          <w14:textFill>
            <w14:solidFill>
              <w14:schemeClr w14:val="tx1"/>
            </w14:solidFill>
          </w14:textFill>
        </w:rPr>
        <w:t>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_Toc11248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第三节  投标文件的编写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_Toc17321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8</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_Toc17872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9</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_Toc27857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10</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_Toc4894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_Toc9014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12. 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_Toc11042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13</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投标文件的格式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_Toc26419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第四节  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_Toc566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14. 投标文件的密封、标记和递交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_Toc9080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第五节  投标文件的评估和比较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_Toc2306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15．开标、评标时间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_Toc23522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16．评标委员会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_Toc31355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17</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投标文件的初审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_Toc13297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18.评标办法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_Toc30458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18.1 具体的评标标准（评标办法）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_Toc30458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_Toc4626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19. 投标文件的澄清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_Toc4626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- 27 -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_Toc15586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20. 比较与评价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- 27 -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_Toc3609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第六节 定标与签订合同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- 28 -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_Toc5043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21</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 xml:space="preserve"> 定标准则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- 28 -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_Toc3223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- 28 -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9"/>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_Toc25726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23.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- 28 -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4"/>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_Toc13823 </w:instrText>
      </w:r>
      <w:r>
        <w:rPr>
          <w:rFonts w:ascii="仿宋" w:hAnsi="仿宋" w:eastAsia="仿宋"/>
          <w:color w:val="000000" w:themeColor="text1"/>
          <w:szCs w:val="28"/>
          <w14:textFill>
            <w14:solidFill>
              <w14:schemeClr w14:val="tx1"/>
            </w14:solidFill>
          </w14:textFill>
        </w:rPr>
        <w:fldChar w:fldCharType="separate"/>
      </w:r>
      <w:r>
        <w:rPr>
          <w:rFonts w:hint="eastAsia"/>
          <w:color w:val="000000" w:themeColor="text1"/>
          <w:szCs w:val="32"/>
          <w14:textFill>
            <w14:solidFill>
              <w14:schemeClr w14:val="tx1"/>
            </w14:solidFill>
          </w14:textFill>
        </w:rPr>
        <w:t>第三章　招标内容及要求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- 30 -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_Toc4876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第一节 招标项目需求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- 30 -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_Toc12201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第二节</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商务技术响应要求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5"/>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_Toc1340 </w:instrText>
      </w:r>
      <w:r>
        <w:rPr>
          <w:rFonts w:ascii="仿宋" w:hAnsi="仿宋" w:eastAsia="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第三节 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- 34 -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4"/>
        <w:tabs>
          <w:tab w:val="right" w:leader="dot" w:pos="9639"/>
        </w:tabs>
        <w:rPr>
          <w:color w:val="000000" w:themeColor="text1"/>
          <w14:textFill>
            <w14:solidFill>
              <w14:schemeClr w14:val="tx1"/>
            </w14:solidFill>
          </w14:textFill>
        </w:rPr>
      </w:pPr>
      <w:r>
        <w:rPr>
          <w:rFonts w:ascii="仿宋" w:hAnsi="仿宋" w:eastAsia="仿宋"/>
          <w:color w:val="000000" w:themeColor="text1"/>
          <w:szCs w:val="28"/>
          <w14:textFill>
            <w14:solidFill>
              <w14:schemeClr w14:val="tx1"/>
            </w14:solidFill>
          </w14:textFill>
        </w:rPr>
        <w:fldChar w:fldCharType="begin"/>
      </w:r>
      <w:r>
        <w:rPr>
          <w:rFonts w:ascii="仿宋" w:hAnsi="仿宋" w:eastAsia="仿宋"/>
          <w:color w:val="000000" w:themeColor="text1"/>
          <w:szCs w:val="28"/>
          <w14:textFill>
            <w14:solidFill>
              <w14:schemeClr w14:val="tx1"/>
            </w14:solidFill>
          </w14:textFill>
        </w:rPr>
        <w:instrText xml:space="preserve"> HYPERLINK \l _Toc28211 </w:instrText>
      </w:r>
      <w:r>
        <w:rPr>
          <w:rFonts w:ascii="仿宋" w:hAnsi="仿宋" w:eastAsia="仿宋"/>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第四章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- 36 -</w:t>
      </w:r>
      <w:r>
        <w:rPr>
          <w:color w:val="000000" w:themeColor="text1"/>
          <w14:textFill>
            <w14:solidFill>
              <w14:schemeClr w14:val="tx1"/>
            </w14:solidFill>
          </w14:textFill>
        </w:rPr>
        <w:fldChar w:fldCharType="end"/>
      </w:r>
      <w:r>
        <w:rPr>
          <w:rFonts w:ascii="仿宋" w:hAnsi="仿宋" w:eastAsia="仿宋"/>
          <w:color w:val="000000" w:themeColor="text1"/>
          <w:szCs w:val="28"/>
          <w14:textFill>
            <w14:solidFill>
              <w14:schemeClr w14:val="tx1"/>
            </w14:solidFill>
          </w14:textFill>
        </w:rPr>
        <w:fldChar w:fldCharType="end"/>
      </w:r>
    </w:p>
    <w:p>
      <w:pPr>
        <w:pStyle w:val="14"/>
        <w:tabs>
          <w:tab w:val="right" w:leader="dot" w:pos="9061"/>
        </w:tabs>
        <w:ind w:left="-151" w:firstLine="281"/>
        <w:rPr>
          <w:rFonts w:hint="eastAsia" w:ascii="仿宋" w:hAnsi="仿宋" w:eastAsia="仿宋" w:cs="仿宋"/>
          <w:bCs w:val="0"/>
          <w:color w:val="000000" w:themeColor="text1"/>
          <w:kern w:val="0"/>
          <w:sz w:val="28"/>
          <w:szCs w:val="28"/>
          <w14:textFill>
            <w14:solidFill>
              <w14:schemeClr w14:val="tx1"/>
            </w14:solidFill>
          </w14:textFill>
        </w:rPr>
        <w:sectPr>
          <w:pgSz w:w="11907" w:h="16840"/>
          <w:pgMar w:top="1134" w:right="1134" w:bottom="1134" w:left="1134" w:header="857" w:footer="998" w:gutter="0"/>
          <w:cols w:space="0" w:num="1"/>
          <w:docGrid w:linePitch="286" w:charSpace="0"/>
        </w:sectPr>
      </w:pPr>
      <w:r>
        <w:rPr>
          <w:rFonts w:ascii="仿宋" w:hAnsi="仿宋" w:eastAsia="仿宋"/>
          <w:color w:val="000000" w:themeColor="text1"/>
          <w:sz w:val="28"/>
          <w:szCs w:val="28"/>
          <w14:textFill>
            <w14:solidFill>
              <w14:schemeClr w14:val="tx1"/>
            </w14:solidFill>
          </w14:textFill>
        </w:rPr>
        <w:fldChar w:fldCharType="end"/>
      </w:r>
      <w:bookmarkStart w:id="8" w:name="_Toc51489303"/>
    </w:p>
    <w:p>
      <w:pPr>
        <w:pStyle w:val="2"/>
        <w:ind w:left="-151" w:firstLine="321"/>
        <w:jc w:val="center"/>
        <w:rPr>
          <w:rFonts w:hint="eastAsia" w:eastAsia="仿宋"/>
          <w:color w:val="000000" w:themeColor="text1"/>
          <w:lang w:val="en-US" w:eastAsia="zh-CN"/>
          <w14:textFill>
            <w14:solidFill>
              <w14:schemeClr w14:val="tx1"/>
            </w14:solidFill>
          </w14:textFill>
        </w:rPr>
      </w:pPr>
      <w:bookmarkStart w:id="9" w:name="_Toc12760"/>
      <w:bookmarkStart w:id="10" w:name="_Toc31121"/>
      <w:bookmarkStart w:id="11" w:name="_Toc3518"/>
      <w:bookmarkStart w:id="12" w:name="_Toc26070"/>
      <w:bookmarkStart w:id="13" w:name="_Toc10405"/>
      <w:bookmarkStart w:id="14" w:name="_Toc13181"/>
      <w:bookmarkStart w:id="15" w:name="_Toc2482"/>
      <w:bookmarkStart w:id="16" w:name="_Toc1799"/>
      <w:bookmarkStart w:id="17" w:name="_Toc8467"/>
      <w:r>
        <w:rPr>
          <w:rFonts w:hint="eastAsia"/>
          <w:color w:val="000000" w:themeColor="text1"/>
          <w14:textFill>
            <w14:solidFill>
              <w14:schemeClr w14:val="tx1"/>
            </w14:solidFill>
          </w14:textFill>
        </w:rPr>
        <w:t>第一章　</w:t>
      </w:r>
      <w:bookmarkEnd w:id="9"/>
      <w:bookmarkEnd w:id="10"/>
      <w:bookmarkEnd w:id="11"/>
      <w:bookmarkEnd w:id="12"/>
      <w:bookmarkEnd w:id="13"/>
      <w:r>
        <w:rPr>
          <w:rFonts w:hint="eastAsia"/>
          <w:color w:val="000000" w:themeColor="text1"/>
          <w14:textFill>
            <w14:solidFill>
              <w14:schemeClr w14:val="tx1"/>
            </w14:solidFill>
          </w14:textFill>
        </w:rPr>
        <w:t>招标公</w:t>
      </w:r>
      <w:bookmarkEnd w:id="14"/>
      <w:r>
        <w:rPr>
          <w:rFonts w:hint="eastAsia"/>
          <w:color w:val="000000" w:themeColor="text1"/>
          <w:lang w:val="en-US" w:eastAsia="zh-CN"/>
          <w14:textFill>
            <w14:solidFill>
              <w14:schemeClr w14:val="tx1"/>
            </w14:solidFill>
          </w14:textFill>
        </w:rPr>
        <w:t>告</w:t>
      </w:r>
      <w:bookmarkEnd w:id="15"/>
      <w:bookmarkEnd w:id="16"/>
      <w:bookmarkEnd w:id="17"/>
    </w:p>
    <w:p>
      <w:pPr>
        <w:pStyle w:val="17"/>
        <w:shd w:val="clear" w:color="auto" w:fill="FFFFFF"/>
        <w:spacing w:after="120" w:afterLines="50"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厦门国贸城市服务集团股份有限公司为保证管辖项目上海国贸鹭原的整体形象，进一步做好安保管理与服务，落实各项生产安全和消防安全防范措施，现</w:t>
      </w:r>
      <w:r>
        <w:rPr>
          <w:rFonts w:hint="eastAsia" w:ascii="仿宋" w:hAnsi="仿宋" w:eastAsia="仿宋"/>
          <w:color w:val="000000" w:themeColor="text1"/>
          <w:sz w:val="32"/>
          <w:szCs w:val="32"/>
          <w14:textFill>
            <w14:solidFill>
              <w14:schemeClr w14:val="tx1"/>
            </w14:solidFill>
          </w14:textFill>
        </w:rPr>
        <w:t>对此项目保安服务进行公开招标</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bCs/>
          <w:color w:val="000000" w:themeColor="text1"/>
          <w:sz w:val="32"/>
          <w:szCs w:val="32"/>
          <w:lang w:val="zh-CN"/>
          <w14:textFill>
            <w14:solidFill>
              <w14:schemeClr w14:val="tx1"/>
            </w14:solidFill>
          </w14:textFill>
        </w:rPr>
        <w:t>欢迎符合资格、专业的公司参加投标。</w:t>
      </w:r>
    </w:p>
    <w:p>
      <w:pPr>
        <w:pStyle w:val="17"/>
        <w:shd w:val="clear" w:color="auto" w:fill="FFFFFF"/>
        <w:spacing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若有意参加此次招标，请自行在本网站</w:t>
      </w:r>
      <w:r>
        <w:rPr>
          <w:rFonts w:ascii="仿宋" w:hAnsi="仿宋" w:eastAsia="仿宋" w:cs="仿宋"/>
          <w:color w:val="000000" w:themeColor="text1"/>
          <w:kern w:val="0"/>
          <w:sz w:val="32"/>
          <w:szCs w:val="32"/>
          <w14:textFill>
            <w14:solidFill>
              <w14:schemeClr w14:val="tx1"/>
            </w14:solidFill>
          </w14:textFill>
        </w:rPr>
        <w:t>下载</w:t>
      </w:r>
      <w:r>
        <w:rPr>
          <w:rFonts w:hint="eastAsia" w:ascii="仿宋" w:hAnsi="仿宋" w:eastAsia="仿宋" w:cs="仿宋"/>
          <w:color w:val="000000" w:themeColor="text1"/>
          <w:kern w:val="0"/>
          <w:sz w:val="32"/>
          <w:szCs w:val="32"/>
          <w14:textFill>
            <w14:solidFill>
              <w14:schemeClr w14:val="tx1"/>
            </w14:solidFill>
          </w14:textFill>
        </w:rPr>
        <w:t>招标文件，此次招标的截标时间为2024年10月</w:t>
      </w:r>
      <w:r>
        <w:rPr>
          <w:rFonts w:hint="eastAsia" w:ascii="仿宋" w:hAnsi="仿宋" w:eastAsia="仿宋" w:cs="仿宋"/>
          <w:color w:val="000000" w:themeColor="text1"/>
          <w:kern w:val="0"/>
          <w:sz w:val="32"/>
          <w:szCs w:val="32"/>
          <w:lang w:val="en-US" w:eastAsia="zh-CN"/>
          <w14:textFill>
            <w14:solidFill>
              <w14:schemeClr w14:val="tx1"/>
            </w14:solidFill>
          </w14:textFill>
        </w:rPr>
        <w:t>18</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14:textFill>
            <w14:solidFill>
              <w14:schemeClr w14:val="tx1"/>
            </w14:solidFill>
          </w14:textFill>
        </w:rPr>
        <w:t>2024年10月</w:t>
      </w:r>
      <w:r>
        <w:rPr>
          <w:rFonts w:hint="eastAsia" w:ascii="仿宋" w:hAnsi="仿宋" w:eastAsia="仿宋" w:cs="仿宋"/>
          <w:color w:val="000000" w:themeColor="text1"/>
          <w:kern w:val="0"/>
          <w:sz w:val="32"/>
          <w:szCs w:val="32"/>
          <w:lang w:val="en-US" w:eastAsia="zh-CN"/>
          <w14:textFill>
            <w14:solidFill>
              <w14:schemeClr w14:val="tx1"/>
            </w14:solidFill>
          </w14:textFill>
        </w:rPr>
        <w:t>18</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前将投标文件正本一份，副本一份，电子版一份（U盘介质）提交到招标人处，在此时点之后送达的投标文件恕不接受。</w:t>
      </w:r>
    </w:p>
    <w:p>
      <w:pPr>
        <w:spacing w:line="500" w:lineRule="exact"/>
        <w:ind w:left="-151"/>
        <w:rPr>
          <w:rFonts w:hint="eastAsia" w:ascii="仿宋" w:hAnsi="仿宋" w:eastAsia="仿宋" w:cs="仿宋"/>
          <w:color w:val="000000" w:themeColor="text1"/>
          <w:kern w:val="0"/>
          <w:sz w:val="32"/>
          <w:szCs w:val="32"/>
          <w14:textFill>
            <w14:solidFill>
              <w14:schemeClr w14:val="tx1"/>
            </w14:solidFill>
          </w14:textFill>
        </w:rPr>
      </w:pPr>
    </w:p>
    <w:p>
      <w:pPr>
        <w:spacing w:line="500" w:lineRule="exact"/>
        <w:ind w:left="-151"/>
        <w:rPr>
          <w:rFonts w:hint="eastAsia" w:ascii="仿宋" w:hAnsi="仿宋" w:eastAsia="仿宋" w:cs="仿宋"/>
          <w:color w:val="000000" w:themeColor="text1"/>
          <w:kern w:val="0"/>
          <w:sz w:val="32"/>
          <w:szCs w:val="32"/>
          <w14:textFill>
            <w14:solidFill>
              <w14:schemeClr w14:val="tx1"/>
            </w14:solidFill>
          </w14:textFill>
        </w:rPr>
      </w:pPr>
    </w:p>
    <w:p>
      <w:pPr>
        <w:spacing w:line="360" w:lineRule="auto"/>
        <w:ind w:left="-151"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招标人：</w:t>
      </w: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w:t>
      </w:r>
    </w:p>
    <w:p>
      <w:pPr>
        <w:spacing w:line="360" w:lineRule="auto"/>
        <w:ind w:left="-151"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联系地址：</w:t>
      </w:r>
      <w:r>
        <w:rPr>
          <w:rFonts w:hint="eastAsia" w:ascii="仿宋" w:hAnsi="仿宋" w:eastAsia="仿宋" w:cs="仿宋"/>
          <w:color w:val="000000" w:themeColor="text1"/>
          <w:kern w:val="0"/>
          <w:sz w:val="32"/>
          <w:szCs w:val="32"/>
          <w14:textFill>
            <w14:solidFill>
              <w14:schemeClr w14:val="tx1"/>
            </w14:solidFill>
          </w14:textFill>
        </w:rPr>
        <w:t>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360" w:lineRule="auto"/>
        <w:ind w:left="-151"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联系人：</w:t>
      </w:r>
      <w:r>
        <w:rPr>
          <w:rFonts w:hint="eastAsia" w:ascii="仿宋" w:hAnsi="仿宋" w:eastAsia="仿宋" w:cs="仿宋"/>
          <w:color w:val="000000" w:themeColor="text1"/>
          <w:kern w:val="0"/>
          <w:sz w:val="32"/>
          <w:szCs w:val="32"/>
          <w14:textFill>
            <w14:solidFill>
              <w14:schemeClr w14:val="tx1"/>
            </w14:solidFill>
          </w14:textFill>
        </w:rPr>
        <w:t>林女士</w:t>
      </w:r>
    </w:p>
    <w:p>
      <w:pPr>
        <w:spacing w:line="360" w:lineRule="auto"/>
        <w:ind w:left="-151"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14:textFill>
            <w14:solidFill>
              <w14:schemeClr w14:val="tx1"/>
            </w14:solidFill>
          </w14:textFill>
        </w:rPr>
        <w:t>0592-2990825</w:t>
      </w:r>
    </w:p>
    <w:p>
      <w:pPr>
        <w:spacing w:line="360" w:lineRule="auto"/>
        <w:ind w:left="-151"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账户名称：</w:t>
      </w: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w:t>
      </w:r>
    </w:p>
    <w:p>
      <w:pPr>
        <w:spacing w:line="360" w:lineRule="auto"/>
        <w:ind w:left="-151"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账</w:t>
      </w:r>
      <w:r>
        <w:rPr>
          <w:rFonts w:hint="eastAsia" w:ascii="仿宋" w:hAnsi="仿宋" w:eastAsia="仿宋" w:cs="仿宋"/>
          <w:b/>
          <w:bCs/>
          <w:color w:val="000000" w:themeColor="text1"/>
          <w:kern w:val="0"/>
          <w:sz w:val="32"/>
          <w:szCs w:val="32"/>
          <w:lang w:eastAsia="zh-CN"/>
          <w14:textFill>
            <w14:solidFill>
              <w14:schemeClr w14:val="tx1"/>
            </w14:solidFill>
          </w14:textFill>
        </w:rPr>
        <w:t>　　</w:t>
      </w:r>
      <w:r>
        <w:rPr>
          <w:rFonts w:hint="eastAsia" w:ascii="仿宋" w:hAnsi="仿宋" w:eastAsia="仿宋" w:cs="仿宋"/>
          <w:b/>
          <w:bCs/>
          <w:color w:val="000000" w:themeColor="text1"/>
          <w:kern w:val="0"/>
          <w:sz w:val="32"/>
          <w:szCs w:val="32"/>
          <w14:textFill>
            <w14:solidFill>
              <w14:schemeClr w14:val="tx1"/>
            </w14:solidFill>
          </w14:textFill>
        </w:rPr>
        <w:t>号：</w:t>
      </w:r>
      <w:r>
        <w:rPr>
          <w:rFonts w:hint="eastAsia" w:ascii="仿宋" w:hAnsi="仿宋" w:eastAsia="仿宋" w:cs="仿宋"/>
          <w:color w:val="000000" w:themeColor="text1"/>
          <w:kern w:val="0"/>
          <w:sz w:val="32"/>
          <w:szCs w:val="32"/>
          <w14:textFill>
            <w14:solidFill>
              <w14:schemeClr w14:val="tx1"/>
            </w14:solidFill>
          </w14:textFill>
        </w:rPr>
        <w:t>35101551001050009378</w:t>
      </w:r>
    </w:p>
    <w:p>
      <w:pPr>
        <w:spacing w:line="360" w:lineRule="auto"/>
        <w:ind w:left="-151" w:firstLine="643"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开户银行：</w:t>
      </w:r>
      <w:r>
        <w:rPr>
          <w:rFonts w:hint="eastAsia" w:ascii="仿宋" w:hAnsi="仿宋" w:eastAsia="仿宋" w:cs="仿宋"/>
          <w:color w:val="000000" w:themeColor="text1"/>
          <w:kern w:val="0"/>
          <w:sz w:val="32"/>
          <w:szCs w:val="32"/>
          <w14:textFill>
            <w14:solidFill>
              <w14:schemeClr w14:val="tx1"/>
            </w14:solidFill>
          </w14:textFill>
        </w:rPr>
        <w:t>中国建设银行股份有限公司厦门湖滨支行</w:t>
      </w:r>
    </w:p>
    <w:p>
      <w:pPr>
        <w:spacing w:line="500" w:lineRule="exact"/>
        <w:ind w:left="-151" w:right="920"/>
        <w:rPr>
          <w:rFonts w:hint="eastAsia" w:ascii="仿宋" w:hAnsi="仿宋" w:eastAsia="仿宋" w:cs="仿宋"/>
          <w:color w:val="000000" w:themeColor="text1"/>
          <w:kern w:val="0"/>
          <w:sz w:val="32"/>
          <w:szCs w:val="32"/>
          <w14:textFill>
            <w14:solidFill>
              <w14:schemeClr w14:val="tx1"/>
            </w14:solidFill>
          </w14:textFill>
        </w:rPr>
      </w:pPr>
    </w:p>
    <w:p>
      <w:pPr>
        <w:spacing w:line="500" w:lineRule="exact"/>
        <w:ind w:left="-151" w:right="280" w:firstLine="640" w:firstLineChars="200"/>
        <w:jc w:val="right"/>
        <w:rPr>
          <w:rFonts w:hint="eastAsia" w:ascii="仿宋" w:hAnsi="仿宋" w:eastAsia="仿宋" w:cs="仿宋"/>
          <w:color w:val="000000" w:themeColor="text1"/>
          <w:kern w:val="0"/>
          <w:sz w:val="32"/>
          <w:szCs w:val="32"/>
          <w14:textFill>
            <w14:solidFill>
              <w14:schemeClr w14:val="tx1"/>
            </w14:solidFill>
          </w14:textFill>
        </w:rPr>
      </w:pPr>
    </w:p>
    <w:p>
      <w:pPr>
        <w:spacing w:line="500" w:lineRule="exact"/>
        <w:ind w:left="-151" w:right="280" w:firstLine="640" w:firstLineChars="200"/>
        <w:jc w:val="right"/>
        <w:rPr>
          <w:rFonts w:hint="eastAsia" w:ascii="仿宋" w:hAnsi="仿宋" w:eastAsia="仿宋" w:cs="仿宋"/>
          <w:color w:val="000000" w:themeColor="text1"/>
          <w:kern w:val="0"/>
          <w:sz w:val="32"/>
          <w:szCs w:val="32"/>
          <w14:textFill>
            <w14:solidFill>
              <w14:schemeClr w14:val="tx1"/>
            </w14:solidFill>
          </w14:textFill>
        </w:rPr>
      </w:pPr>
    </w:p>
    <w:p>
      <w:pPr>
        <w:spacing w:line="500" w:lineRule="exact"/>
        <w:ind w:left="-151" w:right="280" w:firstLine="640" w:firstLineChars="200"/>
        <w:jc w:val="righ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w:t>
      </w:r>
    </w:p>
    <w:p>
      <w:pPr>
        <w:spacing w:line="500" w:lineRule="exact"/>
        <w:ind w:left="-151" w:right="280" w:firstLine="640" w:firstLineChars="200"/>
        <w:jc w:val="righ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02</w:t>
      </w:r>
      <w:r>
        <w:rPr>
          <w:rFonts w:hint="eastAsia" w:ascii="仿宋" w:hAnsi="仿宋" w:eastAsia="仿宋" w:cs="仿宋"/>
          <w:color w:val="000000" w:themeColor="text1"/>
          <w:kern w:val="0"/>
          <w:sz w:val="32"/>
          <w:szCs w:val="32"/>
          <w14:textFill>
            <w14:solidFill>
              <w14:schemeClr w14:val="tx1"/>
            </w14:solidFill>
          </w14:textFill>
        </w:rPr>
        <w:t>4</w:t>
      </w:r>
      <w:r>
        <w:rPr>
          <w:rFonts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14</w:t>
      </w:r>
      <w:r>
        <w:rPr>
          <w:rFonts w:hint="eastAsia" w:ascii="仿宋" w:hAnsi="仿宋" w:eastAsia="仿宋" w:cs="仿宋"/>
          <w:color w:val="000000" w:themeColor="text1"/>
          <w:kern w:val="0"/>
          <w:sz w:val="32"/>
          <w:szCs w:val="32"/>
          <w14:textFill>
            <w14:solidFill>
              <w14:schemeClr w14:val="tx1"/>
            </w14:solidFill>
          </w14:textFill>
        </w:rPr>
        <w:t>日</w:t>
      </w:r>
    </w:p>
    <w:p>
      <w:pPr>
        <w:pStyle w:val="2"/>
        <w:ind w:left="-151" w:firstLine="321"/>
        <w:rPr>
          <w:rFonts w:hint="eastAsia"/>
          <w:color w:val="000000" w:themeColor="text1"/>
          <w14:textFill>
            <w14:solidFill>
              <w14:schemeClr w14:val="tx1"/>
            </w14:solidFill>
          </w14:textFill>
        </w:rPr>
      </w:pPr>
    </w:p>
    <w:p>
      <w:pPr>
        <w:ind w:left="-151"/>
        <w:rPr>
          <w:color w:val="000000" w:themeColor="text1"/>
          <w14:textFill>
            <w14:solidFill>
              <w14:schemeClr w14:val="tx1"/>
            </w14:solidFill>
          </w14:textFill>
        </w:rPr>
      </w:pPr>
    </w:p>
    <w:p>
      <w:pPr>
        <w:ind w:left="-151"/>
        <w:rPr>
          <w:rFonts w:hint="eastAsia" w:asciiTheme="majorEastAsia" w:hAnsiTheme="majorEastAsia" w:eastAsiaTheme="majorEastAsia"/>
          <w:color w:val="000000" w:themeColor="text1"/>
          <w14:textFill>
            <w14:solidFill>
              <w14:schemeClr w14:val="tx1"/>
            </w14:solidFill>
          </w14:textFill>
        </w:rPr>
      </w:pPr>
    </w:p>
    <w:p>
      <w:pPr>
        <w:pStyle w:val="2"/>
        <w:ind w:left="-151" w:firstLine="321"/>
        <w:rPr>
          <w:rFonts w:hint="eastAsia"/>
          <w:color w:val="000000" w:themeColor="text1"/>
          <w14:textFill>
            <w14:solidFill>
              <w14:schemeClr w14:val="tx1"/>
            </w14:solidFill>
          </w14:textFill>
        </w:rPr>
      </w:pPr>
      <w:bookmarkStart w:id="18" w:name="_Toc17322"/>
      <w:bookmarkStart w:id="19" w:name="_Toc9800"/>
      <w:bookmarkStart w:id="20" w:name="_Toc14497"/>
      <w:bookmarkStart w:id="21" w:name="_Toc21500"/>
      <w:bookmarkStart w:id="22" w:name="_Toc24599"/>
      <w:bookmarkStart w:id="23" w:name="_Toc17070"/>
      <w:bookmarkStart w:id="24" w:name="_Toc23613"/>
      <w:bookmarkStart w:id="25" w:name="_Toc4031"/>
      <w:bookmarkStart w:id="26" w:name="_Toc21877"/>
      <w:r>
        <w:rPr>
          <w:rFonts w:hint="eastAsia"/>
          <w:color w:val="000000" w:themeColor="text1"/>
          <w14:textFill>
            <w14:solidFill>
              <w14:schemeClr w14:val="tx1"/>
            </w14:solidFill>
          </w14:textFill>
        </w:rPr>
        <w:t>附：招标项目一览表</w:t>
      </w:r>
      <w:bookmarkEnd w:id="18"/>
      <w:bookmarkEnd w:id="19"/>
      <w:bookmarkEnd w:id="20"/>
      <w:bookmarkEnd w:id="21"/>
      <w:bookmarkEnd w:id="22"/>
      <w:bookmarkEnd w:id="23"/>
      <w:bookmarkEnd w:id="24"/>
      <w:bookmarkEnd w:id="25"/>
      <w:bookmarkEnd w:id="26"/>
    </w:p>
    <w:tbl>
      <w:tblPr>
        <w:tblStyle w:val="19"/>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773"/>
        <w:gridCol w:w="1713"/>
        <w:gridCol w:w="1740"/>
        <w:gridCol w:w="1140"/>
        <w:gridCol w:w="980"/>
        <w:gridCol w:w="920"/>
        <w:gridCol w:w="180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773" w:type="dxa"/>
            <w:vAlign w:val="center"/>
          </w:tcPr>
          <w:p>
            <w:pPr>
              <w:widowControl/>
              <w:spacing w:before="120" w:beforeAutospacing="1" w:after="120" w:afterAutospacing="1"/>
              <w:ind w:left="-151" w:firstLine="241"/>
              <w:jc w:val="lef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序号</w:t>
            </w:r>
          </w:p>
        </w:tc>
        <w:tc>
          <w:tcPr>
            <w:tcW w:w="1713" w:type="dxa"/>
            <w:vAlign w:val="center"/>
          </w:tcPr>
          <w:p>
            <w:pPr>
              <w:widowControl/>
              <w:spacing w:before="120" w:beforeAutospacing="1" w:after="120" w:afterAutospacing="1"/>
              <w:ind w:left="-151" w:firstLine="24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招标服务名称</w:t>
            </w:r>
          </w:p>
        </w:tc>
        <w:tc>
          <w:tcPr>
            <w:tcW w:w="1740" w:type="dxa"/>
            <w:vAlign w:val="center"/>
          </w:tcPr>
          <w:p>
            <w:pPr>
              <w:widowControl/>
              <w:spacing w:before="120" w:beforeAutospacing="1" w:after="120" w:afterAutospacing="1"/>
              <w:ind w:left="-151" w:firstLine="24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招标内容及要求</w:t>
            </w:r>
          </w:p>
        </w:tc>
        <w:tc>
          <w:tcPr>
            <w:tcW w:w="1140" w:type="dxa"/>
            <w:vAlign w:val="center"/>
          </w:tcPr>
          <w:p>
            <w:pPr>
              <w:widowControl/>
              <w:spacing w:before="120" w:beforeAutospacing="1" w:after="120" w:afterAutospacing="1"/>
              <w:ind w:left="-151" w:firstLine="24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服务地点</w:t>
            </w:r>
          </w:p>
        </w:tc>
        <w:tc>
          <w:tcPr>
            <w:tcW w:w="980" w:type="dxa"/>
            <w:vAlign w:val="center"/>
          </w:tcPr>
          <w:p>
            <w:pPr>
              <w:widowControl/>
              <w:spacing w:before="120" w:beforeAutospacing="1" w:after="120" w:afterAutospacing="1"/>
              <w:ind w:left="-151" w:firstLine="24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服务期</w:t>
            </w:r>
          </w:p>
        </w:tc>
        <w:tc>
          <w:tcPr>
            <w:tcW w:w="920" w:type="dxa"/>
            <w:vAlign w:val="center"/>
          </w:tcPr>
          <w:p>
            <w:pPr>
              <w:widowControl/>
              <w:spacing w:before="120" w:beforeAutospacing="1" w:after="120" w:afterAutospacing="1"/>
              <w:ind w:left="-151" w:firstLine="241"/>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岗编</w:t>
            </w:r>
          </w:p>
        </w:tc>
        <w:tc>
          <w:tcPr>
            <w:tcW w:w="1805" w:type="dxa"/>
            <w:vAlign w:val="center"/>
          </w:tcPr>
          <w:p>
            <w:pPr>
              <w:widowControl/>
              <w:spacing w:before="120" w:beforeAutospacing="1" w:after="120" w:afterAutospacing="1"/>
              <w:ind w:left="-151" w:firstLine="24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773" w:type="dxa"/>
            <w:vAlign w:val="center"/>
          </w:tcPr>
          <w:p>
            <w:pPr>
              <w:spacing w:line="360" w:lineRule="auto"/>
              <w:ind w:left="-151" w:firstLine="24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w:t>
            </w:r>
          </w:p>
        </w:tc>
        <w:tc>
          <w:tcPr>
            <w:tcW w:w="1713" w:type="dxa"/>
            <w:vAlign w:val="center"/>
          </w:tcPr>
          <w:p>
            <w:pPr>
              <w:adjustRightInd w:val="0"/>
              <w:snapToGrid w:val="0"/>
              <w:ind w:left="-151" w:firstLine="24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上海国贸鹭原保安服务</w:t>
            </w:r>
          </w:p>
        </w:tc>
        <w:tc>
          <w:tcPr>
            <w:tcW w:w="1740" w:type="dxa"/>
            <w:vAlign w:val="center"/>
          </w:tcPr>
          <w:p>
            <w:pPr>
              <w:spacing w:line="360" w:lineRule="auto"/>
              <w:ind w:left="-151" w:firstLine="24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详见第三章</w:t>
            </w:r>
          </w:p>
        </w:tc>
        <w:tc>
          <w:tcPr>
            <w:tcW w:w="1140" w:type="dxa"/>
            <w:vAlign w:val="center"/>
          </w:tcPr>
          <w:p>
            <w:pPr>
              <w:spacing w:line="360" w:lineRule="auto"/>
              <w:ind w:left="-151" w:firstLine="24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上海市</w:t>
            </w:r>
          </w:p>
        </w:tc>
        <w:tc>
          <w:tcPr>
            <w:tcW w:w="980" w:type="dxa"/>
            <w:vAlign w:val="center"/>
          </w:tcPr>
          <w:p>
            <w:pPr>
              <w:spacing w:line="360" w:lineRule="auto"/>
              <w:ind w:left="-151" w:firstLine="24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1年</w:t>
            </w:r>
          </w:p>
        </w:tc>
        <w:tc>
          <w:tcPr>
            <w:tcW w:w="920" w:type="dxa"/>
            <w:vAlign w:val="center"/>
          </w:tcPr>
          <w:p>
            <w:pPr>
              <w:spacing w:line="360" w:lineRule="auto"/>
              <w:ind w:left="-151" w:firstLine="24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13岗</w:t>
            </w:r>
          </w:p>
        </w:tc>
        <w:tc>
          <w:tcPr>
            <w:tcW w:w="1805" w:type="dxa"/>
            <w:vAlign w:val="center"/>
          </w:tcPr>
          <w:p>
            <w:pPr>
              <w:spacing w:line="360" w:lineRule="auto"/>
              <w:ind w:left="-151" w:firstLine="24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8100元/岗/月</w:t>
            </w:r>
          </w:p>
          <w:p>
            <w:pPr>
              <w:pStyle w:val="8"/>
              <w:spacing w:line="360" w:lineRule="auto"/>
              <w:ind w:left="-151" w:firstLine="240"/>
              <w:jc w:val="left"/>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105300</w:t>
            </w:r>
            <w:r>
              <w:rPr>
                <w:rFonts w:hint="eastAsia" w:ascii="仿宋" w:hAnsi="仿宋" w:eastAsia="仿宋" w:cs="仿宋"/>
                <w:color w:val="000000" w:themeColor="text1"/>
                <w:sz w:val="24"/>
                <w14:textFill>
                  <w14:solidFill>
                    <w14:schemeClr w14:val="tx1"/>
                  </w14:solidFill>
                </w14:textFill>
              </w:rPr>
              <w:t>元/月</w:t>
            </w:r>
          </w:p>
          <w:p>
            <w:pPr>
              <w:pStyle w:val="8"/>
              <w:spacing w:line="360" w:lineRule="auto"/>
              <w:ind w:left="-151" w:firstLine="240"/>
              <w:jc w:val="left"/>
              <w:rPr>
                <w:rFonts w:hint="eastAsia" w:ascii="仿宋" w:hAnsi="仿宋" w:eastAsia="仿宋"/>
                <w:color w:val="000000" w:themeColor="text1"/>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1263600</w:t>
            </w:r>
            <w:r>
              <w:rPr>
                <w:rFonts w:hint="eastAsia" w:ascii="仿宋" w:hAnsi="仿宋" w:eastAsia="仿宋" w:cs="仿宋"/>
                <w:color w:val="000000" w:themeColor="text1"/>
                <w:sz w:val="24"/>
                <w14:textFill>
                  <w14:solidFill>
                    <w14:schemeClr w14:val="tx1"/>
                  </w14:solidFill>
                </w14:textFill>
              </w:rPr>
              <w:t>元/年</w:t>
            </w:r>
          </w:p>
        </w:tc>
      </w:tr>
    </w:tbl>
    <w:p>
      <w:pPr>
        <w:ind w:left="-151"/>
        <w:rPr>
          <w:rFonts w:hint="eastAsia" w:asciiTheme="minorEastAsia" w:hAnsiTheme="minorEastAsia" w:eastAsiaTheme="minorEastAsia"/>
          <w:color w:val="000000" w:themeColor="text1"/>
          <w14:textFill>
            <w14:solidFill>
              <w14:schemeClr w14:val="tx1"/>
            </w14:solidFill>
          </w14:textFill>
        </w:rPr>
      </w:pPr>
    </w:p>
    <w:p>
      <w:pPr>
        <w:spacing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备注：</w:t>
      </w:r>
    </w:p>
    <w:p>
      <w:pPr>
        <w:spacing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1、服务期：合同签订后</w:t>
      </w: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5个自然日内完成进场开展服务，各投标人应对此作出承诺。</w:t>
      </w:r>
    </w:p>
    <w:p>
      <w:pPr>
        <w:spacing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2、投标人的投标报价不得超过本项目的控制价，否则将被视为无效投标响应。</w:t>
      </w:r>
    </w:p>
    <w:p>
      <w:pPr>
        <w:spacing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3、投标文件的正本一份，副本一份，电子版U盘一份（电子版内容须包含报价清单及报价文件），</w:t>
      </w:r>
      <w:r>
        <w:rPr>
          <w:rFonts w:hint="eastAsia" w:ascii="仿宋" w:hAnsi="仿宋" w:eastAsia="仿宋" w:cs="仿宋"/>
          <w:color w:val="000000" w:themeColor="text1"/>
          <w:kern w:val="0"/>
          <w:sz w:val="32"/>
          <w:szCs w:val="32"/>
          <w14:textFill>
            <w14:solidFill>
              <w14:schemeClr w14:val="tx1"/>
            </w14:solidFill>
          </w14:textFill>
        </w:rPr>
        <w:t>密封提交</w:t>
      </w:r>
      <w:r>
        <w:rPr>
          <w:rFonts w:hint="eastAsia" w:ascii="仿宋" w:hAnsi="仿宋" w:eastAsia="仿宋"/>
          <w:color w:val="000000" w:themeColor="text1"/>
          <w:sz w:val="32"/>
          <w:szCs w:val="32"/>
          <w14:textFill>
            <w14:solidFill>
              <w14:schemeClr w14:val="tx1"/>
            </w14:solidFill>
          </w14:textFill>
        </w:rPr>
        <w:t>。</w:t>
      </w:r>
    </w:p>
    <w:p>
      <w:pPr>
        <w:spacing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360" w:lineRule="auto"/>
        <w:ind w:left="-151" w:firstLine="560" w:firstLineChars="200"/>
        <w:rPr>
          <w:rFonts w:hint="eastAsia" w:cs="仿宋"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151" w:firstLine="560" w:firstLineChars="200"/>
        <w:rPr>
          <w:rFonts w:hint="eastAsia" w:cs="仿宋" w:asciiTheme="minorEastAsia" w:hAnsiTheme="minorEastAsia" w:eastAsiaTheme="minorEastAsia"/>
          <w:color w:val="000000" w:themeColor="text1"/>
          <w:kern w:val="0"/>
          <w:sz w:val="28"/>
          <w:szCs w:val="28"/>
          <w14:textFill>
            <w14:solidFill>
              <w14:schemeClr w14:val="tx1"/>
            </w14:solidFill>
          </w14:textFill>
        </w:rPr>
      </w:pPr>
    </w:p>
    <w:p>
      <w:pPr>
        <w:pStyle w:val="2"/>
        <w:ind w:left="-151" w:firstLine="281"/>
        <w:jc w:val="center"/>
        <w:rPr>
          <w:rFonts w:hint="eastAsia"/>
          <w:color w:val="000000" w:themeColor="text1"/>
          <w14:textFill>
            <w14:solidFill>
              <w14:schemeClr w14:val="tx1"/>
            </w14:solidFill>
          </w14:textFill>
        </w:rPr>
      </w:pPr>
      <w:r>
        <w:rPr>
          <w:color w:val="000000" w:themeColor="text1"/>
          <w:sz w:val="28"/>
          <w:szCs w:val="28"/>
          <w14:textFill>
            <w14:solidFill>
              <w14:schemeClr w14:val="tx1"/>
            </w14:solidFill>
          </w14:textFill>
        </w:rPr>
        <w:br w:type="page"/>
      </w:r>
      <w:bookmarkStart w:id="27" w:name="_Toc16192"/>
      <w:bookmarkStart w:id="28" w:name="_Toc17835"/>
      <w:bookmarkStart w:id="29" w:name="_Toc18632"/>
      <w:bookmarkStart w:id="30" w:name="_Toc7087"/>
      <w:bookmarkStart w:id="31" w:name="_Toc3341"/>
      <w:bookmarkStart w:id="32" w:name="_Toc1456"/>
      <w:bookmarkStart w:id="33" w:name="_Toc12630"/>
      <w:bookmarkStart w:id="34" w:name="_Toc20190"/>
      <w:bookmarkStart w:id="35" w:name="_Toc25453"/>
      <w:r>
        <w:rPr>
          <w:rFonts w:hint="eastAsia"/>
          <w:color w:val="000000" w:themeColor="text1"/>
          <w14:textFill>
            <w14:solidFill>
              <w14:schemeClr w14:val="tx1"/>
            </w14:solidFill>
          </w14:textFill>
        </w:rPr>
        <w:t>第二章　投标人须知</w:t>
      </w:r>
      <w:bookmarkEnd w:id="27"/>
      <w:bookmarkEnd w:id="28"/>
      <w:bookmarkEnd w:id="29"/>
      <w:bookmarkEnd w:id="30"/>
      <w:bookmarkEnd w:id="31"/>
      <w:bookmarkEnd w:id="32"/>
      <w:bookmarkEnd w:id="33"/>
      <w:bookmarkEnd w:id="34"/>
      <w:bookmarkEnd w:id="35"/>
    </w:p>
    <w:p>
      <w:pPr>
        <w:spacing w:line="500" w:lineRule="exact"/>
        <w:ind w:left="-151"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投标人须知前附表</w:t>
      </w:r>
    </w:p>
    <w:p>
      <w:pPr>
        <w:spacing w:line="500" w:lineRule="exact"/>
        <w:ind w:left="-151"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本须知前附表的内容是与《投标人须知》中条款的内容对应的。如有矛盾，应以本须知前附表为准。</w:t>
      </w:r>
    </w:p>
    <w:tbl>
      <w:tblPr>
        <w:tblStyle w:val="19"/>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850" w:type="dxa"/>
            <w:shd w:val="clear" w:color="auto" w:fill="E7E6E6" w:themeFill="background2"/>
            <w:vAlign w:val="center"/>
          </w:tcPr>
          <w:p>
            <w:pPr>
              <w:spacing w:line="400" w:lineRule="exact"/>
              <w:ind w:left="0" w:firstLine="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项号</w:t>
            </w:r>
          </w:p>
        </w:tc>
        <w:tc>
          <w:tcPr>
            <w:tcW w:w="9071" w:type="dxa"/>
            <w:shd w:val="clear" w:color="auto" w:fill="E7E6E6" w:themeFill="background2"/>
            <w:vAlign w:val="center"/>
          </w:tcPr>
          <w:p>
            <w:pPr>
              <w:spacing w:line="400" w:lineRule="exact"/>
              <w:ind w:left="-151" w:firstLine="281"/>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9071" w:type="dxa"/>
            <w:vAlign w:val="center"/>
          </w:tcPr>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项目名称：上海国贸鹭原保安服务</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招标人：厦门国贸城市服务集团股份有限公司</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项目内容：见“招标项目一览表”</w:t>
            </w:r>
          </w:p>
          <w:p>
            <w:pPr>
              <w:spacing w:line="400" w:lineRule="exact"/>
              <w:ind w:left="-151" w:firstLine="280"/>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val="en-US" w:eastAsia="zh-CN"/>
                <w14:textFill>
                  <w14:solidFill>
                    <w14:schemeClr w14:val="tx1"/>
                  </w14:solidFill>
                </w14:textFill>
              </w:rPr>
              <w:t>GMFW-2024-16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p>
        </w:tc>
        <w:tc>
          <w:tcPr>
            <w:tcW w:w="9071" w:type="dxa"/>
            <w:vAlign w:val="center"/>
          </w:tcPr>
          <w:p>
            <w:pPr>
              <w:tabs>
                <w:tab w:val="left" w:pos="-1260"/>
                <w:tab w:val="left" w:pos="10260"/>
              </w:tabs>
              <w:spacing w:line="400" w:lineRule="exact"/>
              <w:ind w:left="-151" w:firstLine="280"/>
              <w:rPr>
                <w:rFonts w:hint="eastAsia"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资格标准：详</w:t>
            </w:r>
            <w:r>
              <w:rPr>
                <w:rFonts w:hint="eastAsia" w:ascii="仿宋" w:hAnsi="仿宋" w:eastAsia="仿宋"/>
                <w:color w:val="000000" w:themeColor="text1"/>
                <w:spacing w:val="-4"/>
                <w:sz w:val="28"/>
                <w:szCs w:val="28"/>
                <w14:textFill>
                  <w14:solidFill>
                    <w14:schemeClr w14:val="tx1"/>
                  </w14:solidFill>
                </w14:textFill>
              </w:rPr>
              <w:t>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9071" w:type="dxa"/>
            <w:vAlign w:val="center"/>
          </w:tcPr>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投标有效期：</w:t>
            </w:r>
            <w:r>
              <w:rPr>
                <w:rFonts w:hint="eastAsia" w:ascii="仿宋" w:hAnsi="仿宋" w:eastAsia="仿宋" w:cs="宋体"/>
                <w:color w:val="000000" w:themeColor="text1"/>
                <w:kern w:val="0"/>
                <w:sz w:val="28"/>
                <w:szCs w:val="28"/>
                <w14:textFill>
                  <w14:solidFill>
                    <w14:schemeClr w14:val="tx1"/>
                  </w14:solidFill>
                </w14:textFill>
              </w:rPr>
              <w:t>投标截止期结束后90日历日。</w:t>
            </w:r>
            <w:r>
              <w:rPr>
                <w:rFonts w:hint="eastAsia" w:ascii="仿宋" w:hAnsi="仿宋" w:eastAsia="仿宋"/>
                <w:color w:val="000000" w:themeColor="text1"/>
                <w:sz w:val="28"/>
                <w:szCs w:val="28"/>
                <w14:textFill>
                  <w14:solidFill>
                    <w14:schemeClr w14:val="tx1"/>
                  </w14:solidFill>
                </w14:textFill>
              </w:rPr>
              <w:t>有效期不足将导致其投标文</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c>
          <w:tcPr>
            <w:tcW w:w="9071" w:type="dxa"/>
            <w:vAlign w:val="center"/>
          </w:tcPr>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投标文件递交地址：</w:t>
            </w:r>
            <w:r>
              <w:rPr>
                <w:rFonts w:hint="eastAsia" w:ascii="仿宋" w:hAnsi="仿宋" w:eastAsia="仿宋" w:cs="仿宋"/>
                <w:color w:val="000000" w:themeColor="text1"/>
                <w:kern w:val="0"/>
                <w:sz w:val="28"/>
                <w:szCs w:val="28"/>
                <w14:textFill>
                  <w14:solidFill>
                    <w14:schemeClr w14:val="tx1"/>
                  </w14:solidFill>
                </w14:textFill>
              </w:rPr>
              <w:t>厦门市思明区体育路</w:t>
            </w:r>
            <w:r>
              <w:rPr>
                <w:rFonts w:ascii="仿宋" w:hAnsi="仿宋" w:eastAsia="仿宋" w:cs="仿宋"/>
                <w:color w:val="000000" w:themeColor="text1"/>
                <w:kern w:val="0"/>
                <w:sz w:val="28"/>
                <w:szCs w:val="28"/>
                <w14:textFill>
                  <w14:solidFill>
                    <w14:schemeClr w14:val="tx1"/>
                  </w14:solidFill>
                </w14:textFill>
              </w:rPr>
              <w:t>41</w:t>
            </w:r>
            <w:r>
              <w:rPr>
                <w:rFonts w:hint="eastAsia" w:ascii="仿宋" w:hAnsi="仿宋" w:eastAsia="仿宋" w:cs="仿宋"/>
                <w:color w:val="000000" w:themeColor="text1"/>
                <w:kern w:val="0"/>
                <w:sz w:val="28"/>
                <w:szCs w:val="28"/>
                <w14:textFill>
                  <w14:solidFill>
                    <w14:schemeClr w14:val="tx1"/>
                  </w14:solidFill>
                </w14:textFill>
              </w:rPr>
              <w:t>号顺承大厦6楼</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投标截止时间：见“第一章 </w:t>
            </w:r>
            <w:r>
              <w:rPr>
                <w:rFonts w:hint="eastAsia" w:ascii="仿宋" w:hAnsi="仿宋" w:eastAsia="仿宋"/>
                <w:color w:val="000000" w:themeColor="text1"/>
                <w:sz w:val="28"/>
                <w:szCs w:val="28"/>
                <w:lang w:val="en-US" w:eastAsia="zh-CN"/>
                <w14:textFill>
                  <w14:solidFill>
                    <w14:schemeClr w14:val="tx1"/>
                  </w14:solidFill>
                </w14:textFill>
              </w:rPr>
              <w:t>招标公告</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2"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9071" w:type="dxa"/>
            <w:vAlign w:val="center"/>
          </w:tcPr>
          <w:p>
            <w:pPr>
              <w:spacing w:line="400" w:lineRule="exact"/>
              <w:ind w:left="-151" w:firstLine="28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★投标保证金：人民币</w:t>
            </w:r>
            <w:r>
              <w:rPr>
                <w:rFonts w:hint="eastAsia" w:ascii="仿宋" w:hAnsi="仿宋" w:eastAsia="仿宋"/>
                <w:b/>
                <w:color w:val="000000" w:themeColor="text1"/>
                <w:sz w:val="28"/>
                <w:szCs w:val="28"/>
                <w14:textFill>
                  <w14:solidFill>
                    <w14:schemeClr w14:val="tx1"/>
                  </w14:solidFill>
                </w14:textFill>
              </w:rPr>
              <w:t>20000</w:t>
            </w:r>
            <w:r>
              <w:rPr>
                <w:rFonts w:ascii="仿宋" w:hAnsi="仿宋" w:eastAsia="仿宋"/>
                <w:b/>
                <w:color w:val="000000" w:themeColor="text1"/>
                <w:sz w:val="28"/>
                <w:szCs w:val="28"/>
                <w14:textFill>
                  <w14:solidFill>
                    <w14:schemeClr w14:val="tx1"/>
                  </w14:solidFill>
                </w14:textFill>
              </w:rPr>
              <w:t>元</w:t>
            </w:r>
            <w:r>
              <w:rPr>
                <w:rFonts w:hint="eastAsia" w:ascii="仿宋" w:hAnsi="仿宋" w:eastAsia="仿宋"/>
                <w:b/>
                <w:color w:val="000000" w:themeColor="text1"/>
                <w:sz w:val="28"/>
                <w:szCs w:val="28"/>
                <w14:textFill>
                  <w14:solidFill>
                    <w14:schemeClr w14:val="tx1"/>
                  </w14:solidFill>
                </w14:textFill>
              </w:rPr>
              <w:t>整。</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投标保证金以转账、电汇等形式提交，必须在投标截止时间前到达指</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定账户，不收取现金、现金支票，不接受任何个人名义的转账，否则作</w:t>
            </w:r>
          </w:p>
          <w:p>
            <w:pPr>
              <w:spacing w:line="400" w:lineRule="exact"/>
              <w:ind w:left="-151" w:firstLine="28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未提交投标保证金处理。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保证金的退还：</w:t>
            </w:r>
          </w:p>
          <w:p>
            <w:pPr>
              <w:spacing w:line="400" w:lineRule="exact"/>
              <w:ind w:left="-151" w:firstLine="28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w:t>
            </w:r>
            <w:r>
              <w:rPr>
                <w:rFonts w:hint="eastAsia" w:ascii="仿宋" w:hAnsi="仿宋" w:eastAsia="仿宋"/>
                <w:color w:val="000000" w:themeColor="text1"/>
                <w:sz w:val="28"/>
                <w:szCs w:val="28"/>
                <w:lang w:val="en-US" w:eastAsia="zh-CN"/>
                <w14:textFill>
                  <w14:solidFill>
                    <w14:schemeClr w14:val="tx1"/>
                  </w14:solidFill>
                </w14:textFill>
              </w:rPr>
              <w:t>退还</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9071" w:type="dxa"/>
            <w:vAlign w:val="center"/>
          </w:tcPr>
          <w:p>
            <w:pPr>
              <w:spacing w:line="400" w:lineRule="exact"/>
              <w:ind w:left="-151" w:firstLine="2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中标供应商在签订合同前，应向招标人缴纳20000元履约保证金。</w:t>
            </w:r>
          </w:p>
          <w:p>
            <w:pPr>
              <w:spacing w:line="400" w:lineRule="exact"/>
              <w:ind w:left="-151" w:firstLine="2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履约保证金数额：20000元（指人民币，下同）。</w:t>
            </w:r>
          </w:p>
          <w:p>
            <w:pPr>
              <w:spacing w:line="400" w:lineRule="exact"/>
              <w:ind w:left="-151" w:firstLine="2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履约保证金形式：转账。</w:t>
            </w:r>
          </w:p>
          <w:p>
            <w:pPr>
              <w:spacing w:line="400" w:lineRule="exact"/>
              <w:ind w:left="-151" w:firstLine="2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中标人在收到中标通知书后签订采购合同，原投标保证金直接作为合</w:t>
            </w:r>
          </w:p>
          <w:p>
            <w:pPr>
              <w:spacing w:line="400" w:lineRule="exact"/>
              <w:ind w:left="-151" w:firstLine="2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同履约保证金。履约保证金在双方合同终止、交接清楚、质保期（或保</w:t>
            </w:r>
          </w:p>
          <w:p>
            <w:pPr>
              <w:spacing w:line="400" w:lineRule="exact"/>
              <w:ind w:left="-151" w:firstLine="2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修期）结束和债权债务等关系理顺后30日历天内无息返还。</w:t>
            </w:r>
          </w:p>
          <w:p>
            <w:pPr>
              <w:numPr>
                <w:ilvl w:val="-1"/>
                <w:numId w:val="0"/>
              </w:numPr>
              <w:spacing w:line="400" w:lineRule="exact"/>
              <w:ind w:left="129"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中标人如在服务期限内不能完成招投标文件和采购合同约定，招标人</w:t>
            </w:r>
          </w:p>
          <w:p>
            <w:pPr>
              <w:numPr>
                <w:ilvl w:val="-1"/>
                <w:numId w:val="0"/>
              </w:numPr>
              <w:spacing w:line="400" w:lineRule="exact"/>
              <w:ind w:left="129" w:firstLine="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3"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9071" w:type="dxa"/>
            <w:vAlign w:val="center"/>
          </w:tcPr>
          <w:p>
            <w:pPr>
              <w:spacing w:line="400" w:lineRule="exact"/>
              <w:ind w:left="-151" w:firstLine="2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★招标预算价（即最高控制价）为：8100元/岗/月；105300元/月；</w:t>
            </w:r>
            <w:r>
              <w:rPr>
                <w:rFonts w:hint="eastAsia" w:ascii="仿宋" w:hAnsi="仿宋" w:eastAsia="仿宋" w:cs="仿宋"/>
                <w:color w:val="000000" w:themeColor="text1"/>
                <w:sz w:val="28"/>
                <w:szCs w:val="28"/>
                <w14:textFill>
                  <w14:solidFill>
                    <w14:schemeClr w14:val="tx1"/>
                  </w14:solidFill>
                </w14:textFill>
              </w:rPr>
              <w:t>1263600</w:t>
            </w:r>
          </w:p>
          <w:p>
            <w:pPr>
              <w:spacing w:line="400" w:lineRule="exact"/>
              <w:ind w:left="-151" w:firstLine="28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元/年</w:t>
            </w:r>
            <w:r>
              <w:rPr>
                <w:rFonts w:hint="eastAsia" w:ascii="仿宋" w:hAnsi="仿宋" w:eastAsia="仿宋" w:cs="宋体"/>
                <w:b/>
                <w:color w:val="000000" w:themeColor="text1"/>
                <w:kern w:val="0"/>
                <w:sz w:val="28"/>
                <w:szCs w:val="28"/>
                <w14:textFill>
                  <w14:solidFill>
                    <w14:schemeClr w14:val="tx1"/>
                  </w14:solidFill>
                </w14:textFill>
              </w:rPr>
              <w:t>。最高控制价为含税包干预算价，</w:t>
            </w:r>
            <w:r>
              <w:rPr>
                <w:rFonts w:hint="eastAsia" w:ascii="仿宋" w:hAnsi="仿宋" w:eastAsia="仿宋"/>
                <w:b/>
                <w:color w:val="000000" w:themeColor="text1"/>
                <w:sz w:val="28"/>
                <w:szCs w:val="28"/>
                <w14:textFill>
                  <w14:solidFill>
                    <w14:schemeClr w14:val="tx1"/>
                  </w14:solidFill>
                </w14:textFill>
              </w:rPr>
              <w:t>投标人投标报价超过预算价的投</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标为无效投标</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0"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p>
        </w:tc>
        <w:tc>
          <w:tcPr>
            <w:tcW w:w="9071" w:type="dxa"/>
            <w:vAlign w:val="center"/>
          </w:tcPr>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评标标准和方法：本次招标采用综合评分法评标。首先，由评标委员会</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根据招标文件要求（无效投标界定），审核各投标文件是否合格、有效，</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凡不符合专业条件要求和未实质性响应招标文件要求的投标均不进入比</w:t>
            </w:r>
          </w:p>
          <w:p>
            <w:p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价程序。最终按得分排序推荐中标候选人。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2" w:hRule="atLeast"/>
          <w:jc w:val="center"/>
        </w:trPr>
        <w:tc>
          <w:tcPr>
            <w:tcW w:w="850" w:type="dxa"/>
            <w:vAlign w:val="center"/>
          </w:tcPr>
          <w:p>
            <w:pPr>
              <w:spacing w:line="400" w:lineRule="exact"/>
              <w:ind w:left="-151" w:firstLine="28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w:t>
            </w:r>
          </w:p>
        </w:tc>
        <w:tc>
          <w:tcPr>
            <w:tcW w:w="9071" w:type="dxa"/>
            <w:vAlign w:val="center"/>
          </w:tcPr>
          <w:p>
            <w:pPr>
              <w:spacing w:line="400" w:lineRule="exact"/>
              <w:ind w:left="-151" w:firstLine="281"/>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投标提醒：</w:t>
            </w:r>
          </w:p>
          <w:p>
            <w:pPr>
              <w:numPr>
                <w:ilvl w:val="0"/>
                <w:numId w:val="1"/>
              </w:num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投标保证金手续办理完毕后，请再次核对账号、收款单位是否正确，</w:t>
            </w:r>
          </w:p>
          <w:p>
            <w:pPr>
              <w:numPr>
                <w:ilvl w:val="0"/>
                <w:numId w:val="0"/>
              </w:numPr>
              <w:spacing w:line="400" w:lineRule="exact"/>
              <w:ind w:left="129" w:firstLine="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并确保在投标截止时间前到账。</w:t>
            </w:r>
          </w:p>
          <w:p>
            <w:pPr>
              <w:numPr>
                <w:ilvl w:val="0"/>
                <w:numId w:val="1"/>
              </w:numPr>
              <w:spacing w:line="400" w:lineRule="exact"/>
              <w:ind w:left="-151" w:firstLine="28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为方便保证金的收取工作，</w:t>
            </w:r>
            <w:r>
              <w:rPr>
                <w:rFonts w:hint="eastAsia" w:ascii="仿宋" w:hAnsi="仿宋" w:eastAsia="仿宋" w:cs="Arial"/>
                <w:b/>
                <w:color w:val="000000" w:themeColor="text1"/>
                <w:kern w:val="0"/>
                <w:sz w:val="28"/>
                <w:szCs w:val="28"/>
                <w:u w:val="single"/>
                <w14:textFill>
                  <w14:solidFill>
                    <w14:schemeClr w14:val="tx1"/>
                  </w14:solidFill>
                </w14:textFill>
              </w:rPr>
              <w:t>除投标文件中的缴交凭证外，</w:t>
            </w:r>
            <w:r>
              <w:rPr>
                <w:rFonts w:hint="eastAsia" w:ascii="仿宋" w:hAnsi="仿宋" w:eastAsia="仿宋"/>
                <w:b/>
                <w:color w:val="000000" w:themeColor="text1"/>
                <w:sz w:val="28"/>
                <w:szCs w:val="28"/>
                <w:u w:val="single"/>
                <w14:textFill>
                  <w14:solidFill>
                    <w14:schemeClr w14:val="tx1"/>
                  </w14:solidFill>
                </w14:textFill>
              </w:rPr>
              <w:t>投标人在递</w:t>
            </w:r>
          </w:p>
          <w:p>
            <w:pPr>
              <w:numPr>
                <w:ilvl w:val="-1"/>
                <w:numId w:val="0"/>
              </w:numPr>
              <w:spacing w:line="400" w:lineRule="exact"/>
              <w:ind w:left="129" w:firstLine="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u w:val="single"/>
                <w14:textFill>
                  <w14:solidFill>
                    <w14:schemeClr w14:val="tx1"/>
                  </w14:solidFill>
                </w14:textFill>
              </w:rPr>
              <w:t>交投标文件时应单独提供保证金缴交证明复印件一份给招标人投标文件接收人员。</w:t>
            </w:r>
          </w:p>
          <w:p>
            <w:pPr>
              <w:numPr>
                <w:ilvl w:val="0"/>
                <w:numId w:val="1"/>
              </w:num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为确保在投标截止时间前递交投标文件，请务必考虑交通拥挤及路上</w:t>
            </w:r>
          </w:p>
          <w:p>
            <w:pPr>
              <w:numPr>
                <w:ilvl w:val="-1"/>
                <w:numId w:val="0"/>
              </w:numPr>
              <w:spacing w:line="400" w:lineRule="exact"/>
              <w:ind w:left="129" w:firstLine="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不可预见的其他因素。</w:t>
            </w:r>
          </w:p>
          <w:p>
            <w:pPr>
              <w:numPr>
                <w:ilvl w:val="0"/>
                <w:numId w:val="1"/>
              </w:numPr>
              <w:spacing w:line="400" w:lineRule="exact"/>
              <w:ind w:left="-151" w:firstLine="2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本文件第四章的投标文件格式中要求投标人盖章、投标代表签字的均</w:t>
            </w:r>
          </w:p>
          <w:p>
            <w:pPr>
              <w:numPr>
                <w:ilvl w:val="-1"/>
                <w:numId w:val="0"/>
              </w:numPr>
              <w:spacing w:line="400" w:lineRule="exact"/>
              <w:ind w:left="129" w:firstLine="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0" w:hRule="atLeast"/>
          <w:jc w:val="center"/>
        </w:trPr>
        <w:tc>
          <w:tcPr>
            <w:tcW w:w="850" w:type="dxa"/>
            <w:vAlign w:val="center"/>
          </w:tcPr>
          <w:p>
            <w:pPr>
              <w:spacing w:line="400" w:lineRule="exact"/>
              <w:ind w:left="-151" w:firstLine="280"/>
              <w:rPr>
                <w:rFonts w:hint="eastAsia" w:ascii="仿宋" w:hAnsi="仿宋" w:eastAsia="仿宋"/>
                <w:color w:val="000000" w:themeColor="text1"/>
                <w:sz w:val="28"/>
                <w:szCs w:val="28"/>
                <w:highlight w:val="yellow"/>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p>
        </w:tc>
        <w:tc>
          <w:tcPr>
            <w:tcW w:w="9071" w:type="dxa"/>
            <w:vAlign w:val="center"/>
          </w:tcPr>
          <w:p>
            <w:pPr>
              <w:spacing w:line="400" w:lineRule="exact"/>
              <w:ind w:left="-151" w:firstLine="281"/>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投标资格要求与投标资格证明文件</w:t>
            </w:r>
          </w:p>
          <w:p>
            <w:pPr>
              <w:numPr>
                <w:ilvl w:val="-1"/>
                <w:numId w:val="0"/>
              </w:numPr>
              <w:spacing w:line="400" w:lineRule="exact"/>
              <w:ind w:left="130" w:firstLine="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★投标人具有独立承担民事责任的能力，并具备参加招投标采购活动的合法条件。投标人必须提供企业法人营业执照（副本）的有效复印件。</w:t>
            </w:r>
          </w:p>
          <w:p>
            <w:pPr>
              <w:numPr>
                <w:ilvl w:val="-1"/>
                <w:numId w:val="0"/>
              </w:numPr>
              <w:spacing w:line="400" w:lineRule="exact"/>
              <w:ind w:left="130" w:firstLine="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14:textFill>
                  <w14:solidFill>
                    <w14:schemeClr w14:val="tx1"/>
                  </w14:solidFill>
                </w14:textFill>
              </w:rPr>
              <w:t>投标人代表不是法定代表人的，应提供法定代表人授权书原件，以及投标人代表的身份证复印件。</w:t>
            </w:r>
          </w:p>
          <w:p>
            <w:pPr>
              <w:ind w:left="-151" w:firstLine="281"/>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3、★投标人需提供保安服务许可证资质证明和保证本项目派遣保安人员</w:t>
            </w:r>
          </w:p>
          <w:p>
            <w:pPr>
              <w:ind w:left="-151" w:firstLine="281"/>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100%持证上岗承诺书（消控岗须提供四级消防设施操作员证</w:t>
            </w:r>
            <w:r>
              <w:rPr>
                <w:rFonts w:hint="eastAsia" w:ascii="仿宋" w:hAnsi="仿宋" w:eastAsia="仿宋"/>
                <w:b/>
                <w:color w:val="000000" w:themeColor="text1"/>
                <w:sz w:val="28"/>
                <w:szCs w:val="28"/>
                <w:lang w:val="en-US" w:eastAsia="zh-CN"/>
                <w14:textFill>
                  <w14:solidFill>
                    <w14:schemeClr w14:val="tx1"/>
                  </w14:solidFill>
                </w14:textFill>
              </w:rPr>
              <w:t>及保安证</w:t>
            </w:r>
            <w:r>
              <w:rPr>
                <w:rFonts w:hint="eastAsia" w:ascii="仿宋" w:hAnsi="仿宋" w:eastAsia="仿宋"/>
                <w:b/>
                <w:color w:val="000000" w:themeColor="text1"/>
                <w:sz w:val="28"/>
                <w:szCs w:val="28"/>
                <w14:textFill>
                  <w14:solidFill>
                    <w14:schemeClr w14:val="tx1"/>
                  </w14:solidFill>
                </w14:textFill>
              </w:rPr>
              <w:t>，</w:t>
            </w:r>
          </w:p>
          <w:p>
            <w:pPr>
              <w:ind w:left="-151" w:firstLine="281"/>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其他维序岗位须持保安证），并提供缴纳社保清单证明（复印件加盖公</w:t>
            </w:r>
          </w:p>
          <w:p>
            <w:pPr>
              <w:ind w:left="-151" w:firstLine="281"/>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章）。</w:t>
            </w:r>
          </w:p>
          <w:p>
            <w:pPr>
              <w:numPr>
                <w:ilvl w:val="-1"/>
                <w:numId w:val="0"/>
              </w:numPr>
              <w:spacing w:line="400" w:lineRule="exact"/>
              <w:ind w:left="129" w:firstLine="0"/>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4、</w:t>
            </w:r>
            <w:r>
              <w:rPr>
                <w:rFonts w:hint="eastAsia" w:ascii="仿宋" w:hAnsi="仿宋" w:eastAsia="仿宋"/>
                <w:b/>
                <w:color w:val="000000" w:themeColor="text1"/>
                <w:sz w:val="28"/>
                <w:szCs w:val="28"/>
                <w14:textFill>
                  <w14:solidFill>
                    <w14:schemeClr w14:val="tx1"/>
                  </w14:solidFill>
                </w14:textFill>
              </w:rPr>
              <w:t>投标人需提供自2020年1月1日以来至今（以合同签约时间为准），</w:t>
            </w:r>
          </w:p>
          <w:p>
            <w:pPr>
              <w:numPr>
                <w:ilvl w:val="-1"/>
                <w:numId w:val="0"/>
              </w:numPr>
              <w:spacing w:line="400" w:lineRule="exact"/>
              <w:ind w:left="129" w:firstLine="0"/>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至少一例上海市住宅物业项目的安保服务业绩证明（附合同复印件加盖公章）。</w:t>
            </w:r>
          </w:p>
          <w:p>
            <w:pPr>
              <w:spacing w:line="400" w:lineRule="exact"/>
              <w:ind w:left="-151" w:firstLine="281"/>
              <w:rPr>
                <w:rFonts w:hint="eastAsia" w:ascii="仿宋" w:hAnsi="仿宋" w:eastAsia="仿宋"/>
                <w:b/>
                <w:color w:val="000000" w:themeColor="text1"/>
                <w:sz w:val="28"/>
                <w:szCs w:val="28"/>
                <w:highlight w:val="yellow"/>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以上资格证明文件均应加盖投标人公章，原件备查。</w:t>
            </w:r>
          </w:p>
        </w:tc>
      </w:tr>
    </w:tbl>
    <w:p>
      <w:pPr>
        <w:pStyle w:val="3"/>
        <w:keepNext w:val="0"/>
        <w:keepLines w:val="0"/>
        <w:spacing w:before="120" w:after="120" w:line="500" w:lineRule="exact"/>
        <w:ind w:left="-151" w:firstLine="281"/>
        <w:rPr>
          <w:rFonts w:hint="eastAsia" w:ascii="仿宋" w:hAnsi="仿宋" w:eastAsia="仿宋"/>
          <w:color w:val="000000" w:themeColor="text1"/>
          <w:sz w:val="28"/>
          <w:szCs w:val="28"/>
          <w14:textFill>
            <w14:solidFill>
              <w14:schemeClr w14:val="tx1"/>
            </w14:solidFill>
          </w14:textFill>
        </w:rPr>
      </w:pPr>
    </w:p>
    <w:p>
      <w:pPr>
        <w:widowControl/>
        <w:ind w:left="-151"/>
        <w:jc w:val="left"/>
        <w:rPr>
          <w:rFonts w:hint="eastAsia" w:ascii="仿宋" w:hAnsi="仿宋" w:eastAsia="仿宋"/>
          <w:color w:val="000000" w:themeColor="text1"/>
          <w:sz w:val="32"/>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bookmarkStart w:id="36" w:name="_Toc11795"/>
      <w:bookmarkStart w:id="37" w:name="_Toc15181"/>
      <w:bookmarkStart w:id="38" w:name="_Toc21228"/>
      <w:bookmarkStart w:id="39" w:name="_Toc25721"/>
      <w:bookmarkStart w:id="40" w:name="_Toc10030"/>
      <w:bookmarkStart w:id="41" w:name="_Toc23723"/>
      <w:r>
        <w:rPr>
          <w:rFonts w:hint="eastAsia" w:ascii="仿宋" w:hAnsi="仿宋" w:eastAsia="仿宋"/>
          <w:color w:val="000000" w:themeColor="text1"/>
          <w:sz w:val="32"/>
          <w14:textFill>
            <w14:solidFill>
              <w14:schemeClr w14:val="tx1"/>
            </w14:solidFill>
          </w14:textFill>
        </w:rPr>
        <w:t>第一节  说  明</w:t>
      </w:r>
      <w:bookmarkEnd w:id="36"/>
      <w:bookmarkEnd w:id="37"/>
      <w:bookmarkEnd w:id="38"/>
      <w:bookmarkEnd w:id="39"/>
      <w:bookmarkEnd w:id="40"/>
      <w:bookmarkEnd w:id="41"/>
    </w:p>
    <w:p>
      <w:pPr>
        <w:pStyle w:val="4"/>
        <w:keepNext w:val="0"/>
        <w:keepLines w:val="0"/>
        <w:spacing w:before="120" w:after="120" w:line="360" w:lineRule="auto"/>
        <w:ind w:left="-151" w:firstLine="643" w:firstLineChars="200"/>
        <w:jc w:val="left"/>
        <w:rPr>
          <w:rFonts w:hint="eastAsia" w:ascii="仿宋" w:hAnsi="仿宋" w:eastAsia="仿宋"/>
          <w:color w:val="000000" w:themeColor="text1"/>
          <w:sz w:val="32"/>
          <w14:textFill>
            <w14:solidFill>
              <w14:schemeClr w14:val="tx1"/>
            </w14:solidFill>
          </w14:textFill>
        </w:rPr>
      </w:pPr>
      <w:bookmarkStart w:id="42" w:name="_Toc12816"/>
      <w:bookmarkStart w:id="43" w:name="_Toc191892300"/>
      <w:bookmarkStart w:id="44" w:name="_Toc11056"/>
      <w:bookmarkStart w:id="45" w:name="_Toc20900"/>
      <w:bookmarkStart w:id="46" w:name="_Toc6626"/>
      <w:bookmarkStart w:id="47" w:name="_Toc1740"/>
      <w:bookmarkStart w:id="48" w:name="_Toc7875"/>
      <w:bookmarkStart w:id="49" w:name="_Toc19884"/>
      <w:bookmarkStart w:id="50" w:name="_Toc10464"/>
      <w:bookmarkStart w:id="51" w:name="_Toc6247"/>
      <w:bookmarkStart w:id="52" w:name="_Toc192925648"/>
      <w:r>
        <w:rPr>
          <w:rFonts w:ascii="仿宋" w:hAnsi="仿宋" w:eastAsia="仿宋"/>
          <w:color w:val="000000" w:themeColor="text1"/>
          <w:sz w:val="32"/>
          <w14:textFill>
            <w14:solidFill>
              <w14:schemeClr w14:val="tx1"/>
            </w14:solidFill>
          </w14:textFill>
        </w:rPr>
        <w:t xml:space="preserve">1. </w:t>
      </w:r>
      <w:r>
        <w:rPr>
          <w:rFonts w:hint="eastAsia" w:ascii="仿宋" w:hAnsi="仿宋" w:eastAsia="仿宋"/>
          <w:color w:val="000000" w:themeColor="text1"/>
          <w:sz w:val="32"/>
          <w14:textFill>
            <w14:solidFill>
              <w14:schemeClr w14:val="tx1"/>
            </w14:solidFill>
          </w14:textFill>
        </w:rPr>
        <w:t>适用范围</w:t>
      </w:r>
      <w:bookmarkEnd w:id="42"/>
      <w:bookmarkEnd w:id="43"/>
      <w:bookmarkEnd w:id="44"/>
      <w:bookmarkEnd w:id="45"/>
      <w:bookmarkEnd w:id="46"/>
      <w:bookmarkEnd w:id="47"/>
      <w:bookmarkEnd w:id="48"/>
      <w:bookmarkEnd w:id="49"/>
      <w:bookmarkEnd w:id="50"/>
      <w:bookmarkEnd w:id="51"/>
      <w:bookmarkEnd w:id="52"/>
    </w:p>
    <w:p>
      <w:pPr>
        <w:spacing w:line="360" w:lineRule="auto"/>
        <w:ind w:left="-151" w:firstLine="640" w:firstLineChars="200"/>
        <w:jc w:val="left"/>
        <w:rPr>
          <w:rFonts w:hint="eastAsia" w:ascii="仿宋" w:hAnsi="仿宋" w:eastAsia="仿宋" w:cs="仿宋"/>
          <w:b/>
          <w:bCs/>
          <w:color w:val="000000" w:themeColor="text1"/>
          <w:sz w:val="36"/>
          <w:szCs w:val="36"/>
          <w:lang w:val="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本招标文件仅适用于</w:t>
      </w:r>
      <w:r>
        <w:rPr>
          <w:rFonts w:hint="eastAsia" w:ascii="仿宋" w:hAnsi="仿宋" w:eastAsia="仿宋"/>
          <w:color w:val="000000" w:themeColor="text1"/>
          <w:sz w:val="32"/>
          <w:szCs w:val="28"/>
          <w:u w:val="single"/>
          <w14:textFill>
            <w14:solidFill>
              <w14:schemeClr w14:val="tx1"/>
            </w14:solidFill>
          </w14:textFill>
        </w:rPr>
        <w:t xml:space="preserve">上海国贸鹭原保安服务 </w:t>
      </w:r>
      <w:r>
        <w:rPr>
          <w:rFonts w:hint="eastAsia" w:ascii="仿宋" w:hAnsi="仿宋" w:eastAsia="仿宋"/>
          <w:color w:val="000000" w:themeColor="text1"/>
          <w:sz w:val="28"/>
          <w:szCs w:val="28"/>
          <w14:textFill>
            <w14:solidFill>
              <w14:schemeClr w14:val="tx1"/>
            </w14:solidFill>
          </w14:textFill>
        </w:rPr>
        <w:t>。</w:t>
      </w:r>
    </w:p>
    <w:p>
      <w:pPr>
        <w:pStyle w:val="4"/>
        <w:keepNext w:val="0"/>
        <w:keepLines w:val="0"/>
        <w:spacing w:before="120" w:after="120" w:line="360" w:lineRule="auto"/>
        <w:ind w:left="-151" w:firstLine="643" w:firstLineChars="200"/>
        <w:jc w:val="left"/>
        <w:rPr>
          <w:rFonts w:hint="eastAsia" w:ascii="仿宋" w:hAnsi="仿宋" w:eastAsia="仿宋"/>
          <w:color w:val="000000" w:themeColor="text1"/>
          <w:sz w:val="32"/>
          <w14:textFill>
            <w14:solidFill>
              <w14:schemeClr w14:val="tx1"/>
            </w14:solidFill>
          </w14:textFill>
        </w:rPr>
      </w:pPr>
      <w:bookmarkStart w:id="53" w:name="_Toc191892301"/>
      <w:bookmarkStart w:id="54" w:name="_Toc7782"/>
      <w:bookmarkStart w:id="55" w:name="_Toc18854"/>
      <w:bookmarkStart w:id="56" w:name="_Toc13121"/>
      <w:bookmarkStart w:id="57" w:name="_Toc23895"/>
      <w:bookmarkStart w:id="58" w:name="_Toc31217"/>
      <w:bookmarkStart w:id="59" w:name="_Toc20257"/>
      <w:bookmarkStart w:id="60" w:name="_Toc11406"/>
      <w:bookmarkStart w:id="61" w:name="_Toc192925649"/>
      <w:bookmarkStart w:id="62" w:name="_Toc19044"/>
      <w:bookmarkStart w:id="63" w:name="_Toc17429"/>
      <w:r>
        <w:rPr>
          <w:rFonts w:ascii="仿宋" w:hAnsi="仿宋" w:eastAsia="仿宋"/>
          <w:color w:val="000000" w:themeColor="text1"/>
          <w:sz w:val="32"/>
          <w14:textFill>
            <w14:solidFill>
              <w14:schemeClr w14:val="tx1"/>
            </w14:solidFill>
          </w14:textFill>
        </w:rPr>
        <w:t xml:space="preserve">2. </w:t>
      </w:r>
      <w:r>
        <w:rPr>
          <w:rFonts w:hint="eastAsia" w:ascii="仿宋" w:hAnsi="仿宋" w:eastAsia="仿宋"/>
          <w:color w:val="000000" w:themeColor="text1"/>
          <w:sz w:val="32"/>
          <w14:textFill>
            <w14:solidFill>
              <w14:schemeClr w14:val="tx1"/>
            </w14:solidFill>
          </w14:textFill>
        </w:rPr>
        <w:t>定义</w:t>
      </w:r>
      <w:bookmarkEnd w:id="53"/>
      <w:bookmarkEnd w:id="54"/>
      <w:bookmarkEnd w:id="55"/>
      <w:bookmarkEnd w:id="56"/>
      <w:bookmarkEnd w:id="57"/>
      <w:bookmarkEnd w:id="58"/>
      <w:bookmarkEnd w:id="59"/>
      <w:bookmarkEnd w:id="60"/>
      <w:bookmarkEnd w:id="61"/>
      <w:bookmarkEnd w:id="62"/>
      <w:bookmarkEnd w:id="63"/>
    </w:p>
    <w:p>
      <w:pPr>
        <w:spacing w:line="360" w:lineRule="auto"/>
        <w:ind w:left="-151" w:firstLine="640" w:firstLineChars="200"/>
        <w:jc w:val="left"/>
        <w:rPr>
          <w:rFonts w:hint="eastAsia"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 xml:space="preserve"> “招标人”系指</w:t>
      </w:r>
      <w:r>
        <w:rPr>
          <w:rFonts w:hint="eastAsia" w:ascii="仿宋" w:hAnsi="仿宋" w:eastAsia="仿宋"/>
          <w:b/>
          <w:bCs/>
          <w:color w:val="000000" w:themeColor="text1"/>
          <w:sz w:val="32"/>
          <w:szCs w:val="32"/>
          <w14:textFill>
            <w14:solidFill>
              <w14:schemeClr w14:val="tx1"/>
            </w14:solidFill>
          </w14:textFill>
        </w:rPr>
        <w:t>厦门国贸城市服务集团股份有限公司</w:t>
      </w:r>
      <w:r>
        <w:rPr>
          <w:rFonts w:hint="eastAsia" w:ascii="仿宋" w:hAnsi="仿宋" w:eastAsia="仿宋"/>
          <w:b/>
          <w:color w:val="000000" w:themeColor="text1"/>
          <w:sz w:val="32"/>
          <w:szCs w:val="32"/>
          <w14:textFill>
            <w14:solidFill>
              <w14:schemeClr w14:val="tx1"/>
            </w14:solidFill>
          </w14:textFill>
        </w:rPr>
        <w:t>。</w:t>
      </w:r>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2“投标人”系指获取了本招标文件，且已经提交或者准备提交本次投标文件的制造商或供货商。</w:t>
      </w:r>
    </w:p>
    <w:p>
      <w:pPr>
        <w:pStyle w:val="4"/>
        <w:keepNext w:val="0"/>
        <w:keepLines w:val="0"/>
        <w:spacing w:before="120" w:after="120" w:line="360" w:lineRule="auto"/>
        <w:ind w:left="-151" w:firstLine="643" w:firstLineChars="200"/>
        <w:jc w:val="left"/>
        <w:rPr>
          <w:rFonts w:hint="eastAsia" w:ascii="仿宋" w:hAnsi="仿宋" w:eastAsia="仿宋"/>
          <w:color w:val="000000" w:themeColor="text1"/>
          <w:sz w:val="32"/>
          <w14:textFill>
            <w14:solidFill>
              <w14:schemeClr w14:val="tx1"/>
            </w14:solidFill>
          </w14:textFill>
        </w:rPr>
      </w:pPr>
      <w:bookmarkStart w:id="64" w:name="_Toc192925650"/>
      <w:bookmarkStart w:id="65" w:name="_Toc16439"/>
      <w:bookmarkStart w:id="66" w:name="_Toc8731"/>
      <w:bookmarkStart w:id="67" w:name="_Toc24240"/>
      <w:bookmarkStart w:id="68" w:name="_Toc7012"/>
      <w:bookmarkStart w:id="69" w:name="_Toc191892302"/>
      <w:bookmarkStart w:id="70" w:name="_Toc11072"/>
      <w:bookmarkStart w:id="71" w:name="_Toc414"/>
      <w:bookmarkStart w:id="72" w:name="_Toc22330"/>
      <w:bookmarkStart w:id="73" w:name="_Toc22832"/>
      <w:bookmarkStart w:id="74" w:name="_Toc24765"/>
      <w:r>
        <w:rPr>
          <w:rFonts w:ascii="仿宋" w:hAnsi="仿宋" w:eastAsia="仿宋"/>
          <w:color w:val="000000" w:themeColor="text1"/>
          <w:sz w:val="32"/>
          <w14:textFill>
            <w14:solidFill>
              <w14:schemeClr w14:val="tx1"/>
            </w14:solidFill>
          </w14:textFill>
        </w:rPr>
        <w:t xml:space="preserve">3. </w:t>
      </w:r>
      <w:r>
        <w:rPr>
          <w:rFonts w:hint="eastAsia" w:ascii="仿宋" w:hAnsi="仿宋" w:eastAsia="仿宋"/>
          <w:color w:val="000000" w:themeColor="text1"/>
          <w:sz w:val="32"/>
          <w14:textFill>
            <w14:solidFill>
              <w14:schemeClr w14:val="tx1"/>
            </w14:solidFill>
          </w14:textFill>
        </w:rPr>
        <w:t>合格的投标人</w:t>
      </w:r>
      <w:bookmarkEnd w:id="64"/>
      <w:bookmarkEnd w:id="65"/>
      <w:bookmarkEnd w:id="66"/>
      <w:bookmarkEnd w:id="67"/>
      <w:bookmarkEnd w:id="68"/>
      <w:bookmarkEnd w:id="69"/>
      <w:bookmarkEnd w:id="70"/>
      <w:bookmarkEnd w:id="71"/>
      <w:bookmarkEnd w:id="72"/>
      <w:bookmarkEnd w:id="73"/>
      <w:bookmarkEnd w:id="74"/>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凡有能力提供本招标文件所述货物及服务的，符合本招标文件规定的资格要求（具体要求见 “投标资格要求与投标资格证明文件”），符合政府采购法第二十二条的规定的均可能成为合格的投标人。</w:t>
      </w:r>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14:textFill>
            <w14:solidFill>
              <w14:schemeClr w14:val="tx1"/>
            </w14:solidFill>
          </w14:textFill>
        </w:rPr>
        <w:t>。</w:t>
      </w:r>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法定代表人为同一人的两个及两个以上法人；</w:t>
      </w:r>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母公司、直接或间接持股50％及以上的被投资公司；</w:t>
      </w:r>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均为同一家母公司直接或间接持股50％及以上的被投资公司。</w:t>
      </w:r>
    </w:p>
    <w:p>
      <w:pPr>
        <w:spacing w:line="360" w:lineRule="auto"/>
        <w:ind w:left="-151" w:firstLine="640" w:firstLineChars="200"/>
        <w:jc w:val="lef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3.4 </w:t>
      </w:r>
      <w:r>
        <w:rPr>
          <w:rFonts w:hint="eastAsia" w:ascii="仿宋" w:hAnsi="仿宋" w:eastAsia="仿宋"/>
          <w:color w:val="000000" w:themeColor="text1"/>
          <w:sz w:val="32"/>
          <w:szCs w:val="32"/>
          <w14:textFill>
            <w14:solidFill>
              <w14:schemeClr w14:val="tx1"/>
            </w14:solidFill>
          </w14:textFill>
        </w:rPr>
        <w:t>本项目不接受联合体形式投标。</w:t>
      </w:r>
    </w:p>
    <w:p>
      <w:pPr>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3.5 投标代理人在同一个合同包中只能接受一个投标人的委托参加投标。</w:t>
      </w:r>
    </w:p>
    <w:p>
      <w:pPr>
        <w:pStyle w:val="4"/>
        <w:keepNext w:val="0"/>
        <w:keepLines w:val="0"/>
        <w:spacing w:before="120" w:after="120" w:line="360" w:lineRule="auto"/>
        <w:ind w:left="-151" w:firstLine="643" w:firstLineChars="200"/>
        <w:jc w:val="left"/>
        <w:rPr>
          <w:rFonts w:hint="eastAsia" w:ascii="仿宋" w:hAnsi="仿宋" w:eastAsia="仿宋"/>
          <w:color w:val="000000" w:themeColor="text1"/>
          <w:sz w:val="32"/>
          <w14:textFill>
            <w14:solidFill>
              <w14:schemeClr w14:val="tx1"/>
            </w14:solidFill>
          </w14:textFill>
        </w:rPr>
      </w:pPr>
      <w:bookmarkStart w:id="75" w:name="_Toc191892303"/>
      <w:bookmarkStart w:id="76" w:name="_Toc17887"/>
      <w:bookmarkStart w:id="77" w:name="_Toc24568"/>
      <w:bookmarkStart w:id="78" w:name="_Toc8696"/>
      <w:bookmarkStart w:id="79" w:name="_Toc3687"/>
      <w:bookmarkStart w:id="80" w:name="_Toc24420"/>
      <w:bookmarkStart w:id="81" w:name="_Toc13237"/>
      <w:bookmarkStart w:id="82" w:name="_Toc192925651"/>
      <w:bookmarkStart w:id="83" w:name="_Toc8182"/>
      <w:bookmarkStart w:id="84" w:name="_Toc27059"/>
      <w:bookmarkStart w:id="85" w:name="_Toc22891"/>
      <w:r>
        <w:rPr>
          <w:rFonts w:hint="eastAsia" w:ascii="仿宋" w:hAnsi="仿宋" w:eastAsia="仿宋"/>
          <w:color w:val="000000" w:themeColor="text1"/>
          <w:sz w:val="32"/>
          <w14:textFill>
            <w14:solidFill>
              <w14:schemeClr w14:val="tx1"/>
            </w14:solidFill>
          </w14:textFill>
        </w:rPr>
        <w:t>4</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投标费用</w:t>
      </w:r>
      <w:bookmarkEnd w:id="75"/>
      <w:bookmarkEnd w:id="76"/>
      <w:bookmarkEnd w:id="77"/>
      <w:bookmarkEnd w:id="78"/>
      <w:bookmarkEnd w:id="79"/>
      <w:bookmarkEnd w:id="80"/>
      <w:bookmarkEnd w:id="81"/>
      <w:bookmarkEnd w:id="82"/>
      <w:bookmarkEnd w:id="83"/>
      <w:bookmarkEnd w:id="84"/>
      <w:bookmarkEnd w:id="85"/>
    </w:p>
    <w:p>
      <w:pPr>
        <w:spacing w:line="360" w:lineRule="auto"/>
        <w:ind w:left="-151" w:firstLine="640" w:firstLineChars="200"/>
        <w:rPr>
          <w:rFonts w:hint="eastAsia" w:ascii="仿宋" w:hAnsi="仿宋" w:eastAsia="仿宋" w:cs="仿宋"/>
          <w:color w:val="000000" w:themeColor="text1"/>
          <w:sz w:val="32"/>
          <w:szCs w:val="32"/>
          <w14:textFill>
            <w14:solidFill>
              <w14:schemeClr w14:val="tx1"/>
            </w14:solidFill>
          </w14:textFill>
        </w:rPr>
      </w:pPr>
      <w:bookmarkStart w:id="86" w:name="_Toc5426"/>
      <w:bookmarkStart w:id="87" w:name="_Toc337"/>
      <w:bookmarkStart w:id="88" w:name="_Toc6975"/>
      <w:r>
        <w:rPr>
          <w:rFonts w:hint="eastAsia" w:ascii="仿宋" w:hAnsi="仿宋" w:eastAsia="仿宋" w:cs="仿宋"/>
          <w:color w:val="000000" w:themeColor="text1"/>
          <w:sz w:val="32"/>
          <w:szCs w:val="32"/>
          <w14:textFill>
            <w14:solidFill>
              <w14:schemeClr w14:val="tx1"/>
            </w14:solidFill>
          </w14:textFill>
        </w:rPr>
        <w:t>投标人自行承担其参加投标所涉及的一切费用。</w:t>
      </w:r>
      <w:bookmarkEnd w:id="86"/>
      <w:bookmarkEnd w:id="87"/>
      <w:bookmarkEnd w:id="88"/>
      <w:bookmarkStart w:id="89" w:name="_Toc191892304"/>
      <w:bookmarkStart w:id="90" w:name="_Toc192925652"/>
    </w:p>
    <w:p>
      <w:pPr>
        <w:pStyle w:val="3"/>
        <w:keepNext w:val="0"/>
        <w:keepLines w:val="0"/>
        <w:spacing w:before="120" w:after="120" w:line="360" w:lineRule="auto"/>
        <w:ind w:left="-151" w:firstLine="321"/>
        <w:rPr>
          <w:rFonts w:hint="eastAsia" w:ascii="仿宋" w:hAnsi="仿宋" w:eastAsia="仿宋"/>
          <w:color w:val="000000" w:themeColor="text1"/>
          <w:sz w:val="32"/>
          <w14:textFill>
            <w14:solidFill>
              <w14:schemeClr w14:val="tx1"/>
            </w14:solidFill>
          </w14:textFill>
        </w:rPr>
      </w:pPr>
      <w:bookmarkStart w:id="91" w:name="_Toc27859"/>
      <w:bookmarkStart w:id="92" w:name="_Toc24801"/>
      <w:bookmarkStart w:id="93" w:name="_Toc11955"/>
      <w:bookmarkStart w:id="94" w:name="_Toc10888"/>
      <w:bookmarkStart w:id="95" w:name="_Toc12167"/>
      <w:bookmarkStart w:id="96" w:name="_Toc19646"/>
      <w:bookmarkStart w:id="97" w:name="_Toc16197"/>
      <w:bookmarkStart w:id="98" w:name="_Toc26753"/>
      <w:bookmarkStart w:id="99" w:name="_Toc17382"/>
      <w:r>
        <w:rPr>
          <w:rFonts w:hint="eastAsia" w:ascii="仿宋" w:hAnsi="仿宋" w:eastAsia="仿宋"/>
          <w:color w:val="000000" w:themeColor="text1"/>
          <w:sz w:val="32"/>
          <w14:textFill>
            <w14:solidFill>
              <w14:schemeClr w14:val="tx1"/>
            </w14:solidFill>
          </w14:textFill>
        </w:rPr>
        <w:t>第二节  招标文件说明</w:t>
      </w:r>
      <w:bookmarkEnd w:id="89"/>
      <w:bookmarkEnd w:id="90"/>
      <w:bookmarkEnd w:id="91"/>
      <w:bookmarkEnd w:id="92"/>
      <w:bookmarkEnd w:id="93"/>
      <w:bookmarkEnd w:id="94"/>
      <w:bookmarkEnd w:id="95"/>
      <w:bookmarkEnd w:id="96"/>
      <w:bookmarkEnd w:id="97"/>
      <w:bookmarkEnd w:id="98"/>
      <w:bookmarkEnd w:id="99"/>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100" w:name="_Toc191892305"/>
      <w:bookmarkStart w:id="101" w:name="_Toc5267"/>
      <w:bookmarkStart w:id="102" w:name="_Toc3806"/>
      <w:bookmarkStart w:id="103" w:name="_Toc30859"/>
      <w:bookmarkStart w:id="104" w:name="_Toc31547"/>
      <w:bookmarkStart w:id="105" w:name="_Toc26963"/>
      <w:bookmarkStart w:id="106" w:name="_Toc26976"/>
      <w:bookmarkStart w:id="107" w:name="_Toc11103"/>
      <w:bookmarkStart w:id="108" w:name="_Toc3552"/>
      <w:bookmarkStart w:id="109" w:name="_Toc192925653"/>
      <w:bookmarkStart w:id="110" w:name="_Toc24364"/>
      <w:r>
        <w:rPr>
          <w:rFonts w:hint="eastAsia" w:ascii="仿宋" w:hAnsi="仿宋" w:eastAsia="仿宋"/>
          <w:color w:val="000000" w:themeColor="text1"/>
          <w:sz w:val="32"/>
          <w14:textFill>
            <w14:solidFill>
              <w14:schemeClr w14:val="tx1"/>
            </w14:solidFill>
          </w14:textFill>
        </w:rPr>
        <w:t>5</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招标文件的组成</w:t>
      </w:r>
      <w:bookmarkEnd w:id="100"/>
      <w:bookmarkEnd w:id="101"/>
      <w:bookmarkEnd w:id="102"/>
      <w:bookmarkEnd w:id="103"/>
      <w:bookmarkEnd w:id="104"/>
      <w:bookmarkEnd w:id="105"/>
      <w:bookmarkEnd w:id="106"/>
      <w:bookmarkEnd w:id="107"/>
      <w:bookmarkEnd w:id="108"/>
      <w:bookmarkEnd w:id="109"/>
      <w:bookmarkEnd w:id="110"/>
    </w:p>
    <w:p>
      <w:pPr>
        <w:spacing w:line="360" w:lineRule="auto"/>
        <w:ind w:left="-151" w:firstLine="640" w:firstLineChars="200"/>
        <w:rPr>
          <w:rFonts w:hint="eastAsia" w:ascii="仿宋" w:hAnsi="仿宋" w:eastAsia="仿宋"/>
          <w:b/>
          <w:color w:val="000000" w:themeColor="text1"/>
          <w:sz w:val="32"/>
          <w14:textFill>
            <w14:solidFill>
              <w14:schemeClr w14:val="tx1"/>
            </w14:solidFill>
          </w14:textFill>
        </w:rPr>
      </w:pPr>
      <w:bookmarkStart w:id="111" w:name="_Toc523325329"/>
      <w:bookmarkStart w:id="112" w:name="_Toc523325149"/>
      <w:r>
        <w:rPr>
          <w:rFonts w:hint="eastAsia" w:ascii="仿宋" w:hAnsi="仿宋" w:eastAsia="仿宋"/>
          <w:color w:val="000000" w:themeColor="text1"/>
          <w:sz w:val="32"/>
          <w14:textFill>
            <w14:solidFill>
              <w14:schemeClr w14:val="tx1"/>
            </w14:solidFill>
          </w14:textFill>
        </w:rPr>
        <w:t>5.1招标文件用以阐明所需货物及服务招标程序和合同主要条款。招标文件由下述主要部分组成：</w:t>
      </w:r>
      <w:bookmarkEnd w:id="111"/>
      <w:bookmarkEnd w:id="112"/>
    </w:p>
    <w:p>
      <w:pPr>
        <w:spacing w:line="360" w:lineRule="auto"/>
        <w:ind w:left="-151" w:firstLine="640" w:firstLineChars="200"/>
        <w:rPr>
          <w:rFonts w:hint="eastAsia" w:ascii="仿宋" w:hAnsi="仿宋" w:eastAsia="仿宋"/>
          <w:b/>
          <w:color w:val="000000" w:themeColor="text1"/>
          <w:sz w:val="32"/>
          <w14:textFill>
            <w14:solidFill>
              <w14:schemeClr w14:val="tx1"/>
            </w14:solidFill>
          </w14:textFill>
        </w:rPr>
      </w:pPr>
      <w:bookmarkStart w:id="113" w:name="_Toc523325150"/>
      <w:bookmarkStart w:id="114" w:name="_Toc523325330"/>
      <w:r>
        <w:rPr>
          <w:rFonts w:hint="eastAsia" w:ascii="仿宋" w:hAnsi="仿宋" w:eastAsia="仿宋"/>
          <w:color w:val="000000" w:themeColor="text1"/>
          <w:sz w:val="32"/>
          <w14:textFill>
            <w14:solidFill>
              <w14:schemeClr w14:val="tx1"/>
            </w14:solidFill>
          </w14:textFill>
        </w:rPr>
        <w:t xml:space="preserve">⑴ </w:t>
      </w:r>
      <w:bookmarkEnd w:id="113"/>
      <w:bookmarkEnd w:id="114"/>
      <w:r>
        <w:rPr>
          <w:rFonts w:hint="eastAsia" w:ascii="仿宋" w:hAnsi="仿宋" w:eastAsia="仿宋"/>
          <w:color w:val="000000" w:themeColor="text1"/>
          <w:sz w:val="32"/>
          <w14:textFill>
            <w14:solidFill>
              <w14:schemeClr w14:val="tx1"/>
            </w14:solidFill>
          </w14:textFill>
        </w:rPr>
        <w:t>投标公告</w:t>
      </w:r>
    </w:p>
    <w:p>
      <w:pPr>
        <w:spacing w:line="360" w:lineRule="auto"/>
        <w:ind w:left="-151" w:firstLine="640" w:firstLineChars="200"/>
        <w:rPr>
          <w:rFonts w:hint="eastAsia" w:ascii="仿宋" w:hAnsi="仿宋" w:eastAsia="仿宋"/>
          <w:b/>
          <w:color w:val="000000" w:themeColor="text1"/>
          <w:sz w:val="32"/>
          <w14:textFill>
            <w14:solidFill>
              <w14:schemeClr w14:val="tx1"/>
            </w14:solidFill>
          </w14:textFill>
        </w:rPr>
      </w:pPr>
      <w:bookmarkStart w:id="115" w:name="_Toc523325151"/>
      <w:bookmarkStart w:id="116" w:name="_Toc523325331"/>
      <w:r>
        <w:rPr>
          <w:rFonts w:hint="eastAsia" w:ascii="仿宋" w:hAnsi="仿宋" w:eastAsia="仿宋"/>
          <w:color w:val="000000" w:themeColor="text1"/>
          <w:sz w:val="32"/>
          <w14:textFill>
            <w14:solidFill>
              <w14:schemeClr w14:val="tx1"/>
            </w14:solidFill>
          </w14:textFill>
        </w:rPr>
        <w:t>⑵ 投标人须知</w:t>
      </w:r>
      <w:bookmarkEnd w:id="115"/>
      <w:bookmarkEnd w:id="116"/>
    </w:p>
    <w:p>
      <w:pPr>
        <w:spacing w:line="360" w:lineRule="auto"/>
        <w:ind w:left="-151" w:firstLine="640" w:firstLineChars="200"/>
        <w:rPr>
          <w:rFonts w:hint="eastAsia" w:ascii="仿宋" w:hAnsi="仿宋" w:eastAsia="仿宋"/>
          <w:b/>
          <w:color w:val="000000" w:themeColor="text1"/>
          <w:sz w:val="32"/>
          <w14:textFill>
            <w14:solidFill>
              <w14:schemeClr w14:val="tx1"/>
            </w14:solidFill>
          </w14:textFill>
        </w:rPr>
      </w:pPr>
      <w:bookmarkStart w:id="117" w:name="_Toc523325152"/>
      <w:bookmarkStart w:id="118" w:name="_Toc523325332"/>
      <w:r>
        <w:rPr>
          <w:rFonts w:hint="eastAsia" w:ascii="仿宋" w:hAnsi="仿宋" w:eastAsia="仿宋"/>
          <w:color w:val="000000" w:themeColor="text1"/>
          <w:sz w:val="32"/>
          <w14:textFill>
            <w14:solidFill>
              <w14:schemeClr w14:val="tx1"/>
            </w14:solidFill>
          </w14:textFill>
        </w:rPr>
        <w:t>⑶ 招标内容及要求</w:t>
      </w:r>
      <w:bookmarkEnd w:id="117"/>
      <w:bookmarkEnd w:id="118"/>
    </w:p>
    <w:p>
      <w:pPr>
        <w:spacing w:line="360" w:lineRule="auto"/>
        <w:ind w:left="-151" w:firstLine="640" w:firstLineChars="200"/>
        <w:rPr>
          <w:rFonts w:hint="eastAsia" w:ascii="仿宋" w:hAnsi="仿宋" w:eastAsia="仿宋"/>
          <w:color w:val="000000" w:themeColor="text1"/>
          <w:sz w:val="32"/>
          <w14:textFill>
            <w14:solidFill>
              <w14:schemeClr w14:val="tx1"/>
            </w14:solidFill>
          </w14:textFill>
        </w:rPr>
      </w:pPr>
      <w:bookmarkStart w:id="119" w:name="_Toc523325153"/>
      <w:bookmarkStart w:id="120" w:name="_Toc523325333"/>
      <w:r>
        <w:rPr>
          <w:rFonts w:hint="eastAsia" w:ascii="仿宋" w:hAnsi="仿宋" w:eastAsia="仿宋"/>
          <w:color w:val="000000" w:themeColor="text1"/>
          <w:sz w:val="32"/>
          <w14:textFill>
            <w14:solidFill>
              <w14:schemeClr w14:val="tx1"/>
            </w14:solidFill>
          </w14:textFill>
        </w:rPr>
        <w:t>⑷ 投标文件格式</w:t>
      </w:r>
      <w:bookmarkEnd w:id="119"/>
      <w:bookmarkEnd w:id="120"/>
      <w:bookmarkStart w:id="121" w:name="_Toc430490612"/>
      <w:bookmarkStart w:id="122" w:name="_Toc430422413"/>
      <w:bookmarkStart w:id="123" w:name="_Toc430489119"/>
      <w:bookmarkStart w:id="124" w:name="_Toc415567497"/>
      <w:bookmarkStart w:id="125" w:name="_Toc430488851"/>
      <w:bookmarkStart w:id="126" w:name="_Toc430488644"/>
      <w:bookmarkStart w:id="127" w:name="_Toc430492126"/>
      <w:bookmarkStart w:id="128" w:name="_Toc192925654"/>
      <w:bookmarkStart w:id="129" w:name="_Toc191892306"/>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130" w:name="_Toc27802"/>
      <w:bookmarkStart w:id="131" w:name="_Toc22782"/>
      <w:bookmarkStart w:id="132" w:name="_Toc13963"/>
      <w:bookmarkStart w:id="133" w:name="_Toc11472"/>
      <w:bookmarkStart w:id="134" w:name="_Toc25860"/>
      <w:bookmarkStart w:id="135" w:name="_Toc3644"/>
      <w:bookmarkStart w:id="136" w:name="_Toc8940"/>
      <w:bookmarkStart w:id="137" w:name="_Toc13012"/>
      <w:bookmarkStart w:id="138" w:name="_Toc23474"/>
      <w:bookmarkStart w:id="139" w:name="_Toc22001"/>
      <w:r>
        <w:rPr>
          <w:rFonts w:ascii="仿宋" w:hAnsi="仿宋" w:eastAsia="仿宋"/>
          <w:color w:val="000000" w:themeColor="text1"/>
          <w:sz w:val="32"/>
          <w14:textFill>
            <w14:solidFill>
              <w14:schemeClr w14:val="tx1"/>
            </w14:solidFill>
          </w14:textFill>
        </w:rPr>
        <w:t>6. 招标文件的澄清</w:t>
      </w:r>
      <w:bookmarkEnd w:id="130"/>
      <w:bookmarkEnd w:id="131"/>
      <w:bookmarkEnd w:id="132"/>
      <w:bookmarkEnd w:id="133"/>
      <w:bookmarkEnd w:id="134"/>
      <w:bookmarkEnd w:id="135"/>
      <w:bookmarkEnd w:id="136"/>
      <w:bookmarkEnd w:id="137"/>
      <w:bookmarkEnd w:id="138"/>
      <w:bookmarkEnd w:id="139"/>
    </w:p>
    <w:bookmarkEnd w:id="121"/>
    <w:bookmarkEnd w:id="122"/>
    <w:bookmarkEnd w:id="123"/>
    <w:bookmarkEnd w:id="124"/>
    <w:bookmarkEnd w:id="125"/>
    <w:bookmarkEnd w:id="126"/>
    <w:bookmarkEnd w:id="127"/>
    <w:bookmarkEnd w:id="128"/>
    <w:bookmarkEnd w:id="129"/>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bookmarkStart w:id="140" w:name="_Toc523325155"/>
      <w:bookmarkStart w:id="141" w:name="_Toc523325335"/>
      <w:bookmarkStart w:id="142" w:name="_Toc192925656"/>
      <w:bookmarkStart w:id="143" w:name="_Toc191892308"/>
      <w:r>
        <w:rPr>
          <w:rFonts w:hint="eastAsia" w:ascii="仿宋" w:hAnsi="仿宋" w:eastAsia="仿宋"/>
          <w:color w:val="000000" w:themeColor="text1"/>
          <w:sz w:val="32"/>
          <w:szCs w:val="32"/>
          <w14:textFill>
            <w14:solidFill>
              <w14:schemeClr w14:val="tx1"/>
            </w14:solidFill>
          </w14:textFill>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140"/>
      <w:bookmarkEnd w:id="141"/>
      <w:bookmarkStart w:id="144" w:name="_Toc192925655"/>
      <w:bookmarkStart w:id="145" w:name="_Toc430488852"/>
      <w:bookmarkStart w:id="146" w:name="_Toc430489120"/>
      <w:bookmarkStart w:id="147" w:name="_Toc430492127"/>
      <w:bookmarkStart w:id="148" w:name="_Toc191892307"/>
      <w:bookmarkStart w:id="149" w:name="_Toc430490613"/>
      <w:bookmarkStart w:id="150" w:name="_Toc415567498"/>
      <w:bookmarkStart w:id="151" w:name="_Toc430488645"/>
      <w:bookmarkStart w:id="152" w:name="_Toc430422414"/>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153" w:name="_Toc15838"/>
      <w:bookmarkStart w:id="154" w:name="_Toc22311"/>
      <w:bookmarkStart w:id="155" w:name="_Toc8673"/>
      <w:bookmarkStart w:id="156" w:name="_Toc12762"/>
      <w:bookmarkStart w:id="157" w:name="_Toc1142"/>
      <w:bookmarkStart w:id="158" w:name="_Toc22848"/>
      <w:bookmarkStart w:id="159" w:name="_Toc13163"/>
      <w:bookmarkStart w:id="160" w:name="_Toc29326"/>
      <w:bookmarkStart w:id="161" w:name="_Toc1889"/>
      <w:bookmarkStart w:id="162" w:name="_Toc25763"/>
      <w:r>
        <w:rPr>
          <w:rFonts w:ascii="仿宋" w:hAnsi="仿宋" w:eastAsia="仿宋"/>
          <w:color w:val="000000" w:themeColor="text1"/>
          <w:sz w:val="32"/>
          <w14:textFill>
            <w14:solidFill>
              <w14:schemeClr w14:val="tx1"/>
            </w14:solidFill>
          </w14:textFill>
        </w:rPr>
        <w:t xml:space="preserve">7. </w:t>
      </w:r>
      <w:r>
        <w:rPr>
          <w:rFonts w:hint="eastAsia" w:ascii="仿宋" w:hAnsi="仿宋" w:eastAsia="仿宋"/>
          <w:color w:val="000000" w:themeColor="text1"/>
          <w:sz w:val="32"/>
          <w14:textFill>
            <w14:solidFill>
              <w14:schemeClr w14:val="tx1"/>
            </w14:solidFill>
          </w14:textFill>
        </w:rPr>
        <w:t>招标文件的修改</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bookmarkStart w:id="163" w:name="_Toc523325337"/>
      <w:bookmarkStart w:id="164" w:name="_Toc523325157"/>
      <w:r>
        <w:rPr>
          <w:rFonts w:hint="eastAsia" w:ascii="仿宋" w:hAnsi="仿宋" w:eastAsia="仿宋"/>
          <w:color w:val="000000" w:themeColor="text1"/>
          <w:sz w:val="32"/>
          <w:szCs w:val="32"/>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63"/>
      <w:bookmarkEnd w:id="164"/>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bookmarkStart w:id="165" w:name="_Toc523325338"/>
      <w:bookmarkStart w:id="166" w:name="_Toc523325158"/>
      <w:r>
        <w:rPr>
          <w:rFonts w:hint="eastAsia" w:ascii="仿宋" w:hAnsi="仿宋" w:eastAsia="仿宋"/>
          <w:color w:val="000000" w:themeColor="text1"/>
          <w:sz w:val="32"/>
          <w:szCs w:val="32"/>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65"/>
      <w:bookmarkEnd w:id="166"/>
    </w:p>
    <w:p>
      <w:pPr>
        <w:pStyle w:val="3"/>
        <w:keepNext w:val="0"/>
        <w:keepLines w:val="0"/>
        <w:spacing w:before="120" w:after="120" w:line="360" w:lineRule="auto"/>
        <w:ind w:left="-151" w:firstLine="321"/>
        <w:rPr>
          <w:rFonts w:hint="eastAsia" w:ascii="仿宋" w:hAnsi="仿宋" w:eastAsia="仿宋"/>
          <w:color w:val="000000" w:themeColor="text1"/>
          <w:sz w:val="32"/>
          <w14:textFill>
            <w14:solidFill>
              <w14:schemeClr w14:val="tx1"/>
            </w14:solidFill>
          </w14:textFill>
        </w:rPr>
      </w:pPr>
      <w:bookmarkStart w:id="167" w:name="_Toc30985"/>
      <w:bookmarkStart w:id="168" w:name="_Toc23535"/>
      <w:bookmarkStart w:id="169" w:name="_Toc31517"/>
      <w:bookmarkStart w:id="170" w:name="_Toc11248"/>
      <w:bookmarkStart w:id="171" w:name="_Toc11069"/>
      <w:bookmarkStart w:id="172" w:name="_Toc12602"/>
      <w:bookmarkStart w:id="173" w:name="_Toc13898"/>
      <w:bookmarkStart w:id="174" w:name="_Toc13273"/>
      <w:bookmarkStart w:id="175" w:name="_Toc30297"/>
      <w:r>
        <w:rPr>
          <w:rFonts w:hint="eastAsia" w:ascii="仿宋" w:hAnsi="仿宋" w:eastAsia="仿宋"/>
          <w:color w:val="000000" w:themeColor="text1"/>
          <w:sz w:val="32"/>
          <w14:textFill>
            <w14:solidFill>
              <w14:schemeClr w14:val="tx1"/>
            </w14:solidFill>
          </w14:textFill>
        </w:rPr>
        <w:t>第三节  投标文件的编写</w:t>
      </w:r>
      <w:bookmarkEnd w:id="142"/>
      <w:bookmarkEnd w:id="143"/>
      <w:bookmarkEnd w:id="167"/>
      <w:bookmarkEnd w:id="168"/>
      <w:bookmarkEnd w:id="169"/>
      <w:bookmarkEnd w:id="170"/>
      <w:bookmarkEnd w:id="171"/>
      <w:bookmarkEnd w:id="172"/>
      <w:bookmarkEnd w:id="173"/>
      <w:bookmarkEnd w:id="174"/>
      <w:bookmarkEnd w:id="175"/>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176" w:name="_Toc8037"/>
      <w:bookmarkStart w:id="177" w:name="_Toc22788"/>
      <w:bookmarkStart w:id="178" w:name="_Toc17321"/>
      <w:bookmarkStart w:id="179" w:name="_Toc10095"/>
      <w:bookmarkStart w:id="180" w:name="_Toc15070"/>
      <w:bookmarkStart w:id="181" w:name="_Toc191892309"/>
      <w:bookmarkStart w:id="182" w:name="_Toc16712"/>
      <w:bookmarkStart w:id="183" w:name="_Toc25924"/>
      <w:bookmarkStart w:id="184" w:name="_Toc192925657"/>
      <w:bookmarkStart w:id="185" w:name="_Toc9608"/>
      <w:bookmarkStart w:id="186" w:name="_Toc13651"/>
      <w:r>
        <w:rPr>
          <w:rFonts w:hint="eastAsia" w:ascii="仿宋" w:hAnsi="仿宋" w:eastAsia="仿宋"/>
          <w:color w:val="000000" w:themeColor="text1"/>
          <w:sz w:val="32"/>
          <w14:textFill>
            <w14:solidFill>
              <w14:schemeClr w14:val="tx1"/>
            </w14:solidFill>
          </w14:textFill>
        </w:rPr>
        <w:t>8</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要求</w:t>
      </w:r>
      <w:bookmarkEnd w:id="176"/>
      <w:bookmarkEnd w:id="177"/>
      <w:bookmarkEnd w:id="178"/>
      <w:bookmarkEnd w:id="179"/>
      <w:bookmarkEnd w:id="180"/>
      <w:bookmarkEnd w:id="181"/>
      <w:bookmarkEnd w:id="182"/>
      <w:bookmarkEnd w:id="183"/>
      <w:bookmarkEnd w:id="184"/>
      <w:bookmarkEnd w:id="185"/>
      <w:bookmarkEnd w:id="186"/>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187" w:name="_Toc26302"/>
      <w:bookmarkStart w:id="188" w:name="_Toc192925658"/>
      <w:bookmarkStart w:id="189" w:name="_Toc20485"/>
      <w:bookmarkStart w:id="190" w:name="_Toc191892310"/>
      <w:bookmarkStart w:id="191" w:name="_Toc15698"/>
      <w:bookmarkStart w:id="192" w:name="_Toc18141"/>
      <w:bookmarkStart w:id="193" w:name="_Toc20969"/>
      <w:bookmarkStart w:id="194" w:name="_Toc362"/>
      <w:bookmarkStart w:id="195" w:name="_Toc21237"/>
      <w:bookmarkStart w:id="196" w:name="_Toc11913"/>
      <w:bookmarkStart w:id="197" w:name="_Toc17872"/>
      <w:r>
        <w:rPr>
          <w:rFonts w:hint="eastAsia" w:ascii="仿宋" w:hAnsi="仿宋" w:eastAsia="仿宋"/>
          <w:color w:val="000000" w:themeColor="text1"/>
          <w:sz w:val="32"/>
          <w14:textFill>
            <w14:solidFill>
              <w14:schemeClr w14:val="tx1"/>
            </w14:solidFill>
          </w14:textFill>
        </w:rPr>
        <w:t>9</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投标文件语言</w:t>
      </w:r>
      <w:bookmarkEnd w:id="187"/>
      <w:bookmarkEnd w:id="188"/>
      <w:bookmarkEnd w:id="189"/>
      <w:bookmarkEnd w:id="190"/>
      <w:bookmarkEnd w:id="191"/>
      <w:bookmarkEnd w:id="192"/>
      <w:bookmarkEnd w:id="193"/>
      <w:bookmarkEnd w:id="194"/>
      <w:bookmarkEnd w:id="195"/>
      <w:bookmarkEnd w:id="196"/>
      <w:bookmarkEnd w:id="197"/>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198" w:name="_Toc2478"/>
      <w:bookmarkStart w:id="199" w:name="_Toc19766"/>
      <w:bookmarkStart w:id="200" w:name="_Toc192925659"/>
      <w:bookmarkStart w:id="201" w:name="_Toc191892311"/>
      <w:bookmarkStart w:id="202" w:name="_Toc20530"/>
      <w:bookmarkStart w:id="203" w:name="_Toc9365"/>
      <w:bookmarkStart w:id="204" w:name="_Toc1934"/>
      <w:bookmarkStart w:id="205" w:name="_Toc19647"/>
      <w:bookmarkStart w:id="206" w:name="_Toc6455"/>
      <w:bookmarkStart w:id="207" w:name="_Toc27857"/>
      <w:bookmarkStart w:id="208" w:name="_Toc21609"/>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198"/>
      <w:bookmarkEnd w:id="199"/>
      <w:bookmarkEnd w:id="200"/>
      <w:bookmarkEnd w:id="201"/>
      <w:bookmarkEnd w:id="202"/>
      <w:bookmarkEnd w:id="203"/>
      <w:bookmarkEnd w:id="204"/>
      <w:bookmarkEnd w:id="205"/>
      <w:bookmarkEnd w:id="206"/>
      <w:bookmarkEnd w:id="207"/>
      <w:bookmarkEnd w:id="208"/>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10.1.4</w:t>
      </w:r>
      <w:r>
        <w:rPr>
          <w:rFonts w:hint="eastAsia" w:ascii="仿宋" w:hAnsi="仿宋" w:eastAsia="仿宋"/>
          <w:color w:val="000000" w:themeColor="text1"/>
          <w:sz w:val="32"/>
          <w:szCs w:val="32"/>
          <w14:textFill>
            <w14:solidFill>
              <w14:schemeClr w14:val="tx1"/>
            </w14:solidFill>
          </w14:textFill>
        </w:rPr>
        <w:t>保安服务方案</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10.1.5投标人承诺函</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10.1.6投标人提交的其它资料</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10.1.7投标保证金</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209" w:name="_Toc29554"/>
      <w:bookmarkStart w:id="210" w:name="_Toc18697"/>
      <w:bookmarkStart w:id="211" w:name="_Toc191892312"/>
      <w:bookmarkStart w:id="212" w:name="_Toc31933"/>
      <w:bookmarkStart w:id="213" w:name="_Toc11431"/>
      <w:bookmarkStart w:id="214" w:name="_Toc21933"/>
      <w:bookmarkStart w:id="215" w:name="_Toc4894"/>
      <w:bookmarkStart w:id="216" w:name="_Toc21167"/>
      <w:bookmarkStart w:id="217" w:name="_Toc7261"/>
      <w:bookmarkStart w:id="218" w:name="_Toc192925660"/>
      <w:bookmarkStart w:id="219" w:name="_Toc11443"/>
      <w:r>
        <w:rPr>
          <w:rFonts w:hint="eastAsia" w:ascii="仿宋" w:hAnsi="仿宋" w:eastAsia="仿宋"/>
          <w:color w:val="000000" w:themeColor="text1"/>
          <w:sz w:val="32"/>
          <w14:textFill>
            <w14:solidFill>
              <w14:schemeClr w14:val="tx1"/>
            </w14:solidFill>
          </w14:textFill>
        </w:rPr>
        <w:t>11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投标有效期</w:t>
      </w:r>
      <w:bookmarkEnd w:id="209"/>
      <w:bookmarkEnd w:id="210"/>
      <w:bookmarkEnd w:id="211"/>
      <w:bookmarkEnd w:id="212"/>
      <w:bookmarkEnd w:id="213"/>
      <w:bookmarkEnd w:id="214"/>
      <w:bookmarkEnd w:id="215"/>
      <w:bookmarkEnd w:id="216"/>
      <w:bookmarkEnd w:id="217"/>
      <w:bookmarkEnd w:id="218"/>
      <w:bookmarkEnd w:id="219"/>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11.1投标文件从“</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第4项所规定的投标截止期之后开始生效，在“</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项所规定的期限内保持有效。有效期不足将导致其投标文件被拒绝。</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220" w:name="_Toc191892313"/>
      <w:bookmarkStart w:id="221" w:name="_Toc6280"/>
      <w:bookmarkStart w:id="222" w:name="_Toc2459"/>
      <w:bookmarkStart w:id="223" w:name="_Toc29932"/>
      <w:bookmarkStart w:id="224" w:name="_Toc17179"/>
      <w:bookmarkStart w:id="225" w:name="_Toc28770"/>
      <w:bookmarkStart w:id="226" w:name="_Toc192925661"/>
      <w:bookmarkStart w:id="227" w:name="_Toc3780"/>
      <w:bookmarkStart w:id="228" w:name="_Toc9014"/>
      <w:bookmarkStart w:id="229" w:name="_Toc3751"/>
      <w:bookmarkStart w:id="230" w:name="_Toc8234"/>
      <w:r>
        <w:rPr>
          <w:rFonts w:hint="eastAsia" w:ascii="仿宋" w:hAnsi="仿宋" w:eastAsia="仿宋"/>
          <w:color w:val="000000" w:themeColor="text1"/>
          <w:sz w:val="32"/>
          <w14:textFill>
            <w14:solidFill>
              <w14:schemeClr w14:val="tx1"/>
            </w14:solidFill>
          </w14:textFill>
        </w:rPr>
        <w:t>12. 投标保证金</w:t>
      </w:r>
      <w:bookmarkEnd w:id="220"/>
      <w:bookmarkEnd w:id="221"/>
      <w:bookmarkEnd w:id="222"/>
      <w:bookmarkEnd w:id="223"/>
      <w:bookmarkEnd w:id="224"/>
      <w:bookmarkEnd w:id="225"/>
      <w:bookmarkEnd w:id="226"/>
      <w:bookmarkEnd w:id="227"/>
      <w:bookmarkEnd w:id="228"/>
      <w:bookmarkEnd w:id="229"/>
      <w:bookmarkEnd w:id="230"/>
    </w:p>
    <w:p>
      <w:pPr>
        <w:spacing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12.1 投标保证金</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12.1.1 投标保证金为投标文件的组成部分之一。</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12.1.2 投标人应在提交投标文件之前，向招标人缴交“投标人须知前附表”第5项要求的投标保证金。</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12.1.3 投标保证金用于保护本次招标活动免受投标人的行为而引起的风险。</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12.1.4 投标保证金以转账或电汇形式提交，必须于投标截止时间前到账。</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12.1.5 未按规定缴交投标保证金的投标，将被视为无效投标。</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12.1.6 中标通知书发出后，招标人</w:t>
      </w:r>
      <w:r>
        <w:rPr>
          <w:rFonts w:ascii="仿宋" w:hAnsi="仿宋" w:eastAsia="仿宋"/>
          <w:color w:val="000000" w:themeColor="text1"/>
          <w:sz w:val="32"/>
          <w:szCs w:val="32"/>
          <w14:textFill>
            <w14:solidFill>
              <w14:schemeClr w14:val="tx1"/>
            </w14:solidFill>
          </w14:textFill>
        </w:rPr>
        <w:t>将</w:t>
      </w:r>
      <w:r>
        <w:rPr>
          <w:rFonts w:hint="eastAsia" w:ascii="仿宋" w:hAnsi="仿宋" w:eastAsia="仿宋"/>
          <w:color w:val="000000" w:themeColor="text1"/>
          <w:sz w:val="32"/>
          <w:szCs w:val="32"/>
          <w14:textFill>
            <w14:solidFill>
              <w14:schemeClr w14:val="tx1"/>
            </w14:solidFill>
          </w14:textFill>
        </w:rPr>
        <w:t>在20个工作日内予以原额无息退还未中标人的投标保证金。</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12.1.7 发生以下情况之一的，投标保证金将不予退还：</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⑴ 投标人在投标截止期后，投标有效期内撤回投标；</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⑵ 中标人未能做到按本须知第22条规定签订合同；</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⑶ 中标人未按本招标文件规定提交银行履约保函或履约保证金的；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⑷ 以他人名义投标或者以其他方式弄虚作假，骗取中标；</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⑸ 本招标文件中规定的其他没收投标保证金的情形。</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上述不予退还投标保证金的情况，如给招标人造成损失的，投标人还应承担赔偿责任。</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231" w:name="_Toc26548"/>
      <w:bookmarkStart w:id="232" w:name="_Toc16440"/>
      <w:bookmarkStart w:id="233" w:name="_Toc28487"/>
      <w:bookmarkStart w:id="234" w:name="_Toc25891"/>
      <w:bookmarkStart w:id="235" w:name="_Toc7503"/>
      <w:bookmarkStart w:id="236" w:name="_Toc192925662"/>
      <w:bookmarkStart w:id="237" w:name="_Toc191892314"/>
      <w:bookmarkStart w:id="238" w:name="_Toc6454"/>
      <w:bookmarkStart w:id="239" w:name="_Toc11042"/>
      <w:bookmarkStart w:id="240" w:name="_Toc9871"/>
      <w:bookmarkStart w:id="241" w:name="_Toc27617"/>
      <w:r>
        <w:rPr>
          <w:rFonts w:hint="eastAsia" w:ascii="仿宋" w:hAnsi="仿宋" w:eastAsia="仿宋"/>
          <w:color w:val="000000" w:themeColor="text1"/>
          <w:sz w:val="32"/>
          <w14:textFill>
            <w14:solidFill>
              <w14:schemeClr w14:val="tx1"/>
            </w14:solidFill>
          </w14:textFill>
        </w:rPr>
        <w:t>13</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投标文件的格式</w:t>
      </w:r>
      <w:bookmarkEnd w:id="231"/>
      <w:bookmarkEnd w:id="232"/>
      <w:bookmarkEnd w:id="233"/>
      <w:bookmarkEnd w:id="234"/>
      <w:bookmarkEnd w:id="235"/>
      <w:bookmarkEnd w:id="236"/>
      <w:bookmarkEnd w:id="237"/>
      <w:bookmarkEnd w:id="238"/>
      <w:bookmarkEnd w:id="239"/>
      <w:bookmarkEnd w:id="240"/>
      <w:bookmarkEnd w:id="241"/>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13.1 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13.2 投标文件应由投标人的法定代表人或者其授权代表签字并加盖公章，如由后者签字，应提供“法定代表人授权委托书”。</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13.3 除非有另外的规定或许可外，投标使用货币均为人民币。</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13.4 投标人应提交证明其拟供货物符合招标文件要求的技术响应文件，该文件可以是文字资料、图纸和数据，并须提供货物主要技术性能的详细描述。</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 xml:space="preserve">.5 </w:t>
      </w:r>
      <w:r>
        <w:rPr>
          <w:rFonts w:hint="eastAsia" w:ascii="仿宋" w:hAnsi="仿宋" w:eastAsia="仿宋"/>
          <w:color w:val="000000" w:themeColor="text1"/>
          <w:sz w:val="32"/>
          <w:szCs w:val="32"/>
          <w14:textFill>
            <w14:solidFill>
              <w14:schemeClr w14:val="tx1"/>
            </w14:solidFill>
          </w14:textFill>
        </w:rPr>
        <w:t>投标文件的正本和全部副本均应使用不能擦去的墨料或墨水打印、书写或复印，并由法定代表人或其授权代表签署，盖投标人公章。</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 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13.7 未按本招标文件规定的格式填写投标文件或投标文件字迹模糊不清的投标可能导致不利于投标人的评标结果。</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13.8 所有资格证明文件复印件，须加盖投标人公章。</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pStyle w:val="3"/>
        <w:keepNext w:val="0"/>
        <w:keepLines w:val="0"/>
        <w:spacing w:before="120" w:after="120" w:line="360" w:lineRule="auto"/>
        <w:ind w:left="-151" w:firstLine="321"/>
        <w:rPr>
          <w:rFonts w:hint="eastAsia" w:ascii="仿宋" w:hAnsi="仿宋" w:eastAsia="仿宋"/>
          <w:color w:val="000000" w:themeColor="text1"/>
          <w:sz w:val="32"/>
          <w14:textFill>
            <w14:solidFill>
              <w14:schemeClr w14:val="tx1"/>
            </w14:solidFill>
          </w14:textFill>
        </w:rPr>
      </w:pPr>
      <w:bookmarkStart w:id="242" w:name="_Toc25619"/>
      <w:bookmarkStart w:id="243" w:name="_Toc4731"/>
      <w:bookmarkStart w:id="244" w:name="_Toc20896"/>
      <w:bookmarkStart w:id="245" w:name="_Toc9182"/>
      <w:bookmarkStart w:id="246" w:name="_Toc21477"/>
      <w:bookmarkStart w:id="247" w:name="_Toc192925663"/>
      <w:bookmarkStart w:id="248" w:name="_Toc26098"/>
      <w:bookmarkStart w:id="249" w:name="_Toc14981"/>
      <w:bookmarkStart w:id="250" w:name="_Toc20955"/>
      <w:bookmarkStart w:id="251" w:name="_Toc191892315"/>
      <w:bookmarkStart w:id="252" w:name="_Toc26419"/>
      <w:r>
        <w:rPr>
          <w:rFonts w:hint="eastAsia" w:ascii="仿宋" w:hAnsi="仿宋" w:eastAsia="仿宋"/>
          <w:color w:val="000000" w:themeColor="text1"/>
          <w:sz w:val="32"/>
          <w14:textFill>
            <w14:solidFill>
              <w14:schemeClr w14:val="tx1"/>
            </w14:solidFill>
          </w14:textFill>
        </w:rPr>
        <w:t>第四节  投标文件的提交</w:t>
      </w:r>
      <w:bookmarkEnd w:id="242"/>
      <w:bookmarkEnd w:id="243"/>
      <w:bookmarkEnd w:id="244"/>
      <w:bookmarkEnd w:id="245"/>
      <w:bookmarkEnd w:id="246"/>
      <w:bookmarkEnd w:id="247"/>
      <w:bookmarkEnd w:id="248"/>
      <w:bookmarkEnd w:id="249"/>
      <w:bookmarkEnd w:id="250"/>
      <w:bookmarkEnd w:id="251"/>
      <w:bookmarkEnd w:id="252"/>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253" w:name="_Toc16567"/>
      <w:bookmarkStart w:id="254" w:name="_Toc25727"/>
      <w:bookmarkStart w:id="255" w:name="_Toc18054"/>
      <w:bookmarkStart w:id="256" w:name="_Toc192925664"/>
      <w:bookmarkStart w:id="257" w:name="_Toc11748"/>
      <w:bookmarkStart w:id="258" w:name="_Toc191892316"/>
      <w:bookmarkStart w:id="259" w:name="_Toc20729"/>
      <w:bookmarkStart w:id="260" w:name="_Toc7872"/>
      <w:bookmarkStart w:id="261" w:name="_Toc566"/>
      <w:bookmarkStart w:id="262" w:name="_Toc11508"/>
      <w:bookmarkStart w:id="263" w:name="_Toc3377"/>
      <w:r>
        <w:rPr>
          <w:rFonts w:hint="eastAsia" w:ascii="仿宋" w:hAnsi="仿宋" w:eastAsia="仿宋"/>
          <w:color w:val="000000" w:themeColor="text1"/>
          <w:sz w:val="32"/>
          <w14:textFill>
            <w14:solidFill>
              <w14:schemeClr w14:val="tx1"/>
            </w14:solidFill>
          </w14:textFill>
        </w:rPr>
        <w:t>14. 投标文件的密封、标记和递交</w:t>
      </w:r>
      <w:bookmarkEnd w:id="253"/>
      <w:bookmarkEnd w:id="254"/>
      <w:bookmarkEnd w:id="255"/>
      <w:bookmarkEnd w:id="256"/>
      <w:bookmarkEnd w:id="257"/>
      <w:bookmarkEnd w:id="258"/>
      <w:bookmarkEnd w:id="259"/>
      <w:bookmarkEnd w:id="260"/>
      <w:bookmarkEnd w:id="261"/>
      <w:bookmarkEnd w:id="262"/>
      <w:bookmarkEnd w:id="263"/>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14.1 投标人应将投标文件正本、副本、电子版分别用信封密封，并标明招标编号、招标项目名称、投标人名称等及“正本”、“副本”、“电子版”字样。投标文件未密封将导致其投标被拒绝。</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14.2 每一信封密封处应加盖投标人公章或由授权代表签字。</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14.3 投标人应将投标文件按照本须知第14.1条至第14.2条的规定进行密封和标记，按“投标人须知前附表”注明的地址和时间派专人送达接收人。</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14.4 如果未按上述规定进行密封和标记，招标人将不承担由此造成的对投标文件的误投或提前拆封的责任。</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14.5 投标文件应在投标邀请中规定的截止时间前送达，迟到的投标文件为无效投标文件，将被拒收。</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14.6 投标人在投标截止时间之前，允许对所提交的投标文件进行修改或者撤回，并书面通知招标人。修改的内容和撤回通知应当按本须知要求签署、盖章、密封，并作为投标文件的组成部分。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14.7 投标人在投标截止时间后不得修改、撤回投标文件。投标人在投标截止时间后修改投标文件的，其投标将被拒绝。</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264" w:name="_Toc191892317"/>
      <w:bookmarkStart w:id="265" w:name="_Toc192925665"/>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p>
    <w:p>
      <w:pPr>
        <w:pStyle w:val="3"/>
        <w:keepNext w:val="0"/>
        <w:keepLines w:val="0"/>
        <w:spacing w:before="120" w:after="120" w:line="360" w:lineRule="auto"/>
        <w:ind w:left="-151" w:firstLine="321"/>
        <w:rPr>
          <w:rFonts w:hint="eastAsia" w:ascii="仿宋" w:hAnsi="仿宋" w:eastAsia="仿宋"/>
          <w:color w:val="000000" w:themeColor="text1"/>
          <w:sz w:val="32"/>
          <w14:textFill>
            <w14:solidFill>
              <w14:schemeClr w14:val="tx1"/>
            </w14:solidFill>
          </w14:textFill>
        </w:rPr>
      </w:pPr>
      <w:bookmarkStart w:id="266" w:name="_Toc28672"/>
      <w:bookmarkStart w:id="267" w:name="_Toc26441"/>
      <w:bookmarkStart w:id="268" w:name="_Toc12653"/>
      <w:bookmarkStart w:id="269" w:name="_Toc2730"/>
      <w:bookmarkStart w:id="270" w:name="_Toc12691"/>
      <w:bookmarkStart w:id="271" w:name="_Toc30542"/>
      <w:bookmarkStart w:id="272" w:name="_Toc9080"/>
      <w:bookmarkStart w:id="273" w:name="_Toc11454"/>
      <w:bookmarkStart w:id="274" w:name="_Toc19934"/>
      <w:r>
        <w:rPr>
          <w:rFonts w:hint="eastAsia" w:ascii="仿宋" w:hAnsi="仿宋" w:eastAsia="仿宋"/>
          <w:color w:val="000000" w:themeColor="text1"/>
          <w:sz w:val="32"/>
          <w14:textFill>
            <w14:solidFill>
              <w14:schemeClr w14:val="tx1"/>
            </w14:solidFill>
          </w14:textFill>
        </w:rPr>
        <w:t>第五节  投标文件的评估和比较</w:t>
      </w:r>
      <w:bookmarkEnd w:id="264"/>
      <w:bookmarkEnd w:id="265"/>
      <w:bookmarkEnd w:id="266"/>
      <w:bookmarkEnd w:id="267"/>
      <w:bookmarkEnd w:id="268"/>
      <w:bookmarkEnd w:id="269"/>
      <w:bookmarkEnd w:id="270"/>
      <w:bookmarkEnd w:id="271"/>
      <w:bookmarkEnd w:id="272"/>
      <w:bookmarkEnd w:id="273"/>
      <w:bookmarkEnd w:id="274"/>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275" w:name="_Toc1626"/>
      <w:bookmarkStart w:id="276" w:name="_Toc192925666"/>
      <w:bookmarkStart w:id="277" w:name="_Toc27985"/>
      <w:bookmarkStart w:id="278" w:name="_Toc13618"/>
      <w:bookmarkStart w:id="279" w:name="_Toc29132"/>
      <w:bookmarkStart w:id="280" w:name="_Toc23732"/>
      <w:bookmarkStart w:id="281" w:name="_Toc191892318"/>
      <w:bookmarkStart w:id="282" w:name="_Toc2306"/>
      <w:bookmarkStart w:id="283" w:name="_Toc4583"/>
      <w:bookmarkStart w:id="284" w:name="_Toc13799"/>
      <w:bookmarkStart w:id="285" w:name="_Toc6635"/>
      <w:r>
        <w:rPr>
          <w:rFonts w:hint="eastAsia" w:ascii="仿宋" w:hAnsi="仿宋" w:eastAsia="仿宋"/>
          <w:color w:val="000000" w:themeColor="text1"/>
          <w:sz w:val="32"/>
          <w14:textFill>
            <w14:solidFill>
              <w14:schemeClr w14:val="tx1"/>
            </w14:solidFill>
          </w14:textFill>
        </w:rPr>
        <w:t>15．开标、评标时间</w:t>
      </w:r>
      <w:bookmarkEnd w:id="275"/>
      <w:bookmarkEnd w:id="276"/>
      <w:bookmarkEnd w:id="277"/>
      <w:bookmarkEnd w:id="278"/>
      <w:bookmarkEnd w:id="279"/>
      <w:bookmarkEnd w:id="280"/>
      <w:bookmarkEnd w:id="281"/>
      <w:bookmarkEnd w:id="282"/>
      <w:bookmarkEnd w:id="283"/>
      <w:bookmarkEnd w:id="284"/>
      <w:bookmarkEnd w:id="285"/>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15.1 在“投标人须知前附表”（有延期通知的以延期通知为准）中所规定的时间、地点开标。</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 招标人负责组建评标委员会，评标委员会负责评标工作。</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 本项目采用综合评分法评选方法评定，公司纪检人员进行监督。</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286" w:name="_Toc23522"/>
      <w:bookmarkStart w:id="287" w:name="_Toc30627"/>
      <w:bookmarkStart w:id="288" w:name="_Toc27522"/>
      <w:bookmarkStart w:id="289" w:name="_Toc21215"/>
      <w:bookmarkStart w:id="290" w:name="_Toc5700"/>
      <w:bookmarkStart w:id="291" w:name="_Toc21678"/>
      <w:bookmarkStart w:id="292" w:name="_Toc8811"/>
      <w:bookmarkStart w:id="293" w:name="_Toc1675"/>
      <w:bookmarkStart w:id="294" w:name="_Toc24318"/>
      <w:r>
        <w:rPr>
          <w:rFonts w:hint="eastAsia" w:ascii="仿宋" w:hAnsi="仿宋" w:eastAsia="仿宋"/>
          <w:color w:val="000000" w:themeColor="text1"/>
          <w:sz w:val="32"/>
          <w14:textFill>
            <w14:solidFill>
              <w14:schemeClr w14:val="tx1"/>
            </w14:solidFill>
          </w14:textFill>
        </w:rPr>
        <w:t>16．评标委员会</w:t>
      </w:r>
      <w:bookmarkEnd w:id="286"/>
      <w:bookmarkEnd w:id="287"/>
      <w:bookmarkEnd w:id="288"/>
      <w:bookmarkEnd w:id="289"/>
      <w:bookmarkEnd w:id="290"/>
      <w:bookmarkEnd w:id="291"/>
      <w:bookmarkEnd w:id="292"/>
      <w:bookmarkEnd w:id="293"/>
      <w:bookmarkEnd w:id="294"/>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16.1 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295" w:name="_Toc191892320"/>
      <w:bookmarkStart w:id="296" w:name="_Toc24030"/>
      <w:bookmarkStart w:id="297" w:name="_Toc2424"/>
      <w:bookmarkStart w:id="298" w:name="_Toc29315"/>
      <w:bookmarkStart w:id="299" w:name="_Toc192925668"/>
      <w:bookmarkStart w:id="300" w:name="_Toc18064"/>
      <w:bookmarkStart w:id="301" w:name="_Toc18173"/>
      <w:bookmarkStart w:id="302" w:name="_Toc13205"/>
      <w:bookmarkStart w:id="303" w:name="_Toc6050"/>
      <w:bookmarkStart w:id="304" w:name="_Toc31355"/>
      <w:bookmarkStart w:id="305" w:name="_Toc24784"/>
      <w:r>
        <w:rPr>
          <w:rFonts w:hint="eastAsia" w:ascii="仿宋" w:hAnsi="仿宋" w:eastAsia="仿宋"/>
          <w:color w:val="000000" w:themeColor="text1"/>
          <w:sz w:val="32"/>
          <w14:textFill>
            <w14:solidFill>
              <w14:schemeClr w14:val="tx1"/>
            </w14:solidFill>
          </w14:textFill>
        </w:rPr>
        <w:t>17</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投标文件的初审</w:t>
      </w:r>
      <w:bookmarkEnd w:id="295"/>
      <w:bookmarkEnd w:id="296"/>
      <w:bookmarkEnd w:id="297"/>
      <w:bookmarkEnd w:id="298"/>
      <w:bookmarkEnd w:id="299"/>
      <w:bookmarkEnd w:id="300"/>
      <w:bookmarkEnd w:id="301"/>
      <w:bookmarkEnd w:id="302"/>
      <w:bookmarkEnd w:id="303"/>
      <w:bookmarkEnd w:id="304"/>
      <w:bookmarkEnd w:id="305"/>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对所有投标人的评估，都采用相同的程序和标准。评议过程将严格按照招标文件的要求和条件进行。</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有关投标文件的审查、澄清、评估和比较以及推荐中标候选人的一切情况，都不得透露给任一投标人或与上述评标工作无关的人员。</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投标人任何试图影响评委会对投标文件的评估、比较或者推荐候选人的行为，都将导致其投标被拒绝，并被没收投标保证金。</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17.1 评标委员会将对投标文件进行审查，以确定投标文件是否完整、有无计算上的错误、是否提交了投标保证金、文件是否已正确签署。</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17.2 算术错误将按以下方法更正：</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如投标文件中“开标一览表（报价表）”内容与投标文件中的明细表内容不一致的，以“开标一览表（报价表）”为准。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如果投标人不接受按上述方法对投标文件中的算术错误进行更正，其投标将被拒绝并没收其投标保证金。</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17.3 资格性检查和符合性检查 </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以确定其是否具备投标资格。如果投标人不具备投标资格，不满足招标文件所规定的资格标准，或者其提供的资格证明文件不全的，其投标将被拒绝。</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实质性偏离是指：（</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）实质性影响合同的范围、质量和履行；（</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）不公正地影响了其它作出实质性响应的投标人的竞争地位。</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对没有实质性响应的投标文件将不进行评估，其投标将被拒绝。</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凡有下列情况之一者，投标文件也将被视为未实质性响应招标文件要求：</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投标文件未按照本须知第14条的规定进行密封、标记的；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未按规定由投标人的法定代表人或其授权代表签字，或未加盖投标人公章的；或签字人未提供法定代表人有效授权委托书原件的；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未按规定提交投标保证金的；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投标有效期不满足招标文件要求的；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 投标内容与招标内容及要求有重大偏离或保留的；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投标人提交的是可选择的报价；</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投标人未按规定对投标进行分项报价；</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 一个投标人对同一个合同包不止投一个标的；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 投标文件组成不符合招标文件要求的；</w:t>
      </w:r>
    </w:p>
    <w:p>
      <w:pPr>
        <w:spacing w:line="360" w:lineRule="auto"/>
        <w:ind w:left="-151"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(10) 投标文件中提供虚假或失实资料的；</w:t>
      </w:r>
    </w:p>
    <w:p>
      <w:pPr>
        <w:spacing w:line="360" w:lineRule="auto"/>
        <w:ind w:left="-151"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(11) 不符合招标文件中规定的</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号条款或其它实质性条款要求的。</w:t>
      </w:r>
    </w:p>
    <w:p>
      <w:pPr>
        <w:spacing w:line="360" w:lineRule="auto"/>
        <w:ind w:left="-151"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投标人存在下列情形之一的，将被认定为串通投标行为并作无效投标处理：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（1）投标人之间协商投标报价等投标文件的实质性内容；</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（2）投标人之间约定中标供应商；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（3）投标人之间约定部分投标人放弃投标或者中标；</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（4）属于同一集团、协会、商会等组织成员的投标人按照该组织要求协同投标；</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（5）投标人之间为谋取中标或者排斥特定投标人而采取的其他联合行动；</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（6）不同投标人的投标文件由同一单位或者个人编制；</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（7）不同投标人委托同一单位或者个人办理投标事宜；</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（8）不同投标人的投标文件载明的项目管理成员为同一人；</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（9）不同投标人的投标文件异常一致或者投标报价呈规律性差异；</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（10）不同投标人的投标文件相互混装；</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（11）不同投标人的投标保证金从同一单位或者个人的账户转出。</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（12）不同投标人的投标文件错、漏之处一致或雷同，且不能合理解释的；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（13）不同的投标人的法定代表人、委托代理人等由同一个单位缴纳社会保险的；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（15）有关法律、法规或规章规定的其他串通投标行为。</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评标委员会决定投标的响应性，只根据投标文件本身的内容，而不寻求其他的外部证据。</w:t>
      </w:r>
    </w:p>
    <w:p>
      <w:pPr>
        <w:pStyle w:val="4"/>
        <w:spacing w:before="120" w:after="120" w:line="360" w:lineRule="auto"/>
        <w:ind w:left="-151" w:firstLine="643" w:firstLineChars="200"/>
        <w:rPr>
          <w:rFonts w:hint="eastAsia" w:ascii="仿宋" w:hAnsi="仿宋" w:eastAsia="仿宋" w:cs="仿宋"/>
          <w:color w:val="000000" w:themeColor="text1"/>
          <w:sz w:val="32"/>
          <w14:textFill>
            <w14:solidFill>
              <w14:schemeClr w14:val="tx1"/>
            </w14:solidFill>
          </w14:textFill>
        </w:rPr>
      </w:pPr>
      <w:bookmarkStart w:id="306" w:name="_Toc377"/>
      <w:bookmarkStart w:id="307" w:name="_Toc2250"/>
      <w:bookmarkStart w:id="308" w:name="_Toc20479"/>
      <w:bookmarkStart w:id="309" w:name="_Toc26989"/>
      <w:bookmarkStart w:id="310" w:name="_Toc13539"/>
      <w:bookmarkStart w:id="311" w:name="_Toc26410"/>
      <w:bookmarkStart w:id="312" w:name="_Toc23169"/>
      <w:bookmarkStart w:id="313" w:name="_Toc24292"/>
      <w:bookmarkStart w:id="314" w:name="_Toc13297"/>
      <w:bookmarkStart w:id="315" w:name="_Toc1479"/>
      <w:bookmarkStart w:id="316" w:name="_Toc14439"/>
      <w:bookmarkStart w:id="317" w:name="_Toc18242"/>
      <w:r>
        <w:rPr>
          <w:rFonts w:hint="eastAsia" w:ascii="仿宋" w:hAnsi="仿宋" w:eastAsia="仿宋" w:cs="仿宋"/>
          <w:color w:val="000000" w:themeColor="text1"/>
          <w:sz w:val="32"/>
          <w14:textFill>
            <w14:solidFill>
              <w14:schemeClr w14:val="tx1"/>
            </w14:solidFill>
          </w14:textFill>
        </w:rPr>
        <w:t>18.评标办法</w:t>
      </w:r>
      <w:bookmarkEnd w:id="306"/>
      <w:bookmarkEnd w:id="307"/>
      <w:bookmarkEnd w:id="308"/>
      <w:bookmarkEnd w:id="309"/>
      <w:bookmarkEnd w:id="310"/>
      <w:bookmarkEnd w:id="311"/>
      <w:bookmarkEnd w:id="312"/>
      <w:bookmarkEnd w:id="313"/>
      <w:bookmarkEnd w:id="314"/>
      <w:bookmarkEnd w:id="315"/>
      <w:bookmarkEnd w:id="316"/>
    </w:p>
    <w:p>
      <w:pPr>
        <w:widowControl/>
        <w:shd w:val="clear" w:color="auto" w:fill="FFFFFF"/>
        <w:adjustRightInd w:val="0"/>
        <w:snapToGrid w:val="0"/>
        <w:spacing w:before="60" w:beforeLines="25" w:after="60" w:afterLines="25" w:line="360" w:lineRule="auto"/>
        <w:ind w:left="-151"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本次招标采用</w:t>
      </w:r>
      <w:r>
        <w:rPr>
          <w:rFonts w:hint="eastAsia" w:ascii="仿宋" w:hAnsi="仿宋" w:eastAsia="仿宋"/>
          <w:bCs/>
          <w:color w:val="000000" w:themeColor="text1"/>
          <w:sz w:val="32"/>
          <w:szCs w:val="32"/>
          <w14:textFill>
            <w14:solidFill>
              <w14:schemeClr w14:val="tx1"/>
            </w14:solidFill>
          </w14:textFill>
        </w:rPr>
        <w:t>综合评分法</w:t>
      </w:r>
      <w:r>
        <w:rPr>
          <w:rFonts w:hint="eastAsia" w:ascii="仿宋" w:hAnsi="仿宋" w:eastAsia="仿宋" w:cs="仿宋"/>
          <w:bCs/>
          <w:color w:val="000000" w:themeColor="text1"/>
          <w:sz w:val="32"/>
          <w:szCs w:val="32"/>
          <w14:textFill>
            <w14:solidFill>
              <w14:schemeClr w14:val="tx1"/>
            </w14:solidFill>
          </w14:textFill>
        </w:rPr>
        <w:t>评标。</w:t>
      </w:r>
    </w:p>
    <w:p>
      <w:pPr>
        <w:pStyle w:val="4"/>
        <w:spacing w:before="120" w:after="120" w:line="360" w:lineRule="auto"/>
        <w:ind w:left="-151" w:firstLine="643" w:firstLineChars="200"/>
        <w:rPr>
          <w:rFonts w:hint="eastAsia" w:ascii="仿宋" w:hAnsi="仿宋" w:eastAsia="仿宋" w:cs="仿宋"/>
          <w:color w:val="000000" w:themeColor="text1"/>
          <w:sz w:val="32"/>
          <w14:textFill>
            <w14:solidFill>
              <w14:schemeClr w14:val="tx1"/>
            </w14:solidFill>
          </w14:textFill>
        </w:rPr>
      </w:pPr>
      <w:bookmarkStart w:id="318" w:name="_Toc32641"/>
      <w:bookmarkStart w:id="319" w:name="_Toc30458"/>
      <w:bookmarkStart w:id="320" w:name="_Toc32498"/>
      <w:r>
        <w:rPr>
          <w:rFonts w:hint="eastAsia" w:ascii="仿宋" w:hAnsi="仿宋" w:eastAsia="仿宋" w:cs="仿宋"/>
          <w:color w:val="000000" w:themeColor="text1"/>
          <w:sz w:val="32"/>
          <w14:textFill>
            <w14:solidFill>
              <w14:schemeClr w14:val="tx1"/>
            </w14:solidFill>
          </w14:textFill>
        </w:rPr>
        <w:t>18.1 具体的评标标准（评标办法）</w:t>
      </w:r>
      <w:bookmarkEnd w:id="318"/>
      <w:bookmarkEnd w:id="319"/>
      <w:bookmarkEnd w:id="320"/>
    </w:p>
    <w:p>
      <w:pPr>
        <w:shd w:val="clear" w:color="auto" w:fill="FFFFFF"/>
        <w:spacing w:line="360" w:lineRule="auto"/>
        <w:ind w:left="-151"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18.1.1 </w:t>
      </w:r>
      <w:r>
        <w:rPr>
          <w:rFonts w:hint="eastAsia" w:ascii="仿宋" w:hAnsi="仿宋" w:eastAsia="仿宋" w:cs="华文细黑"/>
          <w:color w:val="000000" w:themeColor="text1"/>
          <w:sz w:val="32"/>
          <w:szCs w:val="32"/>
          <w14:textFill>
            <w14:solidFill>
              <w14:schemeClr w14:val="tx1"/>
            </w14:solidFill>
          </w14:textFill>
        </w:rPr>
        <w:t>初审合格（即资格性、符合性检查合格并按其他相关条款审查后）的投标人在三家以上（含三家）的，评标委员会将按以下评标方法与标准，对初审合格的投标文件进行商务和技术评估，综合比较与评价</w:t>
      </w:r>
      <w:r>
        <w:rPr>
          <w:rFonts w:hint="eastAsia" w:ascii="仿宋" w:hAnsi="仿宋" w:eastAsia="仿宋" w:cs="仿宋"/>
          <w:color w:val="000000" w:themeColor="text1"/>
          <w:sz w:val="32"/>
          <w:szCs w:val="32"/>
          <w14:textFill>
            <w14:solidFill>
              <w14:schemeClr w14:val="tx1"/>
            </w14:solidFill>
          </w14:textFill>
        </w:rPr>
        <w:t>。</w:t>
      </w:r>
    </w:p>
    <w:p>
      <w:pPr>
        <w:snapToGrid w:val="0"/>
        <w:spacing w:line="360" w:lineRule="auto"/>
        <w:ind w:left="-151" w:firstLine="472" w:firstLineChars="147"/>
        <w:rPr>
          <w:rStyle w:val="22"/>
          <w:rFonts w:hint="eastAsia" w:ascii="仿宋" w:hAnsi="仿宋" w:eastAsia="仿宋" w:cs="仿宋"/>
          <w:color w:val="000000" w:themeColor="text1"/>
          <w:sz w:val="32"/>
          <w:szCs w:val="32"/>
          <w14:textFill>
            <w14:solidFill>
              <w14:schemeClr w14:val="tx1"/>
            </w14:solidFill>
          </w14:textFill>
        </w:rPr>
      </w:pPr>
      <w:r>
        <w:rPr>
          <w:rStyle w:val="22"/>
          <w:rFonts w:hint="eastAsia" w:ascii="仿宋" w:hAnsi="仿宋" w:eastAsia="仿宋" w:cs="仿宋"/>
          <w:color w:val="000000" w:themeColor="text1"/>
          <w:sz w:val="32"/>
          <w:szCs w:val="32"/>
          <w14:textFill>
            <w14:solidFill>
              <w14:schemeClr w14:val="tx1"/>
            </w14:solidFill>
          </w14:textFill>
        </w:rPr>
        <w:t>（1）技术分F1（</w:t>
      </w:r>
      <w:r>
        <w:rPr>
          <w:rFonts w:hint="eastAsia" w:ascii="仿宋" w:hAnsi="仿宋" w:eastAsia="仿宋" w:cs="仿宋"/>
          <w:b/>
          <w:color w:val="000000" w:themeColor="text1"/>
          <w:sz w:val="32"/>
          <w:szCs w:val="32"/>
          <w14:textFill>
            <w14:solidFill>
              <w14:schemeClr w14:val="tx1"/>
            </w14:solidFill>
          </w14:textFill>
        </w:rPr>
        <w:t>满分40分</w:t>
      </w:r>
      <w:r>
        <w:rPr>
          <w:rStyle w:val="22"/>
          <w:rFonts w:hint="eastAsia" w:ascii="仿宋" w:hAnsi="仿宋" w:eastAsia="仿宋" w:cs="仿宋"/>
          <w:color w:val="000000" w:themeColor="text1"/>
          <w:sz w:val="32"/>
          <w:szCs w:val="32"/>
          <w14:textFill>
            <w14:solidFill>
              <w14:schemeClr w14:val="tx1"/>
            </w14:solidFill>
          </w14:textFill>
        </w:rPr>
        <w:t>）</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6755"/>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8" w:type="dxa"/>
            <w:vAlign w:val="center"/>
          </w:tcPr>
          <w:p>
            <w:pPr>
              <w:snapToGrid w:val="0"/>
              <w:spacing w:line="400" w:lineRule="exact"/>
              <w:ind w:left="-151" w:firstLine="280"/>
              <w:jc w:val="center"/>
              <w:rPr>
                <w:rFonts w:hint="eastAsia" w:ascii="仿宋" w:hAnsi="仿宋" w:eastAsia="仿宋" w:cs="仿宋"/>
                <w:bCs/>
                <w:color w:val="000000" w:themeColor="text1"/>
                <w:kern w:val="10"/>
                <w:sz w:val="28"/>
                <w:szCs w:val="28"/>
                <w14:textFill>
                  <w14:solidFill>
                    <w14:schemeClr w14:val="tx1"/>
                  </w14:solidFill>
                </w14:textFill>
              </w:rPr>
            </w:pPr>
            <w:r>
              <w:rPr>
                <w:rFonts w:hint="eastAsia" w:ascii="仿宋" w:hAnsi="仿宋" w:eastAsia="仿宋" w:cs="仿宋"/>
                <w:bCs/>
                <w:color w:val="000000" w:themeColor="text1"/>
                <w:kern w:val="10"/>
                <w:sz w:val="28"/>
                <w:szCs w:val="28"/>
                <w14:textFill>
                  <w14:solidFill>
                    <w14:schemeClr w14:val="tx1"/>
                  </w14:solidFill>
                </w14:textFill>
              </w:rPr>
              <w:t>序号</w:t>
            </w:r>
          </w:p>
        </w:tc>
        <w:tc>
          <w:tcPr>
            <w:tcW w:w="6755" w:type="dxa"/>
            <w:vAlign w:val="center"/>
          </w:tcPr>
          <w:p>
            <w:pPr>
              <w:snapToGrid w:val="0"/>
              <w:spacing w:line="400" w:lineRule="exact"/>
              <w:ind w:left="-151" w:firstLine="28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评分界定</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6755" w:type="dxa"/>
            <w:vAlign w:val="center"/>
          </w:tcPr>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根据投标人针对本项目服务内容及总体要求，提出消</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防管理、公共突发紧急事件应急处理、台风暴雨等自</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然灾害的预防和应急处理措施。预防和应急处理方案</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详细、具体、完整、合理可行、重点突出、可操作性</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强的得3分；方案较详细具体，具有较强的可操作性，</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虽有缺漏，但能够把握重点、不影响项目实施的得2</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分；方案存在缺漏，但基本满足项目实施需要的得1</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分；方案存在缺漏，对项目实施影响较大或者未提供</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方案的不得分。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adjustRightInd w:val="0"/>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2"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6755" w:type="dxa"/>
            <w:vAlign w:val="center"/>
          </w:tcPr>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投标人通过项目现场踏勘，针对安保服务特点，列出</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管理上的难点、重点及解决方案，并提供现场踏勘报</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告。评标小组按优（3分）、良（2分）、一般（1</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分）打分，未提供分析方案或未对现场进行踏勘均不</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得分。（优：针对本项目服务内容和项目特点进行难</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点、重点分析全面完整，提出的解决方案具备针对性</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及可行性，现场踏勘报告完整、图文并茂；良：针对</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本项目服务内容和项目特点进行难点、重点分析较完</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整，提出的解决方案具备一定的针对性及可行性，有</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提供较完整的现场踏勘报告；一般：针对本项目服务</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内容和项目特点的难点、重点分析不够突出、有欠缺，</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提出的解决方案针对性及可行性较差，现场踏勘报告</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简单或者信息不完整）。</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978" w:type="dxa"/>
            <w:tcBorders>
              <w:bottom w:val="single" w:color="auto" w:sz="4" w:space="0"/>
            </w:tcBorders>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6755" w:type="dxa"/>
            <w:vAlign w:val="center"/>
          </w:tcPr>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根据投标人针对本项目服务内容及总体要求，提出监</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控系统、消防系统、车辆人员出入系统等公共设备设</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施日常维护管理、交通和车辆停放秩序的管理方案。</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方案详细、具体、完整、合理可行、重点突出、可操</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作性强的得3分；方案较详细具体，具有较强的可操</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作性，虽有缺漏，但能够把握重点、不影响项目实施</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的得2分；方案存在缺漏，但基本满足项目实施需要</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的得1分；方案存在缺漏，对项目实施影响较大或者</w:t>
            </w:r>
          </w:p>
          <w:p>
            <w:pPr>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未提供方案的不得分。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78" w:type="dxa"/>
            <w:tcBorders>
              <w:bottom w:val="single" w:color="auto" w:sz="4" w:space="0"/>
            </w:tcBorders>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6755" w:type="dxa"/>
            <w:vAlign w:val="center"/>
          </w:tcPr>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根据投标人针对本项目服务内容及总体要求，提出公</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共安全秩序的维护方案（包括安全监控、巡视、门岗</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执勤等；建立24小时值班制度及来访人员登记制度，</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协助接受报修、求助、建议、问询、质疑、投诉等与</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公共安全有关信息的收集和反馈）。方案详细、具体、</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完整、合理可行、重点突出、可操作性强的得3分；</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方案较详细具体，具有较强的可操作性，虽有缺漏，</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但能够把握重点、不影响项目实施的得2分；方案存</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在缺漏，但基本满足项目实施需要的得1分；方案存</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在缺漏，对项目实施影响较大或者未提供方案的不得</w:t>
            </w:r>
          </w:p>
          <w:p>
            <w:pPr>
              <w:snapToGrid w:val="0"/>
              <w:spacing w:line="400" w:lineRule="exact"/>
              <w:ind w:left="-151" w:right="31" w:rightChars="15" w:firstLine="28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jc w:val="center"/>
        </w:trPr>
        <w:tc>
          <w:tcPr>
            <w:tcW w:w="978" w:type="dxa"/>
            <w:tcBorders>
              <w:top w:val="single" w:color="auto" w:sz="4" w:space="0"/>
            </w:tcBorders>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根据投标人针对本项目服务内容及总体要求，提出如</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遇项目举办大型活动、迎接上级检查评估以及处于特</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殊敏感时期的其它安全保障工作方案。方案详细、具</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体、完整、合理可行、重点突出、可操作性强的得3</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分；方案较详细具体，具有较强的可操作性，虽有缺</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漏，但能够把握重点、不影响项目实施的得2分；方</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案存在缺漏，但基本满足项目实施需要的得1分；方</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案存在缺漏，对项目实施影响较大或者未提供方案的</w:t>
            </w:r>
          </w:p>
          <w:p>
            <w:pPr>
              <w:adjustRightInd w:val="0"/>
              <w:snapToGrid w:val="0"/>
              <w:spacing w:line="400" w:lineRule="exact"/>
              <w:ind w:left="0"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adjustRightInd w:val="0"/>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6755" w:type="dxa"/>
            <w:vAlign w:val="center"/>
          </w:tcPr>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根据投标人拟投入的设备进行评价，所有岗位配备反</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恐防暴、处突防卫器具：防爆钢叉、防爆盾牌、强光</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手电筒、辣椒水、防割手套、伸缩棍（且安保器材等</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威慑犯罪的器具必须由投标人向公安部门报批，并尽</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可能多配置一些其它安全防卫器具。）投标人应提供</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设备清单表，详细列出设备品牌、型号、功能、数量</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等：设备种类众多、功能齐全、质量有保障的得3分；</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设备种类较多，功能较齐全的得2分；设备只能基本</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满足项目需要的得1分；其他不得分。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adjustRightInd w:val="0"/>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6755" w:type="dxa"/>
            <w:vAlign w:val="center"/>
          </w:tcPr>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根据投标人提供的“维序部”人员（维序员）配置及</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日常运作管理方案的完整性、合理性、可行性情况，</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由评标委员会进行横向评议，优得2分，良得1分，</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一般得不得分，未提供或偏差较大的不得分。（优：</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“维序部”人员（维序员）配置及日常运作管理方案</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完整且合理可行的；良：“维序部”人员（维序员）</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配置及日常运作管理方案较完整且较合理可行的；一</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般：“维序部”人员（维序员）配置及日常运作管理</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方案有偏差、可行性较一般的）</w:t>
            </w:r>
            <w:r>
              <w:rPr>
                <w:rFonts w:hint="eastAsia" w:ascii="仿宋" w:hAnsi="仿宋" w:eastAsia="仿宋" w:cs="仿宋"/>
                <w:color w:val="000000" w:themeColor="text1"/>
                <w:kern w:val="0"/>
                <w:sz w:val="28"/>
                <w:szCs w:val="28"/>
                <w14:textFill>
                  <w14:solidFill>
                    <w14:schemeClr w14:val="tx1"/>
                  </w14:solidFill>
                </w14:textFill>
              </w:rPr>
              <w:t>。</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6755" w:type="dxa"/>
            <w:vAlign w:val="center"/>
          </w:tcPr>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根据投标人针对本项目编制的管理组织架构、管理职</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责、日常运行管理制度及监督机制、信息反馈渠道及</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处理机制情况，由评标委员会进行横向评议，优得3</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分，良得2分，一般得1分，未提供或偏差较大的不</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得分。（优：针对本项目编制的管理组织架构、管理</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职责、日常运行管理制度及监督机制、信息反馈渠道</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及处理机制完整且配备合理可行的；良：针对本项目</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编制的管理组织架构、管理职责、日常运行管理制度</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及监督机制、信息反馈渠道及处理机制较完整、配备</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较合理可行的；一般：针对本项目编制的管理组织架</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构、管理职责、日常运行管理制度及监督机制、信息</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反馈渠道及处理机制虽有偏差、但不影响服务效果，</w:t>
            </w:r>
          </w:p>
          <w:p>
            <w:pPr>
              <w:snapToGrid w:val="0"/>
              <w:spacing w:line="400" w:lineRule="exact"/>
              <w:ind w:left="0" w:right="31" w:rightChars="15" w:firstLine="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具有一定可行性的）</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9</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根据投标人针对本项目编制制定的岗位设置、各岗位</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人数、人员年龄情况进行评议，维序人员年龄不得超</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过40周岁，其中35周岁以下所占比例不低于60%。</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优得3分，良得2分，一般得1分。（优：岗位设置、</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各岗位人数能优于的最低需求、人员年龄结构搭配合</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理；良：岗位设置、各岗位人数能满足或优于的最低</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需求、人员年龄结构搭配较合理；一般：岗位设置、</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各岗位人数低于的最低需求或人员年龄结构搭配不</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合理）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adjustRightInd w:val="0"/>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10</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根据项目维序领班的履历情况进行评价（承诺人员须</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与派遣人员一致）：①具有高中学历达到100%，同时</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退役军人员需达到40%，派遣的员工需100%持有保安</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证，监控岗2人需持有四级消防设施操作员证书，且</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男性年龄不超过40周岁，需提供本人的身份证及学</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历、职业证书有效复印件并加盖投标人公章；退伍军</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人需提供退伍证复印件并加盖投标人公章；②具备2</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年以上（含2年）住宅项目、写字楼、高校、政府机</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关、企事业单位物业安防管理从业经验，身体健康、</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无犯罪记录；③本企业人员，需提供近半年连续三个</w:t>
            </w:r>
          </w:p>
          <w:p>
            <w:pPr>
              <w:adjustRightInd w:val="0"/>
              <w:snapToGrid w:val="0"/>
              <w:spacing w:line="400" w:lineRule="exact"/>
              <w:ind w:left="0" w:firstLine="0"/>
              <w:jc w:val="left"/>
              <w:rPr>
                <w:rFonts w:hint="eastAsia" w:ascii="仿宋" w:hAnsi="仿宋" w:eastAsia="仿宋" w:cs="仿宋"/>
                <w:color w:val="000000" w:themeColor="text1"/>
                <w:kern w:val="1"/>
                <w:sz w:val="28"/>
                <w:szCs w:val="28"/>
                <w:lang w:val="en-US" w:eastAsia="zh-CN"/>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月的社保缴交证明。以上条件均符合的得2分；如</w:t>
            </w:r>
            <w:r>
              <w:rPr>
                <w:rFonts w:hint="eastAsia" w:ascii="仿宋" w:hAnsi="仿宋" w:eastAsia="仿宋" w:cs="仿宋"/>
                <w:color w:val="000000" w:themeColor="text1"/>
                <w:kern w:val="1"/>
                <w:sz w:val="28"/>
                <w:szCs w:val="28"/>
                <w:lang w:val="en-US" w:eastAsia="zh-CN"/>
                <w14:textFill>
                  <w14:solidFill>
                    <w14:schemeClr w14:val="tx1"/>
                  </w14:solidFill>
                </w14:textFill>
              </w:rPr>
              <w:t>符</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lang w:val="en-US" w:eastAsia="zh-CN"/>
                <w14:textFill>
                  <w14:solidFill>
                    <w14:schemeClr w14:val="tx1"/>
                  </w14:solidFill>
                </w14:textFill>
              </w:rPr>
              <w:t>合</w:t>
            </w:r>
            <w:r>
              <w:rPr>
                <w:rFonts w:hint="eastAsia" w:ascii="仿宋" w:hAnsi="仿宋" w:eastAsia="仿宋" w:cs="仿宋"/>
                <w:color w:val="000000" w:themeColor="text1"/>
                <w:kern w:val="1"/>
                <w:sz w:val="28"/>
                <w:szCs w:val="28"/>
                <w14:textFill>
                  <w14:solidFill>
                    <w14:schemeClr w14:val="tx1"/>
                  </w14:solidFill>
                </w14:textFill>
              </w:rPr>
              <w:t>条件①得1分，</w:t>
            </w:r>
            <w:r>
              <w:rPr>
                <w:rFonts w:hint="eastAsia" w:ascii="仿宋" w:hAnsi="仿宋" w:eastAsia="仿宋" w:cs="仿宋"/>
                <w:color w:val="000000" w:themeColor="text1"/>
                <w:kern w:val="1"/>
                <w:sz w:val="28"/>
                <w:szCs w:val="28"/>
                <w:lang w:val="en-US" w:eastAsia="zh-CN"/>
                <w14:textFill>
                  <w14:solidFill>
                    <w14:schemeClr w14:val="tx1"/>
                  </w14:solidFill>
                </w14:textFill>
              </w:rPr>
              <w:t>符合条</w:t>
            </w:r>
            <w:r>
              <w:rPr>
                <w:rFonts w:hint="eastAsia" w:ascii="仿宋" w:hAnsi="仿宋" w:eastAsia="仿宋" w:cs="仿宋"/>
                <w:color w:val="000000" w:themeColor="text1"/>
                <w:kern w:val="1"/>
                <w:sz w:val="28"/>
                <w:szCs w:val="28"/>
                <w14:textFill>
                  <w14:solidFill>
                    <w14:schemeClr w14:val="tx1"/>
                  </w14:solidFill>
                </w14:textFill>
              </w:rPr>
              <w:t>件②、③</w:t>
            </w:r>
            <w:r>
              <w:rPr>
                <w:rFonts w:hint="eastAsia" w:ascii="仿宋" w:hAnsi="仿宋" w:eastAsia="仿宋" w:cs="仿宋"/>
                <w:color w:val="000000" w:themeColor="text1"/>
                <w:kern w:val="1"/>
                <w:sz w:val="28"/>
                <w:szCs w:val="28"/>
                <w:lang w:val="en-US" w:eastAsia="zh-CN"/>
                <w14:textFill>
                  <w14:solidFill>
                    <w14:schemeClr w14:val="tx1"/>
                  </w14:solidFill>
                </w14:textFill>
              </w:rPr>
              <w:t>各</w:t>
            </w:r>
            <w:r>
              <w:rPr>
                <w:rFonts w:hint="eastAsia" w:ascii="仿宋" w:hAnsi="仿宋" w:eastAsia="仿宋" w:cs="仿宋"/>
                <w:color w:val="000000" w:themeColor="text1"/>
                <w:kern w:val="1"/>
                <w:sz w:val="28"/>
                <w:szCs w:val="28"/>
                <w14:textFill>
                  <w14:solidFill>
                    <w14:schemeClr w14:val="tx1"/>
                  </w14:solidFill>
                </w14:textFill>
              </w:rPr>
              <w:t>得</w:t>
            </w:r>
            <w:r>
              <w:rPr>
                <w:rFonts w:hint="eastAsia" w:ascii="仿宋" w:hAnsi="仿宋" w:eastAsia="仿宋" w:cs="仿宋"/>
                <w:color w:val="000000" w:themeColor="text1"/>
                <w:kern w:val="1"/>
                <w:sz w:val="28"/>
                <w:szCs w:val="28"/>
                <w:lang w:val="en-US" w:eastAsia="zh-CN"/>
                <w14:textFill>
                  <w14:solidFill>
                    <w14:schemeClr w14:val="tx1"/>
                  </w14:solidFill>
                </w14:textFill>
              </w:rPr>
              <w:t>0</w:t>
            </w:r>
            <w:r>
              <w:rPr>
                <w:rFonts w:hint="eastAsia" w:ascii="仿宋" w:hAnsi="仿宋" w:eastAsia="仿宋" w:cs="仿宋"/>
                <w:color w:val="000000" w:themeColor="text1"/>
                <w:kern w:val="1"/>
                <w:sz w:val="28"/>
                <w:szCs w:val="28"/>
                <w14:textFill>
                  <w14:solidFill>
                    <w14:schemeClr w14:val="tx1"/>
                  </w14:solidFill>
                </w14:textFill>
              </w:rPr>
              <w:t>.5分。三个</w:t>
            </w:r>
          </w:p>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条件都不符合则不得分。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11</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投标人对拟投入的服务人员提供的岗前人员培训计划及不定时培训计划方案进行评审，方案合理可行，有利于工作开展的得2分，方案较可行，能够基本满足工作进展需要的得1分，方案较一般，可能影响工作进展的得0.5分，未提供培训计划方案的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12</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投标人承诺的：拟派的所有维序人员均符合中华人民共和国国务院令第564号《保安服务管理条例》的所有规定，若获得中标资格所有人员均需通过审核同意后方可派驻上岗。显眼岗位（如大门执勤岗和巡逻岗人员）人员，对所派遣人员包括但不限于学历、政治面貌、外形条件等有特殊要求的，中标人应无条件配合要求。完全满足得2分，否则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13</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各投标人提供的在岗值班制度方案进行评价。方案详细、具体、完整、合理可行、重点突出、可操作性强的得2分；方案较详细具体，具有较强的可操作性，虽有缺漏，但能够把握重点、不影响项目实施的得1分；方案存在缺漏，但基本满足项目实施需要的得0.5分；方案存在缺漏，对项目实施影响较大或者未提供方案的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14</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根据投标人提供的消（监）控管理方案需包含管理规定及操作流程等，并方便查阅情况进行评价，消（监）控管理方案包含的内容齐全、方案详细、具体重点突出、可操作性强的得2分；监控管理方案较详细、内容较齐全、有重点、可操作性较的得1分；方案存在缺漏，不够详细，但基本满足项目实施需要的得0.5分；方案存在缺漏，对项目实施影响较大或者未提供方案的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15</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2）根据投标人提供的监控管理方案中可查阅监控视频的速度进行评价：监控调阅方案可行，且调阅速度（接口头通知起5分钟以内（不含））能够满足快速查阅监控视频的得1分；方案虽可行，但是调阅监控时间相对较长的（接口头通知起5（含）-10（含）分钟）得0.5分；方案存在瑕疵或者调阅监控时间长的（接口头通知起超过10分钟）的均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16</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（3）根据项目消（监）控值班员情况进行评价（承诺人员须与派遣人员一致）：监控岗位2名员工必须持有四级消防设施操作员证书共计两本、职业证书有效复印件并加盖投标人公章；满足得1分，否则不得分。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78" w:type="dxa"/>
            <w:vAlign w:val="center"/>
          </w:tcPr>
          <w:p>
            <w:pPr>
              <w:adjustRightInd w:val="0"/>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17</w:t>
            </w:r>
          </w:p>
        </w:tc>
        <w:tc>
          <w:tcPr>
            <w:tcW w:w="6755" w:type="dxa"/>
            <w:vAlign w:val="center"/>
          </w:tcPr>
          <w:p>
            <w:pPr>
              <w:adjustRightInd w:val="0"/>
              <w:snapToGrid w:val="0"/>
              <w:spacing w:line="400" w:lineRule="exact"/>
              <w:ind w:left="0" w:firstLine="0"/>
              <w:jc w:val="left"/>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投标人提供的进场计划安排与组织实施的情况进行评价，方案详细、具体、完整、合理可行，可操作性强的得2分，方案较为详细具体，具有较强的可操作性，虽有缺漏，但能够把握重点、对项目实施还是有一定促进作用的得1分，方案存在缺漏，但基本满足项目实施需要的得0.5分，方案存在缺漏，对项目实施影响较大的不得分</w:t>
            </w:r>
          </w:p>
        </w:tc>
        <w:tc>
          <w:tcPr>
            <w:tcW w:w="888"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bl>
    <w:p>
      <w:pPr>
        <w:snapToGrid w:val="0"/>
        <w:spacing w:line="360" w:lineRule="auto"/>
        <w:ind w:left="-151" w:firstLine="413" w:firstLineChars="147"/>
        <w:rPr>
          <w:rStyle w:val="22"/>
          <w:rFonts w:hint="eastAsia" w:cs="仿宋" w:asciiTheme="minorEastAsia" w:hAnsiTheme="minorEastAsia" w:eastAsiaTheme="minorEastAsia"/>
          <w:color w:val="000000" w:themeColor="text1"/>
          <w:sz w:val="28"/>
          <w:szCs w:val="28"/>
          <w14:textFill>
            <w14:solidFill>
              <w14:schemeClr w14:val="tx1"/>
            </w14:solidFill>
          </w14:textFill>
        </w:rPr>
      </w:pPr>
    </w:p>
    <w:p>
      <w:pPr>
        <w:snapToGrid w:val="0"/>
        <w:spacing w:before="120" w:beforeLines="50" w:after="120" w:afterLines="50"/>
        <w:ind w:left="-99" w:leftChars="-47" w:right="-78" w:firstLine="315" w:firstLineChars="98"/>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（2）商务分F2（满分20分）</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819"/>
        <w:gridCol w:w="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dxa"/>
            <w:vAlign w:val="center"/>
          </w:tcPr>
          <w:p>
            <w:pPr>
              <w:snapToGrid w:val="0"/>
              <w:spacing w:line="400" w:lineRule="exact"/>
              <w:ind w:left="-151" w:firstLine="280"/>
              <w:jc w:val="center"/>
              <w:rPr>
                <w:rFonts w:hint="eastAsia" w:ascii="仿宋" w:hAnsi="仿宋" w:eastAsia="仿宋" w:cs="仿宋"/>
                <w:bCs/>
                <w:color w:val="000000" w:themeColor="text1"/>
                <w:kern w:val="10"/>
                <w:sz w:val="28"/>
                <w:szCs w:val="28"/>
                <w14:textFill>
                  <w14:solidFill>
                    <w14:schemeClr w14:val="tx1"/>
                  </w14:solidFill>
                </w14:textFill>
              </w:rPr>
            </w:pPr>
            <w:r>
              <w:rPr>
                <w:rFonts w:hint="eastAsia" w:ascii="仿宋" w:hAnsi="仿宋" w:eastAsia="仿宋" w:cs="仿宋"/>
                <w:bCs/>
                <w:color w:val="000000" w:themeColor="text1"/>
                <w:kern w:val="10"/>
                <w:sz w:val="28"/>
                <w:szCs w:val="28"/>
                <w14:textFill>
                  <w14:solidFill>
                    <w14:schemeClr w14:val="tx1"/>
                  </w14:solidFill>
                </w14:textFill>
              </w:rPr>
              <w:t>序号</w:t>
            </w:r>
          </w:p>
        </w:tc>
        <w:tc>
          <w:tcPr>
            <w:tcW w:w="6819" w:type="dxa"/>
            <w:vAlign w:val="center"/>
          </w:tcPr>
          <w:p>
            <w:pPr>
              <w:snapToGrid w:val="0"/>
              <w:spacing w:line="400" w:lineRule="exact"/>
              <w:ind w:left="-151" w:firstLine="28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评分界定</w:t>
            </w:r>
          </w:p>
        </w:tc>
        <w:tc>
          <w:tcPr>
            <w:tcW w:w="886" w:type="dxa"/>
            <w:vAlign w:val="center"/>
          </w:tcPr>
          <w:p>
            <w:pPr>
              <w:snapToGrid w:val="0"/>
              <w:spacing w:line="400" w:lineRule="exact"/>
              <w:ind w:left="-151"/>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1</w:t>
            </w:r>
          </w:p>
        </w:tc>
        <w:tc>
          <w:tcPr>
            <w:tcW w:w="6819" w:type="dxa"/>
            <w:vAlign w:val="center"/>
          </w:tcPr>
          <w:p>
            <w:pPr>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投标人具备有效的安保服务企业①ISO9001质量管理体系认证证书；②OHSAS18001或ISO45001职业健康安全管理体系认证证书；③ISO14001环境管理体系认证证书。三项同时满足者得3分；满足任意两项者得2分；仅满足ISO9001质量管理体系认证证书或OHSAS18001职业健康安全管理体系认证证书任意一项者得1分，其他情况不得分。提供相关证书复印件，原件备查。</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2</w:t>
            </w:r>
          </w:p>
        </w:tc>
        <w:tc>
          <w:tcPr>
            <w:tcW w:w="6819" w:type="dxa"/>
            <w:vAlign w:val="center"/>
          </w:tcPr>
          <w:p>
            <w:pPr>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投标人提供第三方机构评定的资信等级评定为AAA级的得1分，其他情况不得分。提供相关证书复印件，原件备查。</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3</w:t>
            </w:r>
          </w:p>
        </w:tc>
        <w:tc>
          <w:tcPr>
            <w:tcW w:w="6819" w:type="dxa"/>
            <w:vAlign w:val="center"/>
          </w:tcPr>
          <w:p>
            <w:pPr>
              <w:snapToGrid w:val="0"/>
              <w:spacing w:line="400" w:lineRule="exact"/>
              <w:ind w:left="0" w:firstLine="0"/>
              <w:rPr>
                <w:rFonts w:hint="eastAsia" w:ascii="仿宋" w:hAnsi="仿宋" w:eastAsia="仿宋" w:cs="仿宋"/>
                <w:color w:val="000000" w:themeColor="text1"/>
                <w:kern w:val="1"/>
                <w:sz w:val="28"/>
                <w:szCs w:val="28"/>
                <w:highlight w:val="yellow"/>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投标人负责维序队伍培训的教练，形式不仅限于内训以及外部聘请相符资质机构，需要的培训师资资格：①大专及以上学历或持有国家认证的高级保安师证书；②警校或武术学校毕业；③部队退役人员，满足任意两项者得3分；仅满足警校或武术学校毕业或部队退役人员任意一项者得1分，其他情况不得分。提供相关培训的证明文书复印件，原件备查。</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4</w:t>
            </w:r>
          </w:p>
        </w:tc>
        <w:tc>
          <w:tcPr>
            <w:tcW w:w="6819" w:type="dxa"/>
            <w:vAlign w:val="center"/>
          </w:tcPr>
          <w:p>
            <w:pPr>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投标人有加入上海市内市级保安协会会员和曾获得政府机关单位颁发的奖状，满足两项者得3分，任意一项者得1分。提供有效证明资料，原件备查。</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9"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5</w:t>
            </w:r>
          </w:p>
        </w:tc>
        <w:tc>
          <w:tcPr>
            <w:tcW w:w="6819" w:type="dxa"/>
            <w:vAlign w:val="center"/>
          </w:tcPr>
          <w:p>
            <w:pPr>
              <w:autoSpaceDE w:val="0"/>
              <w:autoSpaceDN w:val="0"/>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根据投标人所提供近2020年1月以来</w:t>
            </w:r>
            <w:r>
              <w:rPr>
                <w:rFonts w:ascii="仿宋" w:hAnsi="仿宋" w:eastAsia="仿宋" w:cs="仿宋"/>
                <w:color w:val="000000" w:themeColor="text1"/>
                <w:kern w:val="1"/>
                <w:sz w:val="28"/>
                <w:szCs w:val="28"/>
                <w14:textFill>
                  <w14:solidFill>
                    <w14:schemeClr w14:val="tx1"/>
                  </w14:solidFill>
                </w14:textFill>
              </w:rPr>
              <w:t>（以合同签订时间为准）</w:t>
            </w:r>
            <w:r>
              <w:rPr>
                <w:rFonts w:hint="eastAsia" w:ascii="仿宋" w:hAnsi="仿宋" w:eastAsia="仿宋" w:cs="仿宋"/>
                <w:color w:val="000000" w:themeColor="text1"/>
                <w:kern w:val="1"/>
                <w:sz w:val="28"/>
                <w:szCs w:val="28"/>
                <w14:textFill>
                  <w14:solidFill>
                    <w14:schemeClr w14:val="tx1"/>
                  </w14:solidFill>
                </w14:textFill>
              </w:rPr>
              <w:t>承接管理物业费单价为4元</w:t>
            </w:r>
            <w:r>
              <w:rPr>
                <w:rFonts w:hint="eastAsia" w:ascii="仿宋" w:hAnsi="仿宋" w:eastAsia="仿宋" w:cs="仿宋"/>
                <w:color w:val="000000" w:themeColor="text1"/>
                <w:kern w:val="1"/>
                <w:sz w:val="28"/>
                <w:szCs w:val="28"/>
                <w:lang w:val="en-US" w:eastAsia="zh-CN"/>
                <w14:textFill>
                  <w14:solidFill>
                    <w14:schemeClr w14:val="tx1"/>
                  </w14:solidFill>
                </w14:textFill>
              </w:rPr>
              <w:t>及以上</w:t>
            </w:r>
            <w:r>
              <w:rPr>
                <w:rFonts w:hint="eastAsia" w:ascii="仿宋" w:hAnsi="仿宋" w:eastAsia="仿宋" w:cs="仿宋"/>
                <w:color w:val="000000" w:themeColor="text1"/>
                <w:kern w:val="1"/>
                <w:sz w:val="28"/>
                <w:szCs w:val="28"/>
                <w14:textFill>
                  <w14:solidFill>
                    <w14:schemeClr w14:val="tx1"/>
                  </w14:solidFill>
                </w14:textFill>
              </w:rPr>
              <w:t>的高端住宅项目安保服务项目，由评委进行评议并打分，有提供一份完整资料的得4分，最高4分。注：投标人应如实业绩证明文件，每项业绩应同时提供①该业绩的中标（成交）公告（提供相关网站中标（成交）公告的下载网页及其网址）；②中标（成交）通知书复印件； ③采购合同文本复印件； ④投标人有获得过业主单位出具的服务评价复印件；以上4项资料均需提供，如未按照招标文件要求提供该项业绩完整资料的，评标委员会对该项业绩将不予采信。评委会将保留要求投标人提供原件予以核查的权利。评标过程中如发现填报不实，本项不得分。合同履行过程中发现虚假信息，将取消其中标资格，并追究相应法律责任和相应赔偿。注：与满意度证明材料为同一服务项目的不重复得分。</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6</w:t>
            </w:r>
          </w:p>
        </w:tc>
        <w:tc>
          <w:tcPr>
            <w:tcW w:w="6819" w:type="dxa"/>
            <w:vAlign w:val="center"/>
          </w:tcPr>
          <w:p>
            <w:pPr>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投标人所提供近2020年1月以来由投标人独立承接并已完成或正在履行的保安服务项目获得业主单位满意评价的，每提供一份完整的满意证明材料的得1分，满分2分。注：完整的满意证明材料包括合同文本复印件，以及业主满意度的相关证明文件复印件，所有材料缺一不可且须加盖业主公章，否则不得分。</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7</w:t>
            </w:r>
          </w:p>
        </w:tc>
        <w:tc>
          <w:tcPr>
            <w:tcW w:w="6819" w:type="dxa"/>
            <w:vAlign w:val="center"/>
          </w:tcPr>
          <w:p>
            <w:pPr>
              <w:autoSpaceDE w:val="0"/>
              <w:autoSpaceDN w:val="0"/>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根据投标人承诺的为本项目所有保安员投保意外伤害保险进行评价：保意外伤害保险金额≥80万元，得2分；80万元＞保意外伤害保险金额≥50万元，得1分，其它不得分，需提供承诺函并加盖投标人公章，否则不得分。</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8</w:t>
            </w:r>
          </w:p>
        </w:tc>
        <w:tc>
          <w:tcPr>
            <w:tcW w:w="6819" w:type="dxa"/>
            <w:vAlign w:val="center"/>
          </w:tcPr>
          <w:p>
            <w:pPr>
              <w:autoSpaceDE w:val="0"/>
              <w:autoSpaceDN w:val="0"/>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投标人承诺：负责保维序员培训的岗前培训单位应具有培训资质并取得相关培训证明，持证上岗；人员身体健康，有三级医院的体检证明，并上交保卫处证明复印件；所有工作人员上岗前必须提交身份证复印件，配合做好政审工作，完全满足得1分，否则不得分。</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16" w:type="dxa"/>
            <w:vAlign w:val="center"/>
          </w:tcPr>
          <w:p>
            <w:pPr>
              <w:snapToGrid w:val="0"/>
              <w:spacing w:line="400" w:lineRule="exact"/>
              <w:ind w:left="-151" w:firstLine="280"/>
              <w:jc w:val="center"/>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9</w:t>
            </w:r>
          </w:p>
        </w:tc>
        <w:tc>
          <w:tcPr>
            <w:tcW w:w="6819" w:type="dxa"/>
            <w:vAlign w:val="center"/>
          </w:tcPr>
          <w:p>
            <w:pPr>
              <w:autoSpaceDE w:val="0"/>
              <w:autoSpaceDN w:val="0"/>
              <w:snapToGrid w:val="0"/>
              <w:spacing w:line="400" w:lineRule="exact"/>
              <w:ind w:left="0" w:firstLine="0"/>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投标文件的资料提交完整度、编排水平以及链接情况：投标文件完全按照评分办法及系统编制要求逐一进行响应，便于评标委员会进行评审的得1分，编排混乱、内容缺失或难以一一对应的不得分。</w:t>
            </w:r>
          </w:p>
        </w:tc>
        <w:tc>
          <w:tcPr>
            <w:tcW w:w="886" w:type="dxa"/>
            <w:vAlign w:val="center"/>
          </w:tcPr>
          <w:p>
            <w:pPr>
              <w:snapToGrid w:val="0"/>
              <w:spacing w:line="400" w:lineRule="exact"/>
              <w:ind w:left="-151"/>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p>
            <w:pPr>
              <w:snapToGrid w:val="0"/>
              <w:spacing w:line="4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1分</w:t>
            </w:r>
          </w:p>
        </w:tc>
      </w:tr>
    </w:tbl>
    <w:p>
      <w:pPr>
        <w:spacing w:before="120" w:beforeLines="50" w:line="500" w:lineRule="exact"/>
        <w:ind w:firstLine="321" w:firstLineChars="100"/>
        <w:rPr>
          <w:rFonts w:hint="eastAsia"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（3）价格分F3（满分</w:t>
      </w:r>
      <w:r>
        <w:rPr>
          <w:rFonts w:hint="eastAsia" w:ascii="仿宋" w:hAnsi="仿宋" w:eastAsia="仿宋" w:cs="华文细黑"/>
          <w:color w:val="000000" w:themeColor="text1"/>
          <w:sz w:val="32"/>
          <w:szCs w:val="32"/>
          <w14:textFill>
            <w14:solidFill>
              <w14:schemeClr w14:val="tx1"/>
            </w14:solidFill>
          </w14:textFill>
        </w:rPr>
        <w:t>40</w:t>
      </w:r>
      <w:r>
        <w:rPr>
          <w:rFonts w:hint="eastAsia" w:ascii="仿宋" w:hAnsi="仿宋" w:eastAsia="仿宋" w:cs="华文细黑"/>
          <w:b/>
          <w:color w:val="000000" w:themeColor="text1"/>
          <w:sz w:val="32"/>
          <w:szCs w:val="32"/>
          <w14:textFill>
            <w14:solidFill>
              <w14:schemeClr w14:val="tx1"/>
            </w14:solidFill>
          </w14:textFill>
        </w:rPr>
        <w:t>分）</w:t>
      </w:r>
    </w:p>
    <w:p>
      <w:pPr>
        <w:spacing w:line="500" w:lineRule="exact"/>
        <w:ind w:left="-151" w:firstLine="633" w:firstLineChars="198"/>
        <w:rPr>
          <w:rFonts w:hint="eastAsia"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评标基准价计算方法采用低价优先法，即满足招标文件要求且评标价最低的评标价作为评标基准价，其价格分为满分。其他投标人价格分按下列公式计算：</w:t>
      </w:r>
    </w:p>
    <w:p>
      <w:pPr>
        <w:spacing w:line="500" w:lineRule="exact"/>
        <w:ind w:left="-151" w:firstLine="315" w:firstLineChars="98"/>
        <w:rPr>
          <w:rFonts w:hint="eastAsia" w:ascii="仿宋" w:hAnsi="仿宋" w:eastAsia="仿宋" w:cs="华文细黑"/>
          <w:b/>
          <w:bCs/>
          <w:color w:val="000000" w:themeColor="text1"/>
          <w:sz w:val="32"/>
          <w:szCs w:val="32"/>
          <w14:textFill>
            <w14:solidFill>
              <w14:schemeClr w14:val="tx1"/>
            </w14:solidFill>
          </w14:textFill>
        </w:rPr>
      </w:pPr>
      <w:r>
        <w:rPr>
          <w:rFonts w:hint="eastAsia" w:ascii="仿宋" w:hAnsi="仿宋" w:eastAsia="仿宋" w:cs="华文细黑"/>
          <w:b/>
          <w:bCs/>
          <w:color w:val="000000" w:themeColor="text1"/>
          <w:sz w:val="32"/>
          <w:szCs w:val="32"/>
          <w14:textFill>
            <w14:solidFill>
              <w14:schemeClr w14:val="tx1"/>
            </w14:solidFill>
          </w14:textFill>
        </w:rPr>
        <w:t>价格分=评标基准价/投标人的评标价×40</w:t>
      </w:r>
    </w:p>
    <w:p>
      <w:pPr>
        <w:spacing w:line="500" w:lineRule="exact"/>
        <w:ind w:left="-151" w:firstLine="313" w:firstLineChars="98"/>
        <w:rPr>
          <w:rFonts w:hint="eastAsia"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注：如投标人的投标报价存在漏（缺）项的，按废标处理。</w:t>
      </w:r>
    </w:p>
    <w:p>
      <w:pPr>
        <w:spacing w:line="500" w:lineRule="exact"/>
        <w:ind w:left="-151" w:firstLine="313" w:firstLineChars="98"/>
        <w:rPr>
          <w:rFonts w:hint="eastAsia"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（由评标委员会当场统一计算）。</w:t>
      </w:r>
    </w:p>
    <w:p>
      <w:pPr>
        <w:spacing w:line="500" w:lineRule="exact"/>
        <w:ind w:left="-151" w:firstLine="321" w:firstLineChars="100"/>
        <w:rPr>
          <w:rFonts w:hint="eastAsia"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 xml:space="preserve">（4）各初审合格投标人综合得分= F1＋F2＋F3 </w:t>
      </w:r>
    </w:p>
    <w:p>
      <w:pPr>
        <w:spacing w:line="500" w:lineRule="exact"/>
        <w:ind w:left="-151"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left="-151" w:firstLine="472" w:firstLineChars="147"/>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18.2 推荐中标候选人原则</w:t>
      </w:r>
    </w:p>
    <w:p>
      <w:pPr>
        <w:shd w:val="clear" w:color="auto" w:fill="FFFFFF"/>
        <w:spacing w:line="360" w:lineRule="auto"/>
        <w:ind w:left="0"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18.2.1 排名及排名规则：评标委员会根据以下原则对初审合格的投标人进行排名：</w:t>
      </w:r>
    </w:p>
    <w:p>
      <w:pPr>
        <w:spacing w:line="500" w:lineRule="exact"/>
        <w:ind w:left="-151" w:firstLine="640" w:firstLineChars="200"/>
        <w:rPr>
          <w:rFonts w:hint="eastAsia"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left="-151" w:firstLine="640" w:firstLineChars="200"/>
        <w:rPr>
          <w:rFonts w:hint="eastAsia"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（2）综合得分相同时，投标报价低者排名在前；</w:t>
      </w:r>
    </w:p>
    <w:p>
      <w:pPr>
        <w:adjustRightInd w:val="0"/>
        <w:snapToGrid w:val="0"/>
        <w:spacing w:line="360" w:lineRule="auto"/>
        <w:ind w:left="-151"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（3）综合得</w:t>
      </w:r>
      <w:r>
        <w:rPr>
          <w:rFonts w:hint="eastAsia" w:ascii="仿宋" w:hAnsi="仿宋" w:eastAsia="仿宋" w:cs="Times New Roman"/>
          <w:color w:val="000000" w:themeColor="text1"/>
          <w:sz w:val="32"/>
          <w:szCs w:val="32"/>
          <w14:textFill>
            <w14:solidFill>
              <w14:schemeClr w14:val="tx1"/>
            </w14:solidFill>
          </w14:textFill>
        </w:rPr>
        <w:t>分相同且投标报价相同时，技术分得分高者（即F1得分高者）排名在前；</w:t>
      </w:r>
    </w:p>
    <w:p>
      <w:pPr>
        <w:adjustRightInd w:val="0"/>
        <w:snapToGrid w:val="0"/>
        <w:spacing w:line="360" w:lineRule="auto"/>
        <w:ind w:left="-151"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（4）以上办法都不能确定排名时，评标委员会根据有利于项目实施的原则确定排名。</w:t>
      </w:r>
    </w:p>
    <w:p>
      <w:pPr>
        <w:shd w:val="clear" w:color="auto" w:fill="auto"/>
        <w:adjustRightInd w:val="0"/>
        <w:snapToGrid w:val="0"/>
        <w:spacing w:line="360" w:lineRule="auto"/>
        <w:ind w:left="-151"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18.2.2推荐中标候选人：评标委员会将按比较与评价最优先原则，推荐出中标候选单位，其余的合格投标单位为备选供应商。</w:t>
      </w:r>
    </w:p>
    <w:bookmarkEnd w:id="317"/>
    <w:p>
      <w:pPr>
        <w:spacing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18.3.定标准则</w:t>
      </w:r>
    </w:p>
    <w:p>
      <w:pPr>
        <w:adjustRightInd w:val="0"/>
        <w:snapToGrid w:val="0"/>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 招标人将按照评标报告中推荐的中标候选人顺序确定拟中标人。</w:t>
      </w:r>
    </w:p>
    <w:p>
      <w:pPr>
        <w:adjustRightInd w:val="0"/>
        <w:snapToGrid w:val="0"/>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 招标人将审查拟中标人的投标人资格、信誉、生产条件、产品技术状态、性能以及其它投标人认为有必要了解的问题。</w:t>
      </w:r>
    </w:p>
    <w:p>
      <w:pPr>
        <w:adjustRightInd w:val="0"/>
        <w:snapToGrid w:val="0"/>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 如果确定拟中标人无能力履行合同，其投标将被拒绝，招标人将对下一个可能中标的投标人做类似审查。</w:t>
      </w:r>
    </w:p>
    <w:p>
      <w:pPr>
        <w:adjustRightInd w:val="0"/>
        <w:snapToGrid w:val="0"/>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18.3.4 接受审查的拟中标人必须如实回答询问或接受招标人的考察，并提供所需的有关资料。</w:t>
      </w:r>
    </w:p>
    <w:p>
      <w:pPr>
        <w:adjustRightInd w:val="0"/>
        <w:snapToGrid w:val="0"/>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 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321" w:name="_Toc191892321"/>
      <w:bookmarkStart w:id="322" w:name="_Toc20869"/>
      <w:bookmarkStart w:id="323" w:name="_Toc4626"/>
      <w:bookmarkStart w:id="324" w:name="_Toc20247"/>
      <w:bookmarkStart w:id="325" w:name="_Toc26303"/>
      <w:bookmarkStart w:id="326" w:name="_Toc11932"/>
      <w:bookmarkStart w:id="327" w:name="_Toc6657"/>
      <w:bookmarkStart w:id="328" w:name="_Toc31244"/>
      <w:bookmarkStart w:id="329" w:name="_Toc192925669"/>
      <w:bookmarkStart w:id="330" w:name="_Toc9539"/>
      <w:bookmarkStart w:id="331" w:name="_Toc7661"/>
      <w:r>
        <w:rPr>
          <w:rFonts w:hint="eastAsia" w:ascii="仿宋" w:hAnsi="仿宋" w:eastAsia="仿宋"/>
          <w:color w:val="000000" w:themeColor="text1"/>
          <w:sz w:val="32"/>
          <w14:textFill>
            <w14:solidFill>
              <w14:schemeClr w14:val="tx1"/>
            </w14:solidFill>
          </w14:textFill>
        </w:rPr>
        <w:t>19. 投标文件的澄清</w:t>
      </w:r>
      <w:bookmarkEnd w:id="321"/>
      <w:bookmarkEnd w:id="322"/>
      <w:bookmarkEnd w:id="323"/>
      <w:bookmarkEnd w:id="324"/>
      <w:bookmarkEnd w:id="325"/>
      <w:bookmarkEnd w:id="326"/>
      <w:bookmarkEnd w:id="327"/>
      <w:bookmarkEnd w:id="328"/>
      <w:bookmarkEnd w:id="329"/>
      <w:bookmarkEnd w:id="330"/>
      <w:bookmarkEnd w:id="331"/>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332" w:name="_Toc192925670"/>
      <w:bookmarkStart w:id="333" w:name="_Toc7648"/>
      <w:bookmarkStart w:id="334" w:name="_Toc28136"/>
      <w:bookmarkStart w:id="335" w:name="_Toc23086"/>
      <w:bookmarkStart w:id="336" w:name="_Toc26807"/>
      <w:bookmarkStart w:id="337" w:name="_Toc191892322"/>
      <w:bookmarkStart w:id="338" w:name="_Toc6518"/>
      <w:bookmarkStart w:id="339" w:name="_Toc9006"/>
      <w:bookmarkStart w:id="340" w:name="_Toc15586"/>
      <w:bookmarkStart w:id="341" w:name="_Toc14195"/>
      <w:bookmarkStart w:id="342" w:name="_Toc1874"/>
      <w:r>
        <w:rPr>
          <w:rFonts w:hint="eastAsia" w:ascii="仿宋" w:hAnsi="仿宋" w:eastAsia="仿宋"/>
          <w:color w:val="000000" w:themeColor="text1"/>
          <w:sz w:val="32"/>
          <w14:textFill>
            <w14:solidFill>
              <w14:schemeClr w14:val="tx1"/>
            </w14:solidFill>
          </w14:textFill>
        </w:rPr>
        <w:t>20. 比较与评价</w:t>
      </w:r>
      <w:bookmarkEnd w:id="332"/>
      <w:bookmarkEnd w:id="333"/>
      <w:bookmarkEnd w:id="334"/>
      <w:bookmarkEnd w:id="335"/>
      <w:bookmarkEnd w:id="336"/>
      <w:bookmarkEnd w:id="337"/>
      <w:bookmarkEnd w:id="338"/>
      <w:bookmarkEnd w:id="339"/>
      <w:bookmarkEnd w:id="340"/>
      <w:bookmarkEnd w:id="341"/>
      <w:bookmarkEnd w:id="342"/>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20.4 评标委员会将按比较与评价最优在先原则，排列评价顺序，根据在投标人须知前附表中确定的中标候选人数量，推荐出中标候选人。</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120" w:after="120" w:line="360" w:lineRule="auto"/>
        <w:ind w:left="-151" w:firstLine="321"/>
        <w:rPr>
          <w:rFonts w:hint="eastAsia" w:ascii="仿宋" w:hAnsi="仿宋" w:eastAsia="仿宋"/>
          <w:color w:val="000000" w:themeColor="text1"/>
          <w:sz w:val="32"/>
          <w14:textFill>
            <w14:solidFill>
              <w14:schemeClr w14:val="tx1"/>
            </w14:solidFill>
          </w14:textFill>
        </w:rPr>
      </w:pPr>
      <w:bookmarkStart w:id="343" w:name="_Toc9679"/>
      <w:bookmarkStart w:id="344" w:name="_Toc15282"/>
      <w:bookmarkStart w:id="345" w:name="_Toc21060"/>
      <w:bookmarkStart w:id="346" w:name="_Toc24069"/>
      <w:bookmarkStart w:id="347" w:name="_Toc30113"/>
      <w:bookmarkStart w:id="348" w:name="_Toc15898"/>
      <w:bookmarkStart w:id="349" w:name="_Toc3609"/>
      <w:bookmarkStart w:id="350" w:name="_Toc14843"/>
      <w:bookmarkStart w:id="351" w:name="_Toc191892323"/>
      <w:bookmarkStart w:id="352" w:name="_Toc192925671"/>
      <w:bookmarkStart w:id="353" w:name="_Toc16654"/>
      <w:r>
        <w:rPr>
          <w:rFonts w:hint="eastAsia" w:ascii="仿宋" w:hAnsi="仿宋" w:eastAsia="仿宋"/>
          <w:color w:val="000000" w:themeColor="text1"/>
          <w:sz w:val="32"/>
          <w14:textFill>
            <w14:solidFill>
              <w14:schemeClr w14:val="tx1"/>
            </w14:solidFill>
          </w14:textFill>
        </w:rPr>
        <w:t>第六节 定标与签订合同</w:t>
      </w:r>
      <w:bookmarkEnd w:id="343"/>
      <w:bookmarkEnd w:id="344"/>
      <w:bookmarkEnd w:id="345"/>
      <w:bookmarkEnd w:id="346"/>
      <w:bookmarkEnd w:id="347"/>
      <w:bookmarkEnd w:id="348"/>
      <w:bookmarkEnd w:id="349"/>
      <w:bookmarkEnd w:id="350"/>
      <w:bookmarkEnd w:id="351"/>
      <w:bookmarkEnd w:id="352"/>
      <w:bookmarkEnd w:id="353"/>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354" w:name="_Toc20961"/>
      <w:bookmarkStart w:id="355" w:name="_Toc14686"/>
      <w:bookmarkStart w:id="356" w:name="_Toc192925672"/>
      <w:bookmarkStart w:id="357" w:name="_Toc18749"/>
      <w:bookmarkStart w:id="358" w:name="_Toc18570"/>
      <w:bookmarkStart w:id="359" w:name="_Toc191892324"/>
      <w:bookmarkStart w:id="360" w:name="_Toc27640"/>
      <w:bookmarkStart w:id="361" w:name="_Toc11323"/>
      <w:bookmarkStart w:id="362" w:name="_Toc9667"/>
      <w:bookmarkStart w:id="363" w:name="_Toc24016"/>
      <w:bookmarkStart w:id="364" w:name="_Toc5043"/>
      <w:r>
        <w:rPr>
          <w:rFonts w:hint="eastAsia" w:ascii="仿宋" w:hAnsi="仿宋" w:eastAsia="仿宋"/>
          <w:color w:val="000000" w:themeColor="text1"/>
          <w:sz w:val="32"/>
          <w14:textFill>
            <w14:solidFill>
              <w14:schemeClr w14:val="tx1"/>
            </w14:solidFill>
          </w14:textFill>
        </w:rPr>
        <w:t>21</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定标准则</w:t>
      </w:r>
      <w:bookmarkEnd w:id="354"/>
      <w:bookmarkEnd w:id="355"/>
      <w:bookmarkEnd w:id="356"/>
      <w:bookmarkEnd w:id="357"/>
      <w:bookmarkEnd w:id="358"/>
      <w:bookmarkEnd w:id="359"/>
      <w:bookmarkEnd w:id="360"/>
      <w:bookmarkEnd w:id="361"/>
      <w:bookmarkEnd w:id="362"/>
      <w:bookmarkEnd w:id="363"/>
      <w:bookmarkEnd w:id="364"/>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365" w:name="_Toc23960"/>
      <w:bookmarkStart w:id="366" w:name="_Toc191892325"/>
      <w:bookmarkStart w:id="367" w:name="_Toc192925673"/>
      <w:bookmarkStart w:id="368" w:name="_Toc29968"/>
      <w:bookmarkStart w:id="369" w:name="_Toc15175"/>
      <w:bookmarkStart w:id="370" w:name="_Toc16588"/>
      <w:bookmarkStart w:id="371" w:name="_Toc3223"/>
      <w:bookmarkStart w:id="372" w:name="_Toc28332"/>
      <w:bookmarkStart w:id="373" w:name="_Toc29389"/>
      <w:bookmarkStart w:id="374" w:name="_Toc21152"/>
      <w:bookmarkStart w:id="375" w:name="_Toc4418"/>
      <w:r>
        <w:rPr>
          <w:rFonts w:hint="eastAsia" w:ascii="仿宋" w:hAnsi="仿宋" w:eastAsia="仿宋"/>
          <w:color w:val="000000" w:themeColor="text1"/>
          <w:sz w:val="32"/>
          <w14:textFill>
            <w14:solidFill>
              <w14:schemeClr w14:val="tx1"/>
            </w14:solidFill>
          </w14:textFill>
        </w:rPr>
        <w:t>22</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中标通知</w:t>
      </w:r>
      <w:bookmarkEnd w:id="365"/>
      <w:bookmarkEnd w:id="366"/>
      <w:bookmarkEnd w:id="367"/>
      <w:bookmarkEnd w:id="368"/>
      <w:bookmarkEnd w:id="369"/>
      <w:bookmarkEnd w:id="370"/>
      <w:bookmarkEnd w:id="371"/>
      <w:bookmarkEnd w:id="372"/>
      <w:bookmarkEnd w:id="373"/>
      <w:bookmarkEnd w:id="374"/>
      <w:bookmarkEnd w:id="375"/>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22.2 招标人将向中标单位发出《中标通知书》，没有中标的其他投标人不另行通知。</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3《中标通知书》将作为签订采购合同的依据。采购合同签订后，《中标通知书》成为合同的一部分。</w:t>
      </w:r>
    </w:p>
    <w:p>
      <w:pPr>
        <w:pStyle w:val="4"/>
        <w:keepNext w:val="0"/>
        <w:keepLines w:val="0"/>
        <w:spacing w:before="120" w:after="120" w:line="360" w:lineRule="auto"/>
        <w:ind w:left="-151" w:firstLine="643" w:firstLineChars="200"/>
        <w:rPr>
          <w:rFonts w:hint="eastAsia" w:ascii="仿宋" w:hAnsi="仿宋" w:eastAsia="仿宋"/>
          <w:color w:val="000000" w:themeColor="text1"/>
          <w:sz w:val="32"/>
          <w14:textFill>
            <w14:solidFill>
              <w14:schemeClr w14:val="tx1"/>
            </w14:solidFill>
          </w14:textFill>
        </w:rPr>
      </w:pPr>
      <w:bookmarkStart w:id="376" w:name="_Toc191892326"/>
      <w:bookmarkStart w:id="377" w:name="_Toc20773"/>
      <w:bookmarkStart w:id="378" w:name="_Toc17153"/>
      <w:bookmarkStart w:id="379" w:name="_Toc192925674"/>
      <w:bookmarkStart w:id="380" w:name="_Toc26788"/>
      <w:bookmarkStart w:id="381" w:name="_Toc11987"/>
      <w:bookmarkStart w:id="382" w:name="_Toc19689"/>
      <w:bookmarkStart w:id="383" w:name="_Toc25726"/>
      <w:bookmarkStart w:id="384" w:name="_Toc10131"/>
      <w:bookmarkStart w:id="385" w:name="_Toc22516"/>
      <w:bookmarkStart w:id="386" w:name="_Toc14627"/>
      <w:r>
        <w:rPr>
          <w:rFonts w:hint="eastAsia" w:ascii="仿宋" w:hAnsi="仿宋" w:eastAsia="仿宋"/>
          <w:color w:val="000000" w:themeColor="text1"/>
          <w:sz w:val="32"/>
          <w14:textFill>
            <w14:solidFill>
              <w14:schemeClr w14:val="tx1"/>
            </w14:solidFill>
          </w14:textFill>
        </w:rPr>
        <w:t>23. 签订合同</w:t>
      </w:r>
      <w:bookmarkEnd w:id="376"/>
      <w:bookmarkEnd w:id="377"/>
      <w:bookmarkEnd w:id="378"/>
      <w:bookmarkEnd w:id="379"/>
      <w:bookmarkEnd w:id="380"/>
      <w:bookmarkEnd w:id="381"/>
      <w:bookmarkEnd w:id="382"/>
      <w:bookmarkEnd w:id="383"/>
      <w:bookmarkEnd w:id="384"/>
      <w:bookmarkEnd w:id="385"/>
      <w:bookmarkEnd w:id="386"/>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3中标人因不可抗力或者自身原因不能履行采购合同的，招标人将与排位在中标人之后第一位的中标候选人签订采购合同，以此类推。</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23.4 中标人未能按招标人的要求，随时提供投标文件中出具的相关证明材料的原件，招标人有权认定投标人存在弄虚作假、骗取中标的行为。</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p>
    <w:p>
      <w:pPr>
        <w:pStyle w:val="2"/>
        <w:ind w:left="-151" w:firstLine="321"/>
        <w:jc w:val="center"/>
        <w:rPr>
          <w:rFonts w:hint="eastAsia"/>
          <w:color w:val="000000" w:themeColor="text1"/>
          <w:szCs w:val="32"/>
          <w14:textFill>
            <w14:solidFill>
              <w14:schemeClr w14:val="tx1"/>
            </w14:solidFill>
          </w14:textFill>
        </w:rPr>
      </w:pPr>
      <w:r>
        <w:rPr>
          <w:color w:val="000000" w:themeColor="text1"/>
          <w:szCs w:val="32"/>
          <w14:textFill>
            <w14:solidFill>
              <w14:schemeClr w14:val="tx1"/>
            </w14:solidFill>
          </w14:textFill>
        </w:rPr>
        <w:br w:type="page"/>
      </w:r>
      <w:bookmarkStart w:id="387" w:name="_Toc4366"/>
      <w:bookmarkStart w:id="388" w:name="_Toc12474"/>
      <w:bookmarkStart w:id="389" w:name="_Toc10075"/>
      <w:bookmarkStart w:id="390" w:name="_Toc20228"/>
      <w:bookmarkStart w:id="391" w:name="_Toc18849"/>
      <w:bookmarkStart w:id="392" w:name="_Toc26713"/>
      <w:bookmarkStart w:id="393" w:name="_Toc16262"/>
      <w:bookmarkStart w:id="394" w:name="_Toc12884"/>
      <w:bookmarkStart w:id="395" w:name="_Toc13823"/>
      <w:r>
        <w:rPr>
          <w:rFonts w:hint="eastAsia"/>
          <w:color w:val="000000" w:themeColor="text1"/>
          <w:szCs w:val="32"/>
          <w14:textFill>
            <w14:solidFill>
              <w14:schemeClr w14:val="tx1"/>
            </w14:solidFill>
          </w14:textFill>
        </w:rPr>
        <w:t>第三章　招标内容及要求</w:t>
      </w:r>
      <w:bookmarkEnd w:id="387"/>
      <w:bookmarkEnd w:id="388"/>
      <w:bookmarkEnd w:id="389"/>
      <w:bookmarkEnd w:id="390"/>
      <w:bookmarkEnd w:id="391"/>
      <w:bookmarkEnd w:id="392"/>
      <w:bookmarkEnd w:id="393"/>
      <w:bookmarkEnd w:id="394"/>
      <w:bookmarkEnd w:id="395"/>
    </w:p>
    <w:p>
      <w:pPr>
        <w:pStyle w:val="3"/>
        <w:keepNext w:val="0"/>
        <w:keepLines w:val="0"/>
        <w:spacing w:before="120" w:after="120" w:line="360" w:lineRule="auto"/>
        <w:ind w:left="-151" w:firstLine="321"/>
        <w:jc w:val="center"/>
        <w:rPr>
          <w:rFonts w:hint="eastAsia" w:ascii="仿宋" w:hAnsi="仿宋" w:eastAsia="仿宋"/>
          <w:color w:val="000000" w:themeColor="text1"/>
          <w:sz w:val="32"/>
          <w14:textFill>
            <w14:solidFill>
              <w14:schemeClr w14:val="tx1"/>
            </w14:solidFill>
          </w14:textFill>
        </w:rPr>
      </w:pPr>
      <w:bookmarkStart w:id="396" w:name="_Toc23820"/>
      <w:bookmarkStart w:id="397" w:name="_Toc29999"/>
      <w:bookmarkStart w:id="398" w:name="_Toc27998"/>
      <w:bookmarkStart w:id="399" w:name="_Toc31970"/>
      <w:bookmarkStart w:id="400" w:name="_Toc11204"/>
      <w:bookmarkStart w:id="401" w:name="_Toc28483"/>
      <w:bookmarkStart w:id="402" w:name="_Toc20777"/>
      <w:bookmarkStart w:id="403" w:name="_Toc4876"/>
      <w:bookmarkStart w:id="404" w:name="_Toc32677"/>
      <w:r>
        <w:rPr>
          <w:rFonts w:hint="eastAsia" w:ascii="仿宋" w:hAnsi="仿宋" w:eastAsia="仿宋"/>
          <w:color w:val="000000" w:themeColor="text1"/>
          <w:sz w:val="32"/>
          <w14:textFill>
            <w14:solidFill>
              <w14:schemeClr w14:val="tx1"/>
            </w14:solidFill>
          </w14:textFill>
        </w:rPr>
        <w:t>第一节 招标项目需求</w:t>
      </w:r>
      <w:bookmarkEnd w:id="396"/>
      <w:bookmarkEnd w:id="397"/>
      <w:bookmarkEnd w:id="398"/>
      <w:bookmarkEnd w:id="399"/>
      <w:bookmarkEnd w:id="400"/>
      <w:bookmarkEnd w:id="401"/>
      <w:bookmarkEnd w:id="402"/>
      <w:bookmarkEnd w:id="403"/>
      <w:bookmarkEnd w:id="404"/>
    </w:p>
    <w:p>
      <w:pPr>
        <w:spacing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bookmarkStart w:id="405" w:name="_bookmark18"/>
      <w:bookmarkEnd w:id="405"/>
      <w:r>
        <w:rPr>
          <w:rFonts w:hint="eastAsia" w:ascii="仿宋" w:hAnsi="仿宋" w:eastAsia="仿宋"/>
          <w:b/>
          <w:color w:val="000000" w:themeColor="text1"/>
          <w:sz w:val="32"/>
          <w:szCs w:val="32"/>
          <w14:textFill>
            <w14:solidFill>
              <w14:schemeClr w14:val="tx1"/>
            </w14:solidFill>
          </w14:textFill>
        </w:rPr>
        <w:t>一、招标项目基本情况概述</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上海国贸鹭原（以下简称“项目”），</w:t>
      </w:r>
      <w:r>
        <w:rPr>
          <w:rFonts w:hint="eastAsia" w:ascii="仿宋" w:hAnsi="仿宋" w:eastAsia="仿宋"/>
          <w:color w:val="000000" w:themeColor="text1"/>
          <w:sz w:val="32"/>
          <w:szCs w:val="32"/>
          <w14:textFill>
            <w14:solidFill>
              <w14:schemeClr w14:val="tx1"/>
            </w14:solidFill>
          </w14:textFill>
        </w:rPr>
        <w:t>位于上海市松江区大凉山路1099弄，总建筑面积155462.99㎡。</w:t>
      </w:r>
    </w:p>
    <w:p>
      <w:pPr>
        <w:spacing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二、保安服务内容</w:t>
      </w:r>
    </w:p>
    <w:p>
      <w:pPr>
        <w:spacing w:line="360" w:lineRule="auto"/>
        <w:ind w:left="-151" w:firstLine="640" w:firstLineChars="200"/>
        <w:rPr>
          <w:rFonts w:hint="eastAsia"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（1）固定岗、巡逻、中控室值班、秩序维护等，提供24小时秩序维护服务。</w:t>
      </w:r>
    </w:p>
    <w:p>
      <w:pPr>
        <w:spacing w:line="360" w:lineRule="auto"/>
        <w:ind w:left="-151" w:firstLine="640" w:firstLineChars="200"/>
        <w:rPr>
          <w:rFonts w:hint="eastAsia"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（2）事件应急处理：发生突发事件应及时赶往现场进行处理并组织秩序维护工作，同时报告</w:t>
      </w:r>
      <w:r>
        <w:rPr>
          <w:rFonts w:hint="eastAsia" w:ascii="仿宋" w:hAnsi="仿宋" w:eastAsia="仿宋"/>
          <w:color w:val="000000" w:themeColor="text1"/>
          <w:sz w:val="32"/>
          <w:szCs w:val="32"/>
          <w14:textFill>
            <w14:solidFill>
              <w14:schemeClr w14:val="tx1"/>
            </w14:solidFill>
          </w14:textFill>
        </w:rPr>
        <w:t>项目</w:t>
      </w:r>
      <w:r>
        <w:rPr>
          <w:rFonts w:hint="eastAsia" w:ascii="仿宋" w:hAnsi="仿宋" w:eastAsia="仿宋" w:cstheme="minorBidi"/>
          <w:color w:val="000000" w:themeColor="text1"/>
          <w:sz w:val="32"/>
          <w:szCs w:val="32"/>
          <w14:textFill>
            <w14:solidFill>
              <w14:schemeClr w14:val="tx1"/>
            </w14:solidFill>
          </w14:textFill>
        </w:rPr>
        <w:t>方及有关部门。</w:t>
      </w:r>
    </w:p>
    <w:p>
      <w:pPr>
        <w:spacing w:line="360" w:lineRule="auto"/>
        <w:ind w:left="-151" w:firstLine="640" w:firstLineChars="200"/>
        <w:rPr>
          <w:rFonts w:hint="eastAsia"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3）夜间进行安全巡查，维护本项目范围内业主及使用人的人身、财产安全，维护正常治安、消防秩序，做好防抢、防盗、防火、防破坏等工作；熟练掌握火灾、治安、自然灾害等突发事件应急预案，事发时积极采取相应措施，立即报告</w:t>
      </w:r>
      <w:r>
        <w:rPr>
          <w:rFonts w:hint="eastAsia" w:ascii="仿宋" w:hAnsi="仿宋" w:eastAsia="仿宋"/>
          <w:color w:val="000000" w:themeColor="text1"/>
          <w:sz w:val="32"/>
          <w:szCs w:val="32"/>
          <w14:textFill>
            <w14:solidFill>
              <w14:schemeClr w14:val="tx1"/>
            </w14:solidFill>
          </w14:textFill>
        </w:rPr>
        <w:t>项目</w:t>
      </w:r>
      <w:r>
        <w:rPr>
          <w:rFonts w:hint="eastAsia" w:ascii="仿宋" w:hAnsi="仿宋" w:eastAsia="仿宋" w:cstheme="minorBidi"/>
          <w:color w:val="000000" w:themeColor="text1"/>
          <w:sz w:val="32"/>
          <w:szCs w:val="32"/>
          <w14:textFill>
            <w14:solidFill>
              <w14:schemeClr w14:val="tx1"/>
            </w14:solidFill>
          </w14:textFill>
        </w:rPr>
        <w:t>方人员或拨打紧急救助电话，同时要保护好现场，并详细记录备查。</w:t>
      </w:r>
    </w:p>
    <w:p>
      <w:pPr>
        <w:spacing w:line="360" w:lineRule="auto"/>
        <w:ind w:left="-151" w:firstLine="640" w:firstLineChars="200"/>
        <w:rPr>
          <w:rFonts w:hint="eastAsia"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（4）定期完善应急预案，根据</w:t>
      </w:r>
      <w:r>
        <w:rPr>
          <w:rFonts w:hint="eastAsia" w:ascii="仿宋" w:hAnsi="仿宋" w:eastAsia="仿宋"/>
          <w:color w:val="000000" w:themeColor="text1"/>
          <w:sz w:val="32"/>
          <w:szCs w:val="32"/>
          <w14:textFill>
            <w14:solidFill>
              <w14:schemeClr w14:val="tx1"/>
            </w14:solidFill>
          </w14:textFill>
        </w:rPr>
        <w:t>项目</w:t>
      </w:r>
      <w:r>
        <w:rPr>
          <w:rFonts w:hint="eastAsia" w:ascii="仿宋" w:hAnsi="仿宋" w:eastAsia="仿宋" w:cstheme="minorBidi"/>
          <w:color w:val="000000" w:themeColor="text1"/>
          <w:sz w:val="32"/>
          <w:szCs w:val="32"/>
          <w14:textFill>
            <w14:solidFill>
              <w14:schemeClr w14:val="tx1"/>
            </w14:solidFill>
          </w14:textFill>
        </w:rPr>
        <w:t>方要求开展应急预案演练和相关知识技能培训。</w:t>
      </w:r>
    </w:p>
    <w:p>
      <w:pPr>
        <w:spacing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三、人员要求</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1）本次招标需要人员配置数</w:t>
      </w:r>
      <w:r>
        <w:rPr>
          <w:rFonts w:hint="eastAsia" w:ascii="仿宋" w:hAnsi="仿宋" w:eastAsia="仿宋"/>
          <w:color w:val="000000" w:themeColor="text1"/>
          <w:sz w:val="32"/>
          <w:szCs w:val="32"/>
          <w14:textFill>
            <w14:solidFill>
              <w14:schemeClr w14:val="tx1"/>
            </w14:solidFill>
          </w14:textFill>
        </w:rPr>
        <w:t>为13岗，每天</w:t>
      </w:r>
      <w:r>
        <w:rPr>
          <w:rFonts w:ascii="仿宋" w:hAnsi="仿宋" w:eastAsia="仿宋"/>
          <w:color w:val="000000" w:themeColor="text1"/>
          <w:sz w:val="32"/>
          <w:szCs w:val="32"/>
          <w14:textFill>
            <w14:solidFill>
              <w14:schemeClr w14:val="tx1"/>
            </w14:solidFill>
          </w14:textFill>
        </w:rPr>
        <w:t>至少</w:t>
      </w:r>
      <w:r>
        <w:rPr>
          <w:rFonts w:hint="eastAsia" w:ascii="仿宋" w:hAnsi="仿宋" w:eastAsia="仿宋"/>
          <w:color w:val="000000" w:themeColor="text1"/>
          <w:sz w:val="32"/>
          <w:szCs w:val="32"/>
          <w14:textFill>
            <w14:solidFill>
              <w14:schemeClr w14:val="tx1"/>
            </w14:solidFill>
          </w14:textFill>
        </w:rPr>
        <w:t>每岗配置1名保安人员</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包含门岗、消控岗、巡逻岗等岗位</w:t>
      </w:r>
      <w:r>
        <w:rPr>
          <w:rFonts w:ascii="仿宋" w:hAnsi="仿宋" w:eastAsia="仿宋"/>
          <w:color w:val="000000" w:themeColor="text1"/>
          <w:sz w:val="32"/>
          <w:szCs w:val="32"/>
          <w14:textFill>
            <w14:solidFill>
              <w14:schemeClr w14:val="tx1"/>
            </w14:solidFill>
          </w14:textFill>
        </w:rPr>
        <w:t>。</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2）所有配置的保安人员应持</w:t>
      </w:r>
      <w:r>
        <w:rPr>
          <w:rFonts w:hint="eastAsia" w:ascii="仿宋" w:hAnsi="仿宋" w:eastAsia="仿宋"/>
          <w:color w:val="000000" w:themeColor="text1"/>
          <w:sz w:val="32"/>
          <w:szCs w:val="32"/>
          <w14:textFill>
            <w14:solidFill>
              <w14:schemeClr w14:val="tx1"/>
            </w14:solidFill>
          </w14:textFill>
        </w:rPr>
        <w:t>保安</w:t>
      </w:r>
      <w:r>
        <w:rPr>
          <w:rFonts w:ascii="仿宋" w:hAnsi="仿宋" w:eastAsia="仿宋"/>
          <w:color w:val="000000" w:themeColor="text1"/>
          <w:sz w:val="32"/>
          <w:szCs w:val="32"/>
          <w14:textFill>
            <w14:solidFill>
              <w14:schemeClr w14:val="tx1"/>
            </w14:solidFill>
          </w14:textFill>
        </w:rPr>
        <w:t>证上岗，年龄应在18至</w:t>
      </w:r>
      <w:r>
        <w:rPr>
          <w:rFonts w:hint="eastAsia" w:ascii="仿宋" w:hAnsi="仿宋" w:eastAsia="仿宋"/>
          <w:color w:val="000000" w:themeColor="text1"/>
          <w:sz w:val="32"/>
          <w:szCs w:val="32"/>
          <w14:textFill>
            <w14:solidFill>
              <w14:schemeClr w14:val="tx1"/>
            </w14:solidFill>
          </w14:textFill>
        </w:rPr>
        <w:t>40</w:t>
      </w:r>
      <w:r>
        <w:rPr>
          <w:rFonts w:ascii="仿宋" w:hAnsi="仿宋" w:eastAsia="仿宋"/>
          <w:color w:val="000000" w:themeColor="text1"/>
          <w:sz w:val="32"/>
          <w:szCs w:val="32"/>
          <w14:textFill>
            <w14:solidFill>
              <w14:schemeClr w14:val="tx1"/>
            </w14:solidFill>
          </w14:textFill>
        </w:rPr>
        <w:t>周岁之间</w:t>
      </w:r>
      <w:r>
        <w:rPr>
          <w:rFonts w:hint="eastAsia" w:ascii="仿宋" w:hAnsi="仿宋" w:eastAsia="仿宋"/>
          <w:color w:val="000000" w:themeColor="text1"/>
          <w:sz w:val="32"/>
          <w:szCs w:val="32"/>
          <w14:textFill>
            <w14:solidFill>
              <w14:schemeClr w14:val="tx1"/>
            </w14:solidFill>
          </w14:textFill>
        </w:rPr>
        <w:t>，其中门岗身高需在178cm以上年龄不得超过35周岁，维序领班岗不得超过40周岁，其他岗位身高在175cm以上，不得超过35周岁。所有岗位均须持有保安证，消控岗须持四级消防设备设施操作员证书</w:t>
      </w:r>
      <w:r>
        <w:rPr>
          <w:rFonts w:ascii="仿宋" w:hAnsi="仿宋" w:eastAsia="仿宋"/>
          <w:color w:val="000000" w:themeColor="text1"/>
          <w:sz w:val="32"/>
          <w:szCs w:val="32"/>
          <w14:textFill>
            <w14:solidFill>
              <w14:schemeClr w14:val="tx1"/>
            </w14:solidFill>
          </w14:textFill>
        </w:rPr>
        <w:t>。确保所有保安人员无刑事和治安管理处罚记录</w:t>
      </w:r>
      <w:r>
        <w:rPr>
          <w:rFonts w:hint="eastAsia" w:ascii="仿宋" w:hAnsi="仿宋" w:eastAsia="仿宋"/>
          <w:color w:val="000000" w:themeColor="text1"/>
          <w:sz w:val="32"/>
          <w:szCs w:val="32"/>
          <w14:textFill>
            <w14:solidFill>
              <w14:schemeClr w14:val="tx1"/>
            </w14:solidFill>
          </w14:textFill>
        </w:rPr>
        <w:t>，并提供无犯罪记录证明。</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3）所有岗位的保安人员在上班期间严禁从事与工作无关的活动。如：</w:t>
      </w:r>
      <w:r>
        <w:rPr>
          <w:rFonts w:hint="eastAsia" w:ascii="仿宋" w:hAnsi="仿宋" w:eastAsia="仿宋"/>
          <w:color w:val="000000" w:themeColor="text1"/>
          <w:sz w:val="32"/>
          <w:szCs w:val="32"/>
          <w14:textFill>
            <w14:solidFill>
              <w14:schemeClr w14:val="tx1"/>
            </w14:solidFill>
          </w14:textFill>
        </w:rPr>
        <w:t>睡觉、</w:t>
      </w:r>
      <w:r>
        <w:rPr>
          <w:rFonts w:ascii="仿宋" w:hAnsi="仿宋" w:eastAsia="仿宋"/>
          <w:color w:val="000000" w:themeColor="text1"/>
          <w:sz w:val="32"/>
          <w:szCs w:val="32"/>
          <w14:textFill>
            <w14:solidFill>
              <w14:schemeClr w14:val="tx1"/>
            </w14:solidFill>
          </w14:textFill>
        </w:rPr>
        <w:t>玩手机、</w:t>
      </w:r>
      <w:r>
        <w:rPr>
          <w:rFonts w:hint="eastAsia" w:ascii="仿宋" w:hAnsi="仿宋" w:eastAsia="仿宋"/>
          <w:color w:val="000000" w:themeColor="text1"/>
          <w:sz w:val="32"/>
          <w:szCs w:val="32"/>
          <w14:textFill>
            <w14:solidFill>
              <w14:schemeClr w14:val="tx1"/>
            </w14:solidFill>
          </w14:textFill>
        </w:rPr>
        <w:t>打游戏、</w:t>
      </w:r>
      <w:r>
        <w:rPr>
          <w:rFonts w:ascii="仿宋" w:hAnsi="仿宋" w:eastAsia="仿宋"/>
          <w:color w:val="000000" w:themeColor="text1"/>
          <w:sz w:val="32"/>
          <w:szCs w:val="32"/>
          <w14:textFill>
            <w14:solidFill>
              <w14:schemeClr w14:val="tx1"/>
            </w14:solidFill>
          </w14:textFill>
        </w:rPr>
        <w:t>看报纸、聚集聊天、吸烟等。</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4）巡逻岗位的保安人员应对项目任何角落，包括楼顶、房屋转角等地方都必须认真巡逻，任何突发情况如因巡逻未及时发现将给予重罚。</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5）要求中标供应商必须承诺对上岗的每名保安人员购买相关的保险，如有突发疾病或其他意外伤害均与</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方无关，由中标供应商自行负责。</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）要求中标供应商为每名保安人员统一配发服装（含</w:t>
      </w:r>
      <w:r>
        <w:rPr>
          <w:rFonts w:hint="eastAsia" w:ascii="仿宋" w:hAnsi="仿宋" w:eastAsia="仿宋"/>
          <w:color w:val="000000" w:themeColor="text1"/>
          <w:sz w:val="32"/>
          <w:szCs w:val="32"/>
          <w14:textFill>
            <w14:solidFill>
              <w14:schemeClr w14:val="tx1"/>
            </w14:solidFill>
          </w14:textFill>
        </w:rPr>
        <w:t>工作服、</w:t>
      </w:r>
      <w:r>
        <w:rPr>
          <w:rFonts w:ascii="仿宋" w:hAnsi="仿宋" w:eastAsia="仿宋"/>
          <w:color w:val="000000" w:themeColor="text1"/>
          <w:sz w:val="32"/>
          <w:szCs w:val="32"/>
          <w14:textFill>
            <w14:solidFill>
              <w14:schemeClr w14:val="tx1"/>
            </w14:solidFill>
          </w14:textFill>
        </w:rPr>
        <w:t>制式保安服装、帽子、肩章、反光背心、武装腰带等）。</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）基于岗位需求，要求中标供应商</w:t>
      </w:r>
      <w:r>
        <w:rPr>
          <w:rFonts w:ascii="仿宋" w:hAnsi="仿宋" w:eastAsia="仿宋"/>
          <w:b/>
          <w:bCs/>
          <w:color w:val="000000" w:themeColor="text1"/>
          <w:sz w:val="32"/>
          <w:szCs w:val="32"/>
          <w14:textFill>
            <w14:solidFill>
              <w14:schemeClr w14:val="tx1"/>
            </w14:solidFill>
          </w14:textFill>
        </w:rPr>
        <w:t>统一配发对讲机、强光手电、雨具及必要的警具</w:t>
      </w:r>
      <w:r>
        <w:rPr>
          <w:rFonts w:hint="eastAsia" w:ascii="仿宋" w:hAnsi="仿宋" w:eastAsia="仿宋"/>
          <w:b/>
          <w:bCs/>
          <w:color w:val="000000" w:themeColor="text1"/>
          <w:sz w:val="32"/>
          <w:szCs w:val="32"/>
          <w14:textFill>
            <w14:solidFill>
              <w14:schemeClr w14:val="tx1"/>
            </w14:solidFill>
          </w14:textFill>
        </w:rPr>
        <w:t>（</w:t>
      </w:r>
      <w:r>
        <w:rPr>
          <w:rFonts w:ascii="仿宋" w:hAnsi="仿宋" w:eastAsia="仿宋"/>
          <w:b/>
          <w:bCs/>
          <w:color w:val="000000" w:themeColor="text1"/>
          <w:sz w:val="32"/>
          <w:szCs w:val="32"/>
          <w14:textFill>
            <w14:solidFill>
              <w14:schemeClr w14:val="tx1"/>
            </w14:solidFill>
          </w14:textFill>
        </w:rPr>
        <w:t>伸缩警棍、辣椒水</w:t>
      </w:r>
      <w:r>
        <w:rPr>
          <w:rFonts w:hint="eastAsia" w:ascii="仿宋" w:hAnsi="仿宋" w:eastAsia="仿宋"/>
          <w:b/>
          <w:bCs/>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，便于保安人员统一高效地开展工作。</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w:t>
      </w:r>
      <w:r>
        <w:rPr>
          <w:rFonts w:ascii="仿宋" w:hAnsi="仿宋" w:eastAsia="仿宋"/>
          <w:b/>
          <w:bCs/>
          <w:color w:val="000000" w:themeColor="text1"/>
          <w:sz w:val="32"/>
          <w:szCs w:val="32"/>
          <w14:textFill>
            <w14:solidFill>
              <w14:schemeClr w14:val="tx1"/>
            </w14:solidFill>
          </w14:textFill>
        </w:rPr>
        <w:t>每</w:t>
      </w:r>
      <w:r>
        <w:rPr>
          <w:rFonts w:hint="eastAsia" w:ascii="仿宋" w:hAnsi="仿宋" w:eastAsia="仿宋"/>
          <w:b/>
          <w:bCs/>
          <w:color w:val="000000" w:themeColor="text1"/>
          <w:sz w:val="32"/>
          <w:szCs w:val="32"/>
          <w14:textFill>
            <w14:solidFill>
              <w14:schemeClr w14:val="tx1"/>
            </w14:solidFill>
          </w14:textFill>
        </w:rPr>
        <w:t>月</w:t>
      </w:r>
      <w:r>
        <w:rPr>
          <w:rFonts w:ascii="仿宋" w:hAnsi="仿宋" w:eastAsia="仿宋"/>
          <w:b/>
          <w:bCs/>
          <w:color w:val="000000" w:themeColor="text1"/>
          <w:sz w:val="32"/>
          <w:szCs w:val="32"/>
          <w14:textFill>
            <w14:solidFill>
              <w14:schemeClr w14:val="tx1"/>
            </w14:solidFill>
          </w14:textFill>
        </w:rPr>
        <w:t>对保安员进行一次集中培训</w:t>
      </w:r>
      <w:r>
        <w:rPr>
          <w:rFonts w:ascii="仿宋" w:hAnsi="仿宋" w:eastAsia="仿宋"/>
          <w:color w:val="000000" w:themeColor="text1"/>
          <w:sz w:val="32"/>
          <w:szCs w:val="32"/>
          <w14:textFill>
            <w14:solidFill>
              <w14:schemeClr w14:val="tx1"/>
            </w14:solidFill>
          </w14:textFill>
        </w:rPr>
        <w:t>，确保保安员思想集中，保安业务精通；</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）管理人员每月对执勤情况进行检查，及时与</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方沟通执勤情况，确保安保工作安全顺利；</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方有权要求中标供应商更换所派驻的人员（包括保安班长）。中标供应商不得随意更换本项目保安人员，如确有特殊原因需要更换，应事先征得</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方同意，并提前15个工作日提出满足要求或更优的人员资料报</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方批准</w:t>
      </w:r>
      <w:r>
        <w:rPr>
          <w:rFonts w:hint="eastAsia" w:ascii="仿宋" w:hAnsi="仿宋" w:eastAsia="仿宋"/>
          <w:color w:val="000000" w:themeColor="text1"/>
          <w:sz w:val="32"/>
          <w:szCs w:val="32"/>
          <w14:textFill>
            <w14:solidFill>
              <w14:schemeClr w14:val="tx1"/>
            </w14:solidFill>
          </w14:textFill>
        </w:rPr>
        <w:t>，经同意后方可更换派驻人员</w:t>
      </w:r>
      <w:r>
        <w:rPr>
          <w:rFonts w:ascii="仿宋" w:hAnsi="仿宋" w:eastAsia="仿宋"/>
          <w:color w:val="000000" w:themeColor="text1"/>
          <w:sz w:val="32"/>
          <w:szCs w:val="32"/>
          <w14:textFill>
            <w14:solidFill>
              <w14:schemeClr w14:val="tx1"/>
            </w14:solidFill>
          </w14:textFill>
        </w:rPr>
        <w:t>。</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中标供应商有以下情形视为缺岗：①</w:t>
      </w:r>
      <w:r>
        <w:rPr>
          <w:rFonts w:ascii="仿宋" w:hAnsi="仿宋" w:eastAsia="仿宋"/>
          <w:color w:val="000000" w:themeColor="text1"/>
          <w:sz w:val="32"/>
          <w:szCs w:val="32"/>
          <w14:textFill>
            <w14:solidFill>
              <w14:schemeClr w14:val="tx1"/>
            </w14:solidFill>
          </w14:textFill>
        </w:rPr>
        <w:t>若中标供应商更换的人员不满足</w:t>
      </w:r>
      <w:r>
        <w:rPr>
          <w:rFonts w:hint="eastAsia" w:ascii="仿宋" w:hAnsi="仿宋" w:eastAsia="仿宋"/>
          <w:color w:val="000000" w:themeColor="text1"/>
          <w:sz w:val="32"/>
          <w:szCs w:val="32"/>
          <w14:textFill>
            <w14:solidFill>
              <w14:schemeClr w14:val="tx1"/>
            </w14:solidFill>
          </w14:textFill>
        </w:rPr>
        <w:t>招标</w:t>
      </w:r>
      <w:r>
        <w:rPr>
          <w:rFonts w:ascii="仿宋" w:hAnsi="仿宋" w:eastAsia="仿宋"/>
          <w:color w:val="000000" w:themeColor="text1"/>
          <w:sz w:val="32"/>
          <w:szCs w:val="32"/>
          <w14:textFill>
            <w14:solidFill>
              <w14:schemeClr w14:val="tx1"/>
            </w14:solidFill>
          </w14:textFill>
        </w:rPr>
        <w:t>方要求的，视为缺岗</w:t>
      </w:r>
      <w:r>
        <w:rPr>
          <w:rFonts w:hint="eastAsia" w:ascii="仿宋" w:hAnsi="仿宋" w:eastAsia="仿宋"/>
          <w:color w:val="000000" w:themeColor="text1"/>
          <w:sz w:val="32"/>
          <w:szCs w:val="32"/>
          <w14:textFill>
            <w14:solidFill>
              <w14:schemeClr w14:val="tx1"/>
            </w14:solidFill>
          </w14:textFill>
        </w:rPr>
        <w:t>；②若中标供应商派驻人员于7天内离职的，视为缺岗；③未经甲方同意私自更换派驻人员的，视为缺岗。项目</w:t>
      </w:r>
      <w:r>
        <w:rPr>
          <w:rFonts w:ascii="仿宋" w:hAnsi="仿宋" w:eastAsia="仿宋"/>
          <w:color w:val="000000" w:themeColor="text1"/>
          <w:sz w:val="32"/>
          <w:szCs w:val="32"/>
          <w14:textFill>
            <w14:solidFill>
              <w14:schemeClr w14:val="tx1"/>
            </w14:solidFill>
          </w14:textFill>
        </w:rPr>
        <w:t>方有权按实际缺岗数扣除当月服务费。岗位缺员，</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方有权另行临时聘员或工作外协，所发生的费用由中标供应商承担。</w:t>
      </w:r>
      <w:r>
        <w:rPr>
          <w:rFonts w:hint="eastAsia" w:ascii="仿宋" w:hAnsi="仿宋" w:eastAsia="仿宋"/>
          <w:color w:val="000000" w:themeColor="text1"/>
          <w:sz w:val="32"/>
          <w:szCs w:val="32"/>
          <w14:textFill>
            <w14:solidFill>
              <w14:schemeClr w14:val="tx1"/>
            </w14:solidFill>
          </w14:textFill>
        </w:rPr>
        <w:t>项目方有权要求更换工作态度不好、工作能力差的保安员，中标供应商应无条件服从。（中标供应商必须做出承诺）</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）中标供应商不按合同约定工作，不符合</w:t>
      </w:r>
      <w:r>
        <w:rPr>
          <w:rFonts w:hint="eastAsia" w:ascii="仿宋" w:hAnsi="仿宋" w:eastAsia="仿宋"/>
          <w:color w:val="000000" w:themeColor="text1"/>
          <w:sz w:val="32"/>
          <w:szCs w:val="32"/>
          <w14:textFill>
            <w14:solidFill>
              <w14:schemeClr w14:val="tx1"/>
            </w14:solidFill>
          </w14:textFill>
        </w:rPr>
        <w:t>招标</w:t>
      </w:r>
      <w:r>
        <w:rPr>
          <w:rFonts w:ascii="仿宋" w:hAnsi="仿宋" w:eastAsia="仿宋"/>
          <w:color w:val="000000" w:themeColor="text1"/>
          <w:sz w:val="32"/>
          <w:szCs w:val="32"/>
          <w14:textFill>
            <w14:solidFill>
              <w14:schemeClr w14:val="tx1"/>
            </w14:solidFill>
          </w14:textFill>
        </w:rPr>
        <w:t>方要求，</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方有权提出异议直至终止合同。</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 关于现场踏勘：</w:t>
      </w:r>
      <w:r>
        <w:rPr>
          <w:rFonts w:hint="eastAsia" w:ascii="仿宋" w:hAnsi="仿宋" w:eastAsia="仿宋"/>
          <w:b/>
          <w:bCs/>
          <w:color w:val="000000" w:themeColor="text1"/>
          <w:sz w:val="32"/>
          <w:szCs w:val="32"/>
          <w14:textFill>
            <w14:solidFill>
              <w14:schemeClr w14:val="tx1"/>
            </w14:solidFill>
          </w14:textFill>
        </w:rPr>
        <w:t>如需现场踏勘，请联系祝捷-13681796811，需提前联系确认踏勘时间。</w:t>
      </w:r>
    </w:p>
    <w:p>
      <w:pPr>
        <w:spacing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四、进场计划</w:t>
      </w:r>
    </w:p>
    <w:tbl>
      <w:tblPr>
        <w:tblStyle w:val="19"/>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51"/>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51"/>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51"/>
              <w:jc w:val="center"/>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14:textFill>
                  <w14:solidFill>
                    <w14:schemeClr w14:val="tx1"/>
                  </w14:solidFill>
                </w14:textFill>
              </w:rPr>
              <w:t>4年11月1日</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firstLineChars="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以项目方实际通知人员进场时间为准</w:t>
            </w:r>
          </w:p>
        </w:tc>
      </w:tr>
    </w:tbl>
    <w:p>
      <w:pPr>
        <w:spacing w:before="120" w:beforeLines="50"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五、服务期限</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以项目方通知安排进场时间为准，需在1</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天内完成进场工作。</w:t>
      </w:r>
      <w:bookmarkStart w:id="406" w:name="_Toc18955"/>
      <w:bookmarkStart w:id="407" w:name="_Toc19250"/>
    </w:p>
    <w:p>
      <w:pPr>
        <w:pStyle w:val="3"/>
        <w:keepNext w:val="0"/>
        <w:keepLines w:val="0"/>
        <w:spacing w:before="120" w:after="120" w:line="500" w:lineRule="exact"/>
        <w:ind w:left="-151" w:firstLine="321"/>
        <w:jc w:val="center"/>
        <w:rPr>
          <w:rFonts w:hint="eastAsia" w:ascii="仿宋" w:hAnsi="仿宋" w:eastAsia="仿宋"/>
          <w:color w:val="000000" w:themeColor="text1"/>
          <w:sz w:val="32"/>
          <w14:textFill>
            <w14:solidFill>
              <w14:schemeClr w14:val="tx1"/>
            </w14:solidFill>
          </w14:textFill>
        </w:rPr>
      </w:pPr>
      <w:bookmarkStart w:id="408" w:name="_Toc31431"/>
      <w:bookmarkStart w:id="409" w:name="_Toc23404"/>
      <w:bookmarkStart w:id="410" w:name="_Toc12201"/>
      <w:bookmarkStart w:id="411" w:name="_Toc13525"/>
      <w:bookmarkStart w:id="412" w:name="_Toc4499"/>
      <w:bookmarkStart w:id="413" w:name="_Toc26164"/>
      <w:bookmarkStart w:id="414" w:name="_Toc19488"/>
      <w:r>
        <w:rPr>
          <w:rFonts w:hint="eastAsia" w:ascii="仿宋" w:hAnsi="仿宋" w:eastAsia="仿宋"/>
          <w:color w:val="000000" w:themeColor="text1"/>
          <w:sz w:val="32"/>
          <w14:textFill>
            <w14:solidFill>
              <w14:schemeClr w14:val="tx1"/>
            </w14:solidFill>
          </w14:textFill>
        </w:rPr>
        <w:t>第二节</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商务技术响应要求</w:t>
      </w:r>
      <w:bookmarkEnd w:id="406"/>
      <w:bookmarkEnd w:id="407"/>
      <w:bookmarkEnd w:id="408"/>
      <w:bookmarkEnd w:id="409"/>
      <w:bookmarkEnd w:id="410"/>
      <w:bookmarkEnd w:id="411"/>
      <w:bookmarkEnd w:id="412"/>
      <w:bookmarkEnd w:id="413"/>
      <w:bookmarkEnd w:id="414"/>
    </w:p>
    <w:p>
      <w:pPr>
        <w:spacing w:line="360" w:lineRule="auto"/>
        <w:ind w:left="-151" w:firstLine="321"/>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一、商务要求</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1、投标人应具备独立的法人资格</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提供法人营业执照（副本）复印件</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加盖</w:t>
      </w:r>
      <w:r>
        <w:rPr>
          <w:rFonts w:hint="eastAsia" w:ascii="仿宋" w:hAnsi="仿宋" w:eastAsia="仿宋"/>
          <w:color w:val="000000" w:themeColor="text1"/>
          <w:sz w:val="32"/>
          <w:szCs w:val="32"/>
          <w14:textFill>
            <w14:solidFill>
              <w14:schemeClr w14:val="tx1"/>
            </w14:solidFill>
          </w14:textFill>
        </w:rPr>
        <w:t>投标人</w:t>
      </w:r>
      <w:r>
        <w:rPr>
          <w:rFonts w:ascii="仿宋" w:hAnsi="仿宋" w:eastAsia="仿宋"/>
          <w:color w:val="000000" w:themeColor="text1"/>
          <w:sz w:val="32"/>
          <w:szCs w:val="32"/>
          <w14:textFill>
            <w14:solidFill>
              <w14:schemeClr w14:val="tx1"/>
            </w14:solidFill>
          </w14:textFill>
        </w:rPr>
        <w:t>公章</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2、投标人</w:t>
      </w:r>
      <w:r>
        <w:rPr>
          <w:rFonts w:hint="eastAsia" w:ascii="仿宋" w:hAnsi="仿宋" w:eastAsia="仿宋"/>
          <w:color w:val="000000" w:themeColor="text1"/>
          <w:sz w:val="32"/>
          <w:szCs w:val="32"/>
          <w14:textFill>
            <w14:solidFill>
              <w14:schemeClr w14:val="tx1"/>
            </w14:solidFill>
          </w14:textFill>
        </w:rPr>
        <w:t>授</w:t>
      </w:r>
      <w:r>
        <w:rPr>
          <w:rFonts w:ascii="仿宋" w:hAnsi="仿宋" w:eastAsia="仿宋"/>
          <w:color w:val="000000" w:themeColor="text1"/>
          <w:sz w:val="32"/>
          <w:szCs w:val="32"/>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3、投标人必须提供自202</w:t>
      </w:r>
      <w:r>
        <w:rPr>
          <w:rFonts w:hint="eastAsia" w:ascii="仿宋" w:hAnsi="仿宋" w:eastAsia="仿宋"/>
          <w:color w:val="000000" w:themeColor="text1"/>
          <w:sz w:val="32"/>
          <w:szCs w:val="32"/>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1月1日</w:t>
      </w:r>
      <w:r>
        <w:rPr>
          <w:rFonts w:hint="eastAsia" w:ascii="仿宋" w:hAnsi="仿宋" w:eastAsia="仿宋"/>
          <w:color w:val="000000" w:themeColor="text1"/>
          <w:sz w:val="32"/>
          <w:szCs w:val="32"/>
          <w14:textFill>
            <w14:solidFill>
              <w14:schemeClr w14:val="tx1"/>
            </w14:solidFill>
          </w14:textFill>
        </w:rPr>
        <w:t>起至今</w:t>
      </w:r>
      <w:r>
        <w:rPr>
          <w:rFonts w:hint="eastAsia" w:ascii="仿宋" w:hAnsi="仿宋" w:eastAsia="仿宋"/>
          <w:b w:val="0"/>
          <w:color w:val="000000" w:themeColor="text1"/>
          <w:sz w:val="32"/>
          <w:szCs w:val="32"/>
          <w14:textFill>
            <w14:solidFill>
              <w14:schemeClr w14:val="tx1"/>
            </w14:solidFill>
          </w14:textFill>
        </w:rPr>
        <w:t>（以合同签约时间为准）</w:t>
      </w:r>
      <w:r>
        <w:rPr>
          <w:rFonts w:hint="eastAsia" w:ascii="仿宋" w:hAnsi="仿宋" w:eastAsia="仿宋"/>
          <w:b w:val="0"/>
          <w:color w:val="000000" w:themeColor="text1"/>
          <w:sz w:val="32"/>
          <w:szCs w:val="32"/>
          <w:lang w:eastAsia="zh-CN"/>
          <w14:textFill>
            <w14:solidFill>
              <w14:schemeClr w14:val="tx1"/>
            </w14:solidFill>
          </w14:textFill>
        </w:rPr>
        <w:t>，</w:t>
      </w:r>
      <w:r>
        <w:rPr>
          <w:rFonts w:hint="eastAsia" w:ascii="仿宋" w:hAnsi="仿宋" w:eastAsia="仿宋"/>
          <w:b w:val="0"/>
          <w:color w:val="000000" w:themeColor="text1"/>
          <w:sz w:val="32"/>
          <w:szCs w:val="32"/>
          <w:lang w:val="en-US" w:eastAsia="zh-CN"/>
          <w14:textFill>
            <w14:solidFill>
              <w14:schemeClr w14:val="tx1"/>
            </w14:solidFill>
          </w14:textFill>
        </w:rPr>
        <w:t>至少一</w:t>
      </w:r>
      <w:r>
        <w:rPr>
          <w:rFonts w:hint="eastAsia" w:ascii="仿宋" w:hAnsi="仿宋" w:eastAsia="仿宋"/>
          <w:b w:val="0"/>
          <w:color w:val="000000" w:themeColor="text1"/>
          <w:sz w:val="32"/>
          <w:szCs w:val="32"/>
          <w14:textFill>
            <w14:solidFill>
              <w14:schemeClr w14:val="tx1"/>
            </w14:solidFill>
          </w14:textFill>
        </w:rPr>
        <w:t>例上海市住宅物业项目的安保服务业绩证明（附合同复印件加盖公章）。</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4、投标人</w:t>
      </w:r>
      <w:r>
        <w:rPr>
          <w:rFonts w:ascii="仿宋" w:hAnsi="仿宋" w:eastAsia="仿宋"/>
          <w:color w:val="000000" w:themeColor="text1"/>
          <w:sz w:val="32"/>
          <w:szCs w:val="32"/>
          <w14:textFill>
            <w14:solidFill>
              <w14:schemeClr w14:val="tx1"/>
            </w14:solidFill>
          </w14:textFill>
        </w:rPr>
        <w:t>拟投入使用安保相关管理信息系统</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需</w:t>
      </w:r>
      <w:r>
        <w:rPr>
          <w:rFonts w:ascii="仿宋" w:hAnsi="仿宋" w:eastAsia="仿宋"/>
          <w:color w:val="000000" w:themeColor="text1"/>
          <w:sz w:val="32"/>
          <w:szCs w:val="32"/>
          <w14:textFill>
            <w14:solidFill>
              <w14:schemeClr w14:val="tx1"/>
            </w14:solidFill>
          </w14:textFill>
        </w:rPr>
        <w:t>提供该系统软件著作权登记证书</w:t>
      </w:r>
      <w:r>
        <w:rPr>
          <w:rFonts w:hint="eastAsia" w:ascii="仿宋" w:hAnsi="仿宋" w:eastAsia="仿宋"/>
          <w:color w:val="000000" w:themeColor="text1"/>
          <w:sz w:val="32"/>
          <w:szCs w:val="32"/>
          <w14:textFill>
            <w14:solidFill>
              <w14:schemeClr w14:val="tx1"/>
            </w14:solidFill>
          </w14:textFill>
        </w:rPr>
        <w:t>复印</w:t>
      </w:r>
      <w:r>
        <w:rPr>
          <w:rFonts w:ascii="仿宋" w:hAnsi="仿宋" w:eastAsia="仿宋"/>
          <w:color w:val="000000" w:themeColor="text1"/>
          <w:sz w:val="32"/>
          <w:szCs w:val="32"/>
          <w14:textFill>
            <w14:solidFill>
              <w14:schemeClr w14:val="tx1"/>
            </w14:solidFill>
          </w14:textFill>
        </w:rPr>
        <w:t>件。</w:t>
      </w:r>
    </w:p>
    <w:p>
      <w:pPr>
        <w:widowControl/>
        <w:adjustRightInd w:val="0"/>
        <w:snapToGrid w:val="0"/>
        <w:spacing w:before="60" w:beforeLines="25" w:after="60" w:afterLines="25"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二、技术要求</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360" w:lineRule="auto"/>
        <w:ind w:left="-151"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、投标人须提交《作业安全承诺书》并加盖公章。</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、严格执行服务承诺。</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、中标人应严格依据投标文件所作承诺履行职责，如有违约，招标人有权根据协议、合同采取措施追究违约方的违约责任。</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、中标人应当按照合同约定履行义务，不得将本项目（转包）给他人，一经发现，招标人有权立即终止合同，并追究中标人的违约责任和要求赔偿。</w:t>
      </w:r>
    </w:p>
    <w:p>
      <w:pPr>
        <w:pStyle w:val="3"/>
        <w:keepNext w:val="0"/>
        <w:keepLines w:val="0"/>
        <w:spacing w:before="120" w:after="120" w:line="360" w:lineRule="auto"/>
        <w:ind w:left="-151" w:firstLine="321"/>
        <w:jc w:val="center"/>
        <w:rPr>
          <w:rFonts w:hint="eastAsia" w:ascii="仿宋" w:hAnsi="仿宋" w:eastAsia="仿宋"/>
          <w:color w:val="000000" w:themeColor="text1"/>
          <w:sz w:val="32"/>
          <w14:textFill>
            <w14:solidFill>
              <w14:schemeClr w14:val="tx1"/>
            </w14:solidFill>
          </w14:textFill>
        </w:rPr>
      </w:pPr>
      <w:bookmarkStart w:id="415" w:name="_Toc32751"/>
      <w:bookmarkStart w:id="416" w:name="_Toc21771"/>
      <w:bookmarkStart w:id="417" w:name="_Toc12512"/>
      <w:bookmarkStart w:id="418" w:name="_Toc23619"/>
      <w:bookmarkStart w:id="419" w:name="_Toc32057"/>
      <w:bookmarkStart w:id="420" w:name="_Toc468718876"/>
      <w:bookmarkStart w:id="421" w:name="_Toc19755"/>
      <w:bookmarkStart w:id="422" w:name="_Toc23072"/>
      <w:bookmarkStart w:id="423" w:name="_Toc1340"/>
      <w:bookmarkStart w:id="424" w:name="_Toc12898"/>
      <w:r>
        <w:rPr>
          <w:rFonts w:hint="eastAsia" w:ascii="仿宋" w:hAnsi="仿宋" w:eastAsia="仿宋"/>
          <w:color w:val="000000" w:themeColor="text1"/>
          <w:sz w:val="32"/>
          <w14:textFill>
            <w14:solidFill>
              <w14:schemeClr w14:val="tx1"/>
            </w14:solidFill>
          </w14:textFill>
        </w:rPr>
        <w:t>第三节 报价要求</w:t>
      </w:r>
      <w:bookmarkEnd w:id="415"/>
      <w:bookmarkEnd w:id="416"/>
      <w:bookmarkEnd w:id="417"/>
      <w:bookmarkEnd w:id="418"/>
      <w:bookmarkEnd w:id="419"/>
      <w:bookmarkEnd w:id="420"/>
      <w:bookmarkEnd w:id="421"/>
      <w:bookmarkEnd w:id="422"/>
      <w:bookmarkEnd w:id="423"/>
      <w:bookmarkEnd w:id="424"/>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bookmarkStart w:id="425" w:name="_Toc468718878"/>
      <w:bookmarkStart w:id="426" w:name="_Toc306290240"/>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、报价以人民币为货币单位，应分单价、小计和总价。</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投标报价应包含但不限于以下费用：服装费、工具费、耗材费、保险费、人工费、员工福利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、中标人在提供服务的过程中，若出现安全事故，其责任及相应的赔偿均由中标人承担，招标人不承担所有责任及义务。</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bookmarkEnd w:id="425"/>
      <w:bookmarkEnd w:id="426"/>
      <w:r>
        <w:rPr>
          <w:rFonts w:hint="eastAsia" w:ascii="仿宋" w:hAnsi="仿宋" w:eastAsia="仿宋"/>
          <w:color w:val="000000" w:themeColor="text1"/>
          <w:sz w:val="32"/>
          <w:szCs w:val="32"/>
          <w14:textFill>
            <w14:solidFill>
              <w14:schemeClr w14:val="tx1"/>
            </w14:solidFill>
          </w14:textFill>
        </w:rPr>
        <w:t>履约保证金：中标人须向招标人缴交履约保证金，履约保证金在双方合同终止、交接清楚、质保期结束和债权债务等关系理顺后</w:t>
      </w:r>
      <w:r>
        <w:rPr>
          <w:rFonts w:ascii="仿宋" w:hAnsi="仿宋" w:eastAsia="仿宋"/>
          <w:color w:val="000000" w:themeColor="text1"/>
          <w:sz w:val="32"/>
          <w:szCs w:val="32"/>
          <w14:textFill>
            <w14:solidFill>
              <w14:schemeClr w14:val="tx1"/>
            </w14:solidFill>
          </w14:textFill>
        </w:rPr>
        <w:t>30日历天内无息返还。</w:t>
      </w:r>
      <w:bookmarkEnd w:id="8"/>
      <w:r>
        <w:rPr>
          <w:rFonts w:ascii="仿宋" w:hAnsi="仿宋" w:eastAsia="仿宋"/>
          <w:color w:val="000000" w:themeColor="text1"/>
          <w:sz w:val="32"/>
          <w:szCs w:val="32"/>
          <w14:textFill>
            <w14:solidFill>
              <w14:schemeClr w14:val="tx1"/>
            </w14:solidFill>
          </w14:textFill>
        </w:rPr>
        <w:br w:type="page"/>
      </w:r>
    </w:p>
    <w:p>
      <w:pPr>
        <w:pStyle w:val="2"/>
        <w:ind w:left="-151" w:firstLine="321"/>
        <w:jc w:val="center"/>
        <w:rPr>
          <w:rFonts w:hint="eastAsia"/>
          <w:color w:val="000000" w:themeColor="text1"/>
          <w14:textFill>
            <w14:solidFill>
              <w14:schemeClr w14:val="tx1"/>
            </w14:solidFill>
          </w14:textFill>
        </w:rPr>
      </w:pPr>
      <w:bookmarkStart w:id="427" w:name="_Toc2439"/>
      <w:bookmarkStart w:id="428" w:name="_Toc27395"/>
      <w:bookmarkStart w:id="429" w:name="_Toc28211"/>
      <w:bookmarkStart w:id="430" w:name="_Toc31851"/>
      <w:bookmarkStart w:id="431" w:name="_Toc13390"/>
      <w:bookmarkStart w:id="432" w:name="_Toc5790"/>
      <w:bookmarkStart w:id="433" w:name="_Toc9629"/>
      <w:bookmarkStart w:id="434" w:name="_Toc5655"/>
      <w:bookmarkStart w:id="435" w:name="_Toc26810"/>
      <w:r>
        <w:rPr>
          <w:rFonts w:hint="eastAsia"/>
          <w:color w:val="000000" w:themeColor="text1"/>
          <w14:textFill>
            <w14:solidFill>
              <w14:schemeClr w14:val="tx1"/>
            </w14:solidFill>
          </w14:textFill>
        </w:rPr>
        <w:t>第四章  投标文件格式</w:t>
      </w:r>
      <w:bookmarkEnd w:id="427"/>
      <w:bookmarkEnd w:id="428"/>
      <w:bookmarkEnd w:id="429"/>
      <w:bookmarkEnd w:id="430"/>
      <w:bookmarkEnd w:id="431"/>
      <w:bookmarkEnd w:id="432"/>
      <w:bookmarkEnd w:id="433"/>
      <w:bookmarkEnd w:id="434"/>
      <w:bookmarkEnd w:id="435"/>
    </w:p>
    <w:p>
      <w:pPr>
        <w:ind w:left="-151"/>
        <w:rPr>
          <w:rFonts w:hint="eastAsia" w:asciiTheme="minorEastAsia" w:hAnsiTheme="minorEastAsia" w:eastAsiaTheme="minorEastAsia"/>
          <w:color w:val="000000" w:themeColor="text1"/>
          <w14:textFill>
            <w14:solidFill>
              <w14:schemeClr w14:val="tx1"/>
            </w14:solidFill>
          </w14:textFill>
        </w:rPr>
      </w:pPr>
    </w:p>
    <w:p>
      <w:pPr>
        <w:spacing w:line="360" w:lineRule="auto"/>
        <w:ind w:left="-151" w:firstLine="281"/>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（本章格式文件可供参考，投标人可根据项目实际需求进行编制）</w:t>
      </w:r>
    </w:p>
    <w:p>
      <w:pPr>
        <w:pStyle w:val="29"/>
        <w:rPr>
          <w:rFonts w:hint="eastAsia"/>
          <w:color w:val="000000" w:themeColor="text1"/>
          <w14:textFill>
            <w14:solidFill>
              <w14:schemeClr w14:val="tx1"/>
            </w14:solidFill>
          </w14:textFill>
        </w:rPr>
      </w:pPr>
    </w:p>
    <w:p>
      <w:pPr>
        <w:pStyle w:val="2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封面）</w:t>
      </w:r>
    </w:p>
    <w:p>
      <w:pPr>
        <w:spacing w:line="360" w:lineRule="auto"/>
        <w:ind w:left="-151" w:firstLine="723"/>
        <w:jc w:val="center"/>
        <w:rPr>
          <w:rFonts w:hint="eastAsia" w:asciiTheme="minorEastAsia" w:hAnsiTheme="minorEastAsia" w:eastAsiaTheme="minorEastAsia"/>
          <w:b/>
          <w:color w:val="000000" w:themeColor="text1"/>
          <w:sz w:val="72"/>
          <w14:textFill>
            <w14:solidFill>
              <w14:schemeClr w14:val="tx1"/>
            </w14:solidFill>
          </w14:textFill>
        </w:rPr>
      </w:pPr>
    </w:p>
    <w:p>
      <w:pPr>
        <w:spacing w:line="360" w:lineRule="auto"/>
        <w:ind w:left="-151" w:firstLine="723"/>
        <w:jc w:val="center"/>
        <w:rPr>
          <w:rFonts w:hint="eastAsia"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投  标  文  件</w:t>
      </w:r>
    </w:p>
    <w:p>
      <w:pPr>
        <w:spacing w:line="360" w:lineRule="auto"/>
        <w:ind w:left="-151" w:firstLine="361"/>
        <w:rPr>
          <w:rFonts w:hint="eastAsia" w:asciiTheme="minorEastAsia" w:hAnsiTheme="minorEastAsia" w:eastAsiaTheme="minorEastAsia"/>
          <w:b/>
          <w:color w:val="000000" w:themeColor="text1"/>
          <w:sz w:val="36"/>
          <w14:textFill>
            <w14:solidFill>
              <w14:schemeClr w14:val="tx1"/>
            </w14:solidFill>
          </w14:textFill>
        </w:rPr>
      </w:pPr>
    </w:p>
    <w:p>
      <w:pPr>
        <w:spacing w:line="360" w:lineRule="auto"/>
        <w:ind w:left="-151" w:firstLine="1084" w:firstLineChars="300"/>
        <w:rPr>
          <w:rFonts w:hint="eastAsia"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 目 名 称：</w:t>
      </w:r>
    </w:p>
    <w:p>
      <w:pPr>
        <w:spacing w:line="360" w:lineRule="auto"/>
        <w:ind w:left="-151" w:firstLine="1084" w:firstLineChars="300"/>
        <w:rPr>
          <w:rFonts w:hint="eastAsia"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招 标 编 号：</w:t>
      </w:r>
    </w:p>
    <w:p>
      <w:pPr>
        <w:spacing w:line="360" w:lineRule="auto"/>
        <w:ind w:left="-151" w:firstLine="361"/>
        <w:rPr>
          <w:rFonts w:hint="eastAsia" w:ascii="仿宋" w:hAnsi="仿宋" w:eastAsia="仿宋"/>
          <w:b/>
          <w:color w:val="000000" w:themeColor="text1"/>
          <w:sz w:val="36"/>
          <w14:textFill>
            <w14:solidFill>
              <w14:schemeClr w14:val="tx1"/>
            </w14:solidFill>
          </w14:textFill>
        </w:rPr>
      </w:pPr>
    </w:p>
    <w:p>
      <w:pPr>
        <w:spacing w:line="360" w:lineRule="auto"/>
        <w:ind w:left="-151" w:firstLine="361"/>
        <w:rPr>
          <w:rFonts w:hint="eastAsia" w:ascii="仿宋" w:hAnsi="仿宋" w:eastAsia="仿宋"/>
          <w:b/>
          <w:color w:val="000000" w:themeColor="text1"/>
          <w:sz w:val="36"/>
          <w14:textFill>
            <w14:solidFill>
              <w14:schemeClr w14:val="tx1"/>
            </w14:solidFill>
          </w14:textFill>
        </w:rPr>
      </w:pPr>
    </w:p>
    <w:p>
      <w:pPr>
        <w:spacing w:line="360" w:lineRule="auto"/>
        <w:ind w:left="-151" w:firstLine="361"/>
        <w:rPr>
          <w:rFonts w:hint="eastAsia"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投标人名称 ：</w:t>
      </w:r>
    </w:p>
    <w:p>
      <w:pPr>
        <w:spacing w:line="360" w:lineRule="auto"/>
        <w:ind w:left="-151" w:firstLine="361"/>
        <w:rPr>
          <w:rFonts w:hint="eastAsia"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日      期 ：</w:t>
      </w:r>
    </w:p>
    <w:p>
      <w:pPr>
        <w:pStyle w:val="30"/>
        <w:spacing w:line="360" w:lineRule="auto"/>
        <w:ind w:left="-151" w:firstLine="241"/>
        <w:jc w:val="left"/>
        <w:rPr>
          <w:rFonts w:hint="eastAsia" w:asciiTheme="minorEastAsia" w:hAnsiTheme="minorEastAsia" w:eastAsiaTheme="minorEastAsia"/>
          <w:b/>
          <w:color w:val="000000" w:themeColor="text1"/>
          <w:sz w:val="24"/>
          <w14:textFill>
            <w14:solidFill>
              <w14:schemeClr w14:val="tx1"/>
            </w14:solidFill>
          </w14:textFill>
        </w:rPr>
      </w:pPr>
    </w:p>
    <w:p>
      <w:pPr>
        <w:pStyle w:val="30"/>
        <w:spacing w:line="360" w:lineRule="auto"/>
        <w:ind w:left="-151" w:firstLine="241"/>
        <w:jc w:val="left"/>
        <w:rPr>
          <w:rFonts w:hint="eastAsia" w:asciiTheme="minorEastAsia" w:hAnsiTheme="minorEastAsia" w:eastAsiaTheme="minorEastAsia"/>
          <w:b/>
          <w:color w:val="000000" w:themeColor="text1"/>
          <w:sz w:val="24"/>
          <w14:textFill>
            <w14:solidFill>
              <w14:schemeClr w14:val="tx1"/>
            </w14:solidFill>
          </w14:textFill>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r>
        <w:rPr>
          <w:rFonts w:hint="eastAsia"/>
        </w:rPr>
        <w:t>目    录</w:t>
      </w:r>
    </w:p>
    <w:p>
      <w:pPr>
        <w:spacing w:line="500" w:lineRule="exact"/>
        <w:ind w:left="-151"/>
        <w:rPr>
          <w:rFonts w:hint="eastAsia" w:ascii="仿宋" w:hAnsi="仿宋" w:eastAsia="仿宋"/>
          <w:color w:val="000000" w:themeColor="text1"/>
          <w:sz w:val="32"/>
          <w:szCs w:val="32"/>
          <w14:textFill>
            <w14:solidFill>
              <w14:schemeClr w14:val="tx1"/>
            </w14:solidFill>
          </w14:textFill>
        </w:rPr>
      </w:pP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投标书</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开标一览表</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价格明细表</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安保服务方案</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投标人业绩证明</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作业安全承诺书</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售后服务承诺书</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法人代表人授权书</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法人营业执照</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廉洁诚信承诺书</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带“★”号条款逐条响应情况表</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投标人提交的其他资料</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秩序维护服务合同</w:t>
      </w:r>
    </w:p>
    <w:p>
      <w:pPr>
        <w:numPr>
          <w:ilvl w:val="0"/>
          <w:numId w:val="2"/>
        </w:numPr>
        <w:snapToGrid w:val="0"/>
        <w:spacing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投标人密封条</w:t>
      </w:r>
    </w:p>
    <w:p>
      <w:pPr>
        <w:snapToGrid w:val="0"/>
        <w:spacing w:line="360" w:lineRule="auto"/>
        <w:ind w:left="-151"/>
        <w:jc w:val="left"/>
        <w:rPr>
          <w:rFonts w:hint="eastAsia" w:ascii="仿宋" w:hAnsi="仿宋" w:eastAsia="仿宋"/>
          <w:color w:val="000000" w:themeColor="text1"/>
          <w14:textFill>
            <w14:solidFill>
              <w14:schemeClr w14:val="tx1"/>
            </w14:solidFill>
          </w14:textFill>
        </w:rPr>
      </w:pPr>
    </w:p>
    <w:p>
      <w:pPr>
        <w:spacing w:line="440" w:lineRule="exact"/>
        <w:ind w:left="-151" w:firstLine="321"/>
        <w:rPr>
          <w:rFonts w:hint="eastAsia" w:ascii="仿宋" w:hAnsi="仿宋" w:eastAsia="仿宋"/>
          <w:b/>
          <w:color w:val="000000" w:themeColor="text1"/>
          <w:sz w:val="32"/>
          <w:szCs w:val="32"/>
          <w14:textFill>
            <w14:solidFill>
              <w14:schemeClr w14:val="tx1"/>
            </w14:solidFill>
          </w14:textFill>
        </w:rPr>
      </w:pPr>
    </w:p>
    <w:p>
      <w:pPr>
        <w:spacing w:line="440" w:lineRule="exact"/>
        <w:ind w:left="-151" w:firstLine="321"/>
        <w:rPr>
          <w:rFonts w:hint="eastAsia" w:ascii="仿宋" w:hAnsi="仿宋" w:eastAsia="仿宋"/>
          <w:b/>
          <w:color w:val="000000" w:themeColor="text1"/>
          <w:sz w:val="32"/>
          <w:szCs w:val="32"/>
          <w14:textFill>
            <w14:solidFill>
              <w14:schemeClr w14:val="tx1"/>
            </w14:solidFill>
          </w14:textFill>
        </w:rPr>
      </w:pPr>
    </w:p>
    <w:p>
      <w:pPr>
        <w:spacing w:line="360" w:lineRule="auto"/>
        <w:ind w:left="-151" w:firstLine="643" w:firstLineChars="200"/>
        <w:jc w:val="left"/>
        <w:rPr>
          <w:rFonts w:hint="eastAsia"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说明：投标人应按投标文件的实际情况编制目录</w:t>
      </w:r>
    </w:p>
    <w:p>
      <w:pPr>
        <w:spacing w:line="500" w:lineRule="exact"/>
        <w:ind w:left="-151" w:firstLine="321"/>
        <w:rPr>
          <w:rFonts w:hint="eastAsia" w:ascii="仿宋" w:hAnsi="仿宋" w:eastAsia="仿宋"/>
          <w:b/>
          <w:color w:val="000000" w:themeColor="text1"/>
          <w:sz w:val="32"/>
          <w:szCs w:val="32"/>
          <w14:textFill>
            <w14:solidFill>
              <w14:schemeClr w14:val="tx1"/>
            </w14:solidFill>
          </w14:textFill>
        </w:rPr>
      </w:pPr>
    </w:p>
    <w:p>
      <w:pPr>
        <w:spacing w:line="500" w:lineRule="exact"/>
        <w:ind w:left="-151"/>
        <w:rPr>
          <w:rFonts w:hint="eastAsia" w:ascii="仿宋" w:hAnsi="仿宋" w:eastAsia="仿宋"/>
          <w:b/>
          <w:bCs/>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br w:type="page"/>
      </w:r>
      <w:bookmarkStart w:id="436" w:name="_Toc186344305"/>
      <w:r>
        <w:rPr>
          <w:rFonts w:hint="eastAsia" w:ascii="仿宋" w:hAnsi="仿宋" w:eastAsia="仿宋"/>
          <w:b/>
          <w:bCs/>
          <w:color w:val="000000" w:themeColor="text1"/>
          <w:sz w:val="32"/>
          <w:szCs w:val="32"/>
          <w14:textFill>
            <w14:solidFill>
              <w14:schemeClr w14:val="tx1"/>
            </w14:solidFill>
          </w14:textFill>
        </w:rPr>
        <w:t>格式1　　</w:t>
      </w:r>
    </w:p>
    <w:p>
      <w:pPr>
        <w:spacing w:line="500" w:lineRule="exact"/>
        <w:ind w:left="-151" w:firstLine="321"/>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 标 书</w:t>
      </w:r>
      <w:bookmarkEnd w:id="436"/>
    </w:p>
    <w:p>
      <w:pPr>
        <w:spacing w:line="500" w:lineRule="exact"/>
        <w:ind w:left="-151"/>
        <w:rPr>
          <w:rFonts w:hint="eastAsia" w:ascii="仿宋" w:hAnsi="仿宋" w:eastAsia="仿宋"/>
          <w:color w:val="000000" w:themeColor="text1"/>
          <w:sz w:val="32"/>
          <w:szCs w:val="32"/>
          <w14:textFill>
            <w14:solidFill>
              <w14:schemeClr w14:val="tx1"/>
            </w14:solidFill>
          </w14:textFill>
        </w:rPr>
      </w:pPr>
    </w:p>
    <w:p>
      <w:pPr>
        <w:spacing w:line="360" w:lineRule="auto"/>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厦门国贸城市服务集团股份有限公司：</w:t>
      </w:r>
    </w:p>
    <w:p>
      <w:pPr>
        <w:spacing w:line="360" w:lineRule="auto"/>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根据贵方为</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项目的投标要求（招标编号：</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，本签字代表</w:t>
      </w:r>
      <w:r>
        <w:rPr>
          <w:rFonts w:hint="eastAsia" w:ascii="仿宋" w:hAnsi="仿宋" w:eastAsia="仿宋"/>
          <w:color w:val="000000" w:themeColor="text1"/>
          <w:sz w:val="32"/>
          <w:szCs w:val="32"/>
          <w:u w:val="single"/>
          <w14:textFill>
            <w14:solidFill>
              <w14:schemeClr w14:val="tx1"/>
            </w14:solidFill>
          </w14:textFill>
        </w:rPr>
        <w:t xml:space="preserve">   （全名、职务）   </w:t>
      </w:r>
      <w:r>
        <w:rPr>
          <w:rFonts w:hint="eastAsia" w:ascii="仿宋" w:hAnsi="仿宋" w:eastAsia="仿宋"/>
          <w:color w:val="000000" w:themeColor="text1"/>
          <w:sz w:val="32"/>
          <w:szCs w:val="32"/>
          <w14:textFill>
            <w14:solidFill>
              <w14:schemeClr w14:val="tx1"/>
            </w14:solidFill>
          </w14:textFill>
        </w:rPr>
        <w:t>正式授权并代表投标人</w:t>
      </w:r>
      <w:r>
        <w:rPr>
          <w:rFonts w:hint="eastAsia" w:ascii="仿宋" w:hAnsi="仿宋" w:eastAsia="仿宋"/>
          <w:color w:val="000000" w:themeColor="text1"/>
          <w:sz w:val="32"/>
          <w:szCs w:val="32"/>
          <w:u w:val="single"/>
          <w14:textFill>
            <w14:solidFill>
              <w14:schemeClr w14:val="tx1"/>
            </w14:solidFill>
          </w14:textFill>
        </w:rPr>
        <w:t xml:space="preserve">   （投标人名称、地址）   </w:t>
      </w:r>
      <w:r>
        <w:rPr>
          <w:rFonts w:hint="eastAsia" w:ascii="仿宋" w:hAnsi="仿宋" w:eastAsia="仿宋"/>
          <w:color w:val="000000" w:themeColor="text1"/>
          <w:sz w:val="32"/>
          <w:szCs w:val="32"/>
          <w14:textFill>
            <w14:solidFill>
              <w14:schemeClr w14:val="tx1"/>
            </w14:solidFill>
          </w14:textFill>
        </w:rPr>
        <w:t>提交下述文件正本一份、副本一份、电子版一份(U盘介质）。</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投标书</w:t>
            </w:r>
          </w:p>
        </w:tc>
        <w:tc>
          <w:tcPr>
            <w:tcW w:w="4463"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价格明细表</w:t>
            </w:r>
          </w:p>
        </w:tc>
        <w:tc>
          <w:tcPr>
            <w:tcW w:w="4463"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安保服务方案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技术和商务偏离表</w:t>
            </w:r>
          </w:p>
        </w:tc>
        <w:tc>
          <w:tcPr>
            <w:tcW w:w="4463"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法人代表授权书、法人营业执照、税务登记证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 投标人</w:t>
            </w:r>
            <w:r>
              <w:rPr>
                <w:rFonts w:hint="eastAsia" w:ascii="仿宋" w:hAnsi="仿宋" w:eastAsia="仿宋"/>
                <w:bCs/>
                <w:color w:val="000000" w:themeColor="text1"/>
                <w:sz w:val="28"/>
                <w:szCs w:val="28"/>
                <w14:textFill>
                  <w14:solidFill>
                    <w14:schemeClr w14:val="tx1"/>
                  </w14:solidFill>
                </w14:textFill>
              </w:rPr>
              <w:t>提</w:t>
            </w:r>
            <w:r>
              <w:rPr>
                <w:rFonts w:hint="eastAsia" w:ascii="仿宋" w:hAnsi="仿宋" w:eastAsia="仿宋"/>
                <w:color w:val="000000" w:themeColor="text1"/>
                <w:sz w:val="28"/>
                <w:szCs w:val="28"/>
                <w14:textFill>
                  <w14:solidFill>
                    <w14:schemeClr w14:val="tx1"/>
                  </w14:solidFill>
                </w14:textFill>
              </w:rPr>
              <w:t>交的其它资料</w:t>
            </w:r>
          </w:p>
        </w:tc>
        <w:tc>
          <w:tcPr>
            <w:tcW w:w="4463" w:type="dxa"/>
            <w:vAlign w:val="center"/>
          </w:tcPr>
          <w:p>
            <w:pPr>
              <w:ind w:left="-15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以下方式提供的金额为人民币元的投标保证金。</w:t>
            </w:r>
          </w:p>
        </w:tc>
      </w:tr>
    </w:tbl>
    <w:p>
      <w:pPr>
        <w:spacing w:line="360" w:lineRule="auto"/>
        <w:ind w:left="-151"/>
        <w:rPr>
          <w:rFonts w:hint="eastAsia" w:ascii="仿宋" w:hAnsi="仿宋" w:eastAsia="仿宋"/>
          <w:color w:val="000000" w:themeColor="text1"/>
          <w:sz w:val="32"/>
          <w:szCs w:val="32"/>
          <w14:textFill>
            <w14:solidFill>
              <w14:schemeClr w14:val="tx1"/>
            </w14:solidFill>
          </w14:textFill>
        </w:rPr>
      </w:pP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据此函，签字代表宣布同意如下：</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360" w:lineRule="auto"/>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2.投标人保证遵守招标文件的全部规定，投标人所提交的材料中所含的信息均为真实、准确、完整，且不具有任何误导性。</w:t>
      </w:r>
    </w:p>
    <w:p>
      <w:pPr>
        <w:spacing w:line="360" w:lineRule="auto"/>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3.投标人将按招标文件的规定履行合同责任和义务。</w:t>
      </w:r>
    </w:p>
    <w:p>
      <w:pPr>
        <w:spacing w:line="360" w:lineRule="auto"/>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w:t>
      </w:r>
    </w:p>
    <w:p>
      <w:pPr>
        <w:spacing w:line="360" w:lineRule="auto"/>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5.如果发生招标文件第二章投标人须知第12条所述情况，则同意招标人不予退还投标保证金。</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与本投标有关的一切正式往来通讯请寄：</w:t>
      </w:r>
    </w:p>
    <w:p>
      <w:pPr>
        <w:spacing w:line="360" w:lineRule="auto"/>
        <w:ind w:left="-151" w:firstLine="640" w:firstLineChars="20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地址：</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邮编：</w:t>
      </w:r>
      <w:r>
        <w:rPr>
          <w:rFonts w:hint="eastAsia" w:ascii="仿宋" w:hAnsi="仿宋" w:eastAsia="仿宋"/>
          <w:color w:val="000000" w:themeColor="text1"/>
          <w:sz w:val="32"/>
          <w:szCs w:val="32"/>
          <w:u w:val="single"/>
          <w14:textFill>
            <w14:solidFill>
              <w14:schemeClr w14:val="tx1"/>
            </w14:solidFill>
          </w14:textFill>
        </w:rPr>
        <w:t xml:space="preserve">        </w:t>
      </w:r>
    </w:p>
    <w:p>
      <w:pPr>
        <w:spacing w:line="360" w:lineRule="auto"/>
        <w:ind w:left="-151" w:firstLine="640" w:firstLineChars="20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电话：</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传真：</w:t>
      </w:r>
      <w:r>
        <w:rPr>
          <w:rFonts w:hint="eastAsia" w:ascii="仿宋" w:hAnsi="仿宋" w:eastAsia="仿宋"/>
          <w:color w:val="000000" w:themeColor="text1"/>
          <w:sz w:val="32"/>
          <w:szCs w:val="32"/>
          <w:u w:val="single"/>
          <w14:textFill>
            <w14:solidFill>
              <w14:schemeClr w14:val="tx1"/>
            </w14:solidFill>
          </w14:textFill>
        </w:rPr>
        <w:t xml:space="preserve">              </w:t>
      </w:r>
    </w:p>
    <w:p>
      <w:pPr>
        <w:spacing w:line="360" w:lineRule="auto"/>
        <w:ind w:left="-151" w:firstLine="640" w:firstLineChars="20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r>
        <w:rPr>
          <w:rFonts w:hint="eastAsia" w:ascii="仿宋" w:hAnsi="仿宋" w:eastAsia="仿宋"/>
          <w:color w:val="000000" w:themeColor="text1"/>
          <w:sz w:val="32"/>
          <w:szCs w:val="32"/>
          <w:u w:val="single"/>
          <w14:textFill>
            <w14:solidFill>
              <w14:schemeClr w14:val="tx1"/>
            </w14:solidFill>
          </w14:textFill>
        </w:rPr>
        <w:t xml:space="preserve">                 </w:t>
      </w:r>
    </w:p>
    <w:p>
      <w:pPr>
        <w:spacing w:line="360" w:lineRule="auto"/>
        <w:ind w:left="-151" w:firstLine="640" w:firstLineChars="20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r>
        <w:rPr>
          <w:rFonts w:hint="eastAsia" w:ascii="仿宋" w:hAnsi="仿宋" w:eastAsia="仿宋"/>
          <w:color w:val="000000" w:themeColor="text1"/>
          <w:sz w:val="32"/>
          <w:szCs w:val="32"/>
          <w:u w:val="single"/>
          <w14:textFill>
            <w14:solidFill>
              <w14:schemeClr w14:val="tx1"/>
            </w14:solidFill>
          </w14:textFill>
        </w:rPr>
        <w:t xml:space="preserve">              </w:t>
      </w:r>
    </w:p>
    <w:p>
      <w:pPr>
        <w:spacing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期：2024年</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日</w:t>
      </w:r>
    </w:p>
    <w:p>
      <w:pPr>
        <w:spacing w:line="500" w:lineRule="exact"/>
        <w:ind w:left="-151" w:firstLine="321"/>
        <w:rPr>
          <w:rFonts w:hint="eastAsia"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格式2　</w:t>
      </w:r>
    </w:p>
    <w:p>
      <w:pPr>
        <w:spacing w:line="500" w:lineRule="exact"/>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开标一览表</w:t>
      </w:r>
    </w:p>
    <w:p>
      <w:pPr>
        <w:pStyle w:val="8"/>
        <w:tabs>
          <w:tab w:val="left" w:pos="3996"/>
          <w:tab w:val="left" w:pos="8437"/>
        </w:tabs>
        <w:spacing w:line="500" w:lineRule="exact"/>
        <w:ind w:left="-151"/>
        <w:rPr>
          <w:rFonts w:hint="eastAsia" w:ascii="仿宋" w:hAnsi="仿宋" w:eastAsia="仿宋"/>
          <w:color w:val="000000" w:themeColor="text1"/>
          <w:sz w:val="32"/>
          <w:szCs w:val="32"/>
          <w14:textFill>
            <w14:solidFill>
              <w14:schemeClr w14:val="tx1"/>
            </w14:solidFill>
          </w14:textFill>
        </w:rPr>
      </w:pPr>
    </w:p>
    <w:p>
      <w:pPr>
        <w:spacing w:line="50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r>
        <w:rPr>
          <w:rFonts w:hint="eastAsia" w:ascii="仿宋" w:hAnsi="仿宋" w:eastAsia="仿宋"/>
          <w:color w:val="000000" w:themeColor="text1"/>
          <w:sz w:val="32"/>
          <w:szCs w:val="32"/>
          <w:u w:val="single"/>
          <w14:textFill>
            <w14:solidFill>
              <w14:schemeClr w14:val="tx1"/>
            </w14:solidFill>
          </w14:textFill>
        </w:rPr>
        <w:t xml:space="preserve">                 </w:t>
      </w:r>
    </w:p>
    <w:p>
      <w:pPr>
        <w:spacing w:line="500" w:lineRule="exact"/>
        <w:ind w:left="-151"/>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w:t>
      </w:r>
    </w:p>
    <w:p>
      <w:pPr>
        <w:spacing w:line="50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olor w:val="000000" w:themeColor="text1"/>
          <w:sz w:val="32"/>
          <w:szCs w:val="32"/>
          <w:u w:val="single"/>
          <w14:textFill>
            <w14:solidFill>
              <w14:schemeClr w14:val="tx1"/>
            </w14:solidFill>
          </w14:textFill>
        </w:rPr>
        <w:t xml:space="preserve">                               </w:t>
      </w:r>
    </w:p>
    <w:p>
      <w:pPr>
        <w:pStyle w:val="8"/>
        <w:tabs>
          <w:tab w:val="left" w:pos="3996"/>
          <w:tab w:val="left" w:pos="8437"/>
        </w:tabs>
        <w:spacing w:line="50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r>
        <w:rPr>
          <w:rFonts w:hint="eastAsia" w:ascii="仿宋" w:hAnsi="仿宋" w:eastAsia="仿宋"/>
          <w:color w:val="000000" w:themeColor="text1"/>
          <w:sz w:val="32"/>
          <w:szCs w:val="32"/>
          <w:u w:val="single"/>
          <w14:textFill>
            <w14:solidFill>
              <w14:schemeClr w14:val="tx1"/>
            </w14:solidFill>
          </w14:textFill>
        </w:rPr>
        <w:t xml:space="preserve">                               </w:t>
      </w:r>
    </w:p>
    <w:p>
      <w:pPr>
        <w:pStyle w:val="8"/>
        <w:tabs>
          <w:tab w:val="left" w:pos="3996"/>
          <w:tab w:val="left" w:pos="8437"/>
        </w:tabs>
        <w:spacing w:line="500" w:lineRule="exact"/>
        <w:ind w:left="-151"/>
        <w:jc w:val="left"/>
        <w:rPr>
          <w:rFonts w:hint="eastAsia" w:asciiTheme="minorEastAsia" w:hAnsiTheme="minorEastAsia" w:eastAsiaTheme="minorEastAsia"/>
          <w:color w:val="000000" w:themeColor="text1"/>
          <w:sz w:val="32"/>
          <w:szCs w:val="32"/>
          <w:u w:val="single"/>
          <w14:textFill>
            <w14:solidFill>
              <w14:schemeClr w14:val="tx1"/>
            </w14:solidFill>
          </w14:textFill>
        </w:rPr>
      </w:pPr>
    </w:p>
    <w:tbl>
      <w:tblPr>
        <w:tblStyle w:val="19"/>
        <w:tblW w:w="8967" w:type="dxa"/>
        <w:tblInd w:w="119" w:type="dxa"/>
        <w:tblLayout w:type="fixed"/>
        <w:tblCellMar>
          <w:top w:w="0" w:type="dxa"/>
          <w:left w:w="0" w:type="dxa"/>
          <w:bottom w:w="0" w:type="dxa"/>
          <w:right w:w="0" w:type="dxa"/>
        </w:tblCellMar>
      </w:tblPr>
      <w:tblGrid>
        <w:gridCol w:w="1294"/>
        <w:gridCol w:w="1134"/>
        <w:gridCol w:w="1740"/>
        <w:gridCol w:w="1459"/>
        <w:gridCol w:w="1800"/>
        <w:gridCol w:w="1540"/>
      </w:tblGrid>
      <w:tr>
        <w:tblPrEx>
          <w:tblCellMar>
            <w:top w:w="0" w:type="dxa"/>
            <w:left w:w="0" w:type="dxa"/>
            <w:bottom w:w="0" w:type="dxa"/>
            <w:right w:w="0" w:type="dxa"/>
          </w:tblCellMar>
        </w:tblPrEx>
        <w:trPr>
          <w:trHeight w:val="69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left="-151" w:firstLine="281"/>
              <w:jc w:val="center"/>
              <w:rPr>
                <w:rFonts w:hint="eastAsia" w:ascii="仿宋" w:hAnsi="仿宋" w:eastAsia="仿宋" w:cs="宋体"/>
                <w:b/>
                <w:bCs/>
                <w:color w:val="000000" w:themeColor="text1"/>
                <w:sz w:val="28"/>
                <w:szCs w:val="28"/>
                <w14:textFill>
                  <w14:solidFill>
                    <w14:schemeClr w14:val="tx1"/>
                  </w14:solidFill>
                </w14:textFill>
              </w:rPr>
            </w:pPr>
            <w:r>
              <w:rPr>
                <w:rFonts w:ascii="仿宋" w:hAnsi="仿宋" w:eastAsia="仿宋" w:cs="宋体"/>
                <w:b/>
                <w:bCs/>
                <w:color w:val="000000" w:themeColor="text1"/>
                <w:sz w:val="28"/>
                <w:szCs w:val="28"/>
                <w14:textFill>
                  <w14:solidFill>
                    <w14:schemeClr w14:val="tx1"/>
                  </w14:solidFill>
                </w14:textFill>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left="-151" w:firstLine="281"/>
              <w:jc w:val="center"/>
              <w:rPr>
                <w:rFonts w:hint="eastAsia" w:ascii="仿宋" w:hAnsi="仿宋" w:eastAsia="仿宋" w:cs="宋体"/>
                <w:b/>
                <w:bCs/>
                <w:color w:val="000000" w:themeColor="text1"/>
                <w:sz w:val="28"/>
                <w:szCs w:val="28"/>
                <w14:textFill>
                  <w14:solidFill>
                    <w14:schemeClr w14:val="tx1"/>
                  </w14:solidFill>
                </w14:textFill>
              </w:rPr>
            </w:pPr>
            <w:r>
              <w:rPr>
                <w:rFonts w:ascii="仿宋" w:hAnsi="仿宋" w:eastAsia="仿宋" w:cs="宋体"/>
                <w:b/>
                <w:bCs/>
                <w:color w:val="000000" w:themeColor="text1"/>
                <w:sz w:val="28"/>
                <w:szCs w:val="28"/>
                <w14:textFill>
                  <w14:solidFill>
                    <w14:schemeClr w14:val="tx1"/>
                  </w14:solidFill>
                </w14:textFill>
              </w:rPr>
              <w:t>数量</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left="-151" w:right="102" w:firstLine="281"/>
              <w:jc w:val="center"/>
              <w:rPr>
                <w:rFonts w:hint="eastAsia" w:ascii="仿宋" w:hAnsi="仿宋" w:eastAsia="仿宋" w:cs="宋体"/>
                <w:b/>
                <w:bCs/>
                <w:color w:val="000000" w:themeColor="text1"/>
                <w:sz w:val="28"/>
                <w:szCs w:val="28"/>
                <w:lang w:eastAsia="zh-CN"/>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报价</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left="-151" w:firstLine="281"/>
              <w:jc w:val="center"/>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lang w:eastAsia="zh-CN"/>
                <w14:textFill>
                  <w14:solidFill>
                    <w14:schemeClr w14:val="tx1"/>
                  </w14:solidFill>
                </w14:textFill>
              </w:rPr>
              <w:t>服务</w:t>
            </w:r>
            <w:r>
              <w:rPr>
                <w:rFonts w:ascii="仿宋" w:hAnsi="仿宋" w:eastAsia="仿宋" w:cs="宋体"/>
                <w:b/>
                <w:bCs/>
                <w:color w:val="000000" w:themeColor="text1"/>
                <w:sz w:val="28"/>
                <w:szCs w:val="28"/>
                <w14:textFill>
                  <w14:solidFill>
                    <w14:schemeClr w14:val="tx1"/>
                  </w14:solidFill>
                </w14:textFill>
              </w:rPr>
              <w:t>期</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left="-151" w:right="107" w:firstLine="281"/>
              <w:jc w:val="center"/>
              <w:rPr>
                <w:rFonts w:hint="eastAsia" w:ascii="仿宋" w:hAnsi="仿宋" w:eastAsia="仿宋" w:cs="宋体"/>
                <w:b/>
                <w:bCs/>
                <w:color w:val="000000" w:themeColor="text1"/>
                <w:sz w:val="28"/>
                <w:szCs w:val="28"/>
                <w14:textFill>
                  <w14:solidFill>
                    <w14:schemeClr w14:val="tx1"/>
                  </w14:solidFill>
                </w14:textFill>
              </w:rPr>
            </w:pPr>
            <w:r>
              <w:rPr>
                <w:rFonts w:ascii="仿宋" w:hAnsi="仿宋" w:eastAsia="仿宋" w:cs="宋体"/>
                <w:b/>
                <w:bCs/>
                <w:color w:val="000000" w:themeColor="text1"/>
                <w:sz w:val="28"/>
                <w:szCs w:val="28"/>
                <w14:textFill>
                  <w14:solidFill>
                    <w14:schemeClr w14:val="tx1"/>
                  </w14:solidFill>
                </w14:textFill>
              </w:rPr>
              <w:t>投标保证金</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31"/>
              <w:spacing w:line="500" w:lineRule="exact"/>
              <w:ind w:left="-151" w:firstLine="281"/>
              <w:jc w:val="center"/>
              <w:rPr>
                <w:rFonts w:hint="eastAsia" w:ascii="仿宋" w:hAnsi="仿宋" w:eastAsia="仿宋" w:cs="宋体"/>
                <w:b/>
                <w:bCs/>
                <w:color w:val="000000" w:themeColor="text1"/>
                <w:sz w:val="28"/>
                <w:szCs w:val="28"/>
                <w14:textFill>
                  <w14:solidFill>
                    <w14:schemeClr w14:val="tx1"/>
                  </w14:solidFill>
                </w14:textFill>
              </w:rPr>
            </w:pPr>
            <w:r>
              <w:rPr>
                <w:rFonts w:ascii="仿宋" w:hAnsi="仿宋" w:eastAsia="仿宋" w:cs="宋体"/>
                <w:b/>
                <w:bCs/>
                <w:color w:val="000000" w:themeColor="text1"/>
                <w:sz w:val="28"/>
                <w:szCs w:val="28"/>
                <w14:textFill>
                  <w14:solidFill>
                    <w14:schemeClr w14:val="tx1"/>
                  </w14:solidFill>
                </w14:textFill>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51" w:firstLine="280"/>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51" w:firstLine="280"/>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51" w:firstLine="280"/>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51" w:firstLine="280"/>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51" w:firstLine="280"/>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51" w:firstLine="280"/>
              <w:jc w:val="center"/>
              <w:rPr>
                <w:rFonts w:hint="eastAsia" w:asciiTheme="minorEastAsia" w:hAnsiTheme="minorEastAsia" w:eastAsiaTheme="minorEastAsia"/>
                <w:color w:val="000000" w:themeColor="text1"/>
                <w:sz w:val="28"/>
                <w:szCs w:val="28"/>
                <w14:textFill>
                  <w14:solidFill>
                    <w14:schemeClr w14:val="tx1"/>
                  </w14:solidFill>
                </w14:textFill>
              </w:rPr>
            </w:pPr>
          </w:p>
        </w:tc>
      </w:tr>
    </w:tbl>
    <w:p>
      <w:pPr>
        <w:pStyle w:val="8"/>
        <w:spacing w:line="360" w:lineRule="auto"/>
        <w:ind w:left="-151"/>
        <w:rPr>
          <w:rFonts w:hint="eastAsia" w:ascii="仿宋" w:hAnsi="仿宋" w:eastAsia="仿宋"/>
          <w:color w:val="000000" w:themeColor="text1"/>
          <w:sz w:val="32"/>
          <w:szCs w:val="32"/>
          <w14:textFill>
            <w14:solidFill>
              <w14:schemeClr w14:val="tx1"/>
            </w14:solidFill>
          </w14:textFill>
        </w:rPr>
      </w:pPr>
    </w:p>
    <w:p>
      <w:pPr>
        <w:pStyle w:val="8"/>
        <w:spacing w:line="360" w:lineRule="auto"/>
        <w:ind w:left="-151"/>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注：详细报价清单应另纸详列。</w:t>
      </w:r>
    </w:p>
    <w:p>
      <w:pPr>
        <w:pStyle w:val="8"/>
        <w:tabs>
          <w:tab w:val="left" w:pos="4340"/>
        </w:tabs>
        <w:spacing w:before="120" w:line="360" w:lineRule="auto"/>
        <w:ind w:left="-151" w:right="946"/>
        <w:rPr>
          <w:rFonts w:hint="eastAsia" w:ascii="仿宋" w:hAnsi="仿宋" w:eastAsia="仿宋"/>
          <w:color w:val="000000" w:themeColor="text1"/>
          <w:sz w:val="32"/>
          <w:szCs w:val="32"/>
          <w14:textFill>
            <w14:solidFill>
              <w14:schemeClr w14:val="tx1"/>
            </w14:solidFill>
          </w14:textFill>
        </w:rPr>
      </w:pPr>
    </w:p>
    <w:p>
      <w:pPr>
        <w:spacing w:line="360" w:lineRule="auto"/>
        <w:ind w:left="-151"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60" w:lineRule="auto"/>
        <w:ind w:left="-151" w:firstLine="320" w:firstLineChars="10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360" w:lineRule="auto"/>
        <w:ind w:left="-151"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left="-151"/>
        <w:rPr>
          <w:rFonts w:hint="eastAsia" w:asciiTheme="minorEastAsia" w:hAnsiTheme="minorEastAsia" w:eastAsiaTheme="minorEastAsia"/>
          <w:color w:val="000000" w:themeColor="text1"/>
          <w:sz w:val="32"/>
          <w:szCs w:val="32"/>
          <w14:textFill>
            <w14:solidFill>
              <w14:schemeClr w14:val="tx1"/>
            </w14:solidFill>
          </w14:textFill>
        </w:rPr>
      </w:pPr>
    </w:p>
    <w:p>
      <w:pPr>
        <w:pStyle w:val="8"/>
        <w:ind w:left="-151"/>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spacing w:line="500" w:lineRule="exact"/>
        <w:ind w:left="-151" w:firstLine="321"/>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格式3</w:t>
      </w:r>
    </w:p>
    <w:p>
      <w:pPr>
        <w:spacing w:line="500" w:lineRule="exact"/>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价格明细表</w:t>
      </w:r>
    </w:p>
    <w:p>
      <w:pPr>
        <w:pStyle w:val="8"/>
        <w:ind w:left="-151"/>
        <w:rPr>
          <w:rFonts w:hint="eastAsia" w:ascii="仿宋" w:hAnsi="仿宋" w:eastAsia="仿宋"/>
          <w:color w:val="000000" w:themeColor="text1"/>
          <w14:textFill>
            <w14:solidFill>
              <w14:schemeClr w14:val="tx1"/>
            </w14:solidFill>
          </w14:textFill>
        </w:rPr>
      </w:pPr>
    </w:p>
    <w:p>
      <w:pPr>
        <w:spacing w:line="500" w:lineRule="exact"/>
        <w:ind w:left="-151" w:firstLine="321"/>
        <w:jc w:val="center"/>
        <w:rPr>
          <w:rFonts w:hint="eastAsia" w:ascii="仿宋" w:hAnsi="仿宋" w:eastAsia="仿宋"/>
          <w:b/>
          <w:bCs/>
          <w:color w:val="000000" w:themeColor="text1"/>
          <w:sz w:val="32"/>
          <w:szCs w:val="32"/>
          <w14:textFill>
            <w14:solidFill>
              <w14:schemeClr w14:val="tx1"/>
            </w14:solidFill>
          </w14:textFill>
        </w:rPr>
        <w:sectPr>
          <w:footerReference r:id="rId3" w:type="default"/>
          <w:pgSz w:w="11907" w:h="16840"/>
          <w:pgMar w:top="1418" w:right="1418" w:bottom="1418" w:left="1418" w:header="857" w:footer="999" w:gutter="0"/>
          <w:pgNumType w:fmt="numberInDash" w:start="1"/>
          <w:cols w:space="720" w:num="1"/>
          <w:docGrid w:linePitch="286" w:charSpace="0"/>
        </w:sectPr>
      </w:pPr>
      <w:r>
        <w:rPr>
          <w:rFonts w:hint="eastAsia" w:ascii="仿宋" w:hAnsi="仿宋" w:eastAsia="仿宋"/>
          <w:b/>
          <w:bCs/>
          <w:color w:val="000000" w:themeColor="text1"/>
          <w:sz w:val="32"/>
          <w:szCs w:val="32"/>
          <w14:textFill>
            <w14:solidFill>
              <w14:schemeClr w14:val="tx1"/>
            </w14:solidFill>
          </w14:textFill>
        </w:rPr>
        <w:t>（需投标人现场踏勘完毕结合现场提供服务价格明细）</w:t>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bookmarkStart w:id="437" w:name="_bookmark30"/>
      <w:bookmarkEnd w:id="437"/>
      <w:r>
        <w:rPr>
          <w:rFonts w:hint="eastAsia" w:ascii="仿宋" w:hAnsi="仿宋" w:eastAsia="仿宋"/>
          <w:b/>
          <w:bCs/>
          <w:color w:val="000000" w:themeColor="text1"/>
          <w:sz w:val="32"/>
          <w:szCs w:val="32"/>
          <w14:textFill>
            <w14:solidFill>
              <w14:schemeClr w14:val="tx1"/>
            </w14:solidFill>
          </w14:textFill>
        </w:rPr>
        <w:t>格式4</w:t>
      </w:r>
    </w:p>
    <w:p>
      <w:pPr>
        <w:spacing w:before="156" w:after="156" w:line="500" w:lineRule="exact"/>
        <w:ind w:left="-15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14:textFill>
            <w14:solidFill>
              <w14:schemeClr w14:val="tx1"/>
            </w14:solidFill>
          </w14:textFill>
        </w:rPr>
        <w:t>保安服务方案</w:t>
      </w:r>
    </w:p>
    <w:p>
      <w:pPr>
        <w:pStyle w:val="8"/>
        <w:spacing w:before="156" w:after="156"/>
        <w:ind w:left="-151"/>
        <w:rPr>
          <w:rFonts w:hint="eastAsia" w:ascii="仿宋" w:hAnsi="仿宋" w:eastAsia="仿宋"/>
          <w:color w:val="000000" w:themeColor="text1"/>
          <w:sz w:val="32"/>
          <w:szCs w:val="32"/>
          <w14:textFill>
            <w14:solidFill>
              <w14:schemeClr w14:val="tx1"/>
            </w14:solidFill>
          </w14:textFill>
        </w:rPr>
      </w:pPr>
    </w:p>
    <w:p>
      <w:pPr>
        <w:spacing w:before="156" w:after="156" w:line="500" w:lineRule="exact"/>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（需投标人现场踏勘完毕结合现场提供整套服务方案）</w:t>
      </w:r>
    </w:p>
    <w:p>
      <w:pPr>
        <w:pStyle w:val="8"/>
        <w:spacing w:before="156" w:after="156"/>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br w:type="page"/>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格式5</w:t>
      </w:r>
    </w:p>
    <w:p>
      <w:pPr>
        <w:spacing w:before="156" w:after="156" w:line="500" w:lineRule="exact"/>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投标人业绩证明</w:t>
      </w:r>
    </w:p>
    <w:p>
      <w:pPr>
        <w:pStyle w:val="10"/>
        <w:spacing w:before="156" w:beforeLines="50" w:after="156" w:line="360" w:lineRule="auto"/>
        <w:ind w:left="-151" w:firstLine="640" w:firstLineChars="200"/>
        <w:jc w:val="left"/>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投标人承诺以上项目为投标人实际服务的工程项目。如投标人成为本次项目的中标人，接受招标人对上述项目的现场核实。</w:t>
      </w:r>
    </w:p>
    <w:tbl>
      <w:tblPr>
        <w:tblStyle w:val="20"/>
        <w:tblpPr w:leftFromText="180" w:rightFromText="180" w:vertAnchor="text" w:horzAnchor="page" w:tblpX="1339" w:tblpY="834"/>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870"/>
        <w:gridCol w:w="1870"/>
        <w:gridCol w:w="18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69" w:type="dxa"/>
          </w:tcPr>
          <w:p>
            <w:pPr>
              <w:pStyle w:val="10"/>
              <w:spacing w:before="156" w:after="156" w:line="360" w:lineRule="auto"/>
              <w:ind w:left="-151" w:firstLine="280"/>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序号</w:t>
            </w:r>
          </w:p>
        </w:tc>
        <w:tc>
          <w:tcPr>
            <w:tcW w:w="1870" w:type="dxa"/>
          </w:tcPr>
          <w:p>
            <w:pPr>
              <w:pStyle w:val="10"/>
              <w:spacing w:before="156" w:after="156" w:line="360" w:lineRule="auto"/>
              <w:ind w:left="-151" w:firstLine="280"/>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项目名称</w:t>
            </w:r>
          </w:p>
        </w:tc>
        <w:tc>
          <w:tcPr>
            <w:tcW w:w="1870" w:type="dxa"/>
          </w:tcPr>
          <w:p>
            <w:pPr>
              <w:pStyle w:val="10"/>
              <w:spacing w:before="156" w:after="156" w:line="360" w:lineRule="auto"/>
              <w:ind w:left="-151" w:firstLine="280"/>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项目地址</w:t>
            </w:r>
          </w:p>
        </w:tc>
        <w:tc>
          <w:tcPr>
            <w:tcW w:w="1870" w:type="dxa"/>
          </w:tcPr>
          <w:p>
            <w:pPr>
              <w:pStyle w:val="10"/>
              <w:spacing w:before="156" w:after="156" w:line="360" w:lineRule="auto"/>
              <w:ind w:left="-151" w:firstLine="280"/>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服务日期</w:t>
            </w:r>
          </w:p>
        </w:tc>
        <w:tc>
          <w:tcPr>
            <w:tcW w:w="1870" w:type="dxa"/>
          </w:tcPr>
          <w:p>
            <w:pPr>
              <w:pStyle w:val="10"/>
              <w:spacing w:before="156" w:after="156" w:line="360" w:lineRule="auto"/>
              <w:ind w:left="-151" w:firstLine="280"/>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69" w:type="dxa"/>
          </w:tcPr>
          <w:p>
            <w:pPr>
              <w:pStyle w:val="10"/>
              <w:spacing w:before="156" w:after="156" w:line="360" w:lineRule="auto"/>
              <w:ind w:left="-151" w:firstLine="280"/>
              <w:rPr>
                <w:rFonts w:hint="eastAsia" w:ascii="仿宋" w:hAnsi="仿宋" w:eastAsia="仿宋"/>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仿宋" w:hAnsi="仿宋" w:eastAsia="仿宋"/>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仿宋" w:hAnsi="仿宋" w:eastAsia="仿宋"/>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仿宋" w:hAnsi="仿宋" w:eastAsia="仿宋"/>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仿宋" w:hAnsi="仿宋" w:eastAsia="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69"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69"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69"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69"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69"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69"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c>
          <w:tcPr>
            <w:tcW w:w="1870" w:type="dxa"/>
          </w:tcPr>
          <w:p>
            <w:pPr>
              <w:pStyle w:val="10"/>
              <w:spacing w:before="156" w:after="156" w:line="360" w:lineRule="auto"/>
              <w:ind w:left="-151" w:firstLine="280"/>
              <w:rPr>
                <w:rFonts w:hint="eastAsia" w:asciiTheme="minorEastAsia" w:hAnsiTheme="minorEastAsia" w:eastAsiaTheme="minorEastAsia"/>
                <w:bCs/>
                <w:color w:val="000000" w:themeColor="text1"/>
                <w:sz w:val="28"/>
                <w:szCs w:val="28"/>
                <w14:textFill>
                  <w14:solidFill>
                    <w14:schemeClr w14:val="tx1"/>
                  </w14:solidFill>
                </w14:textFill>
              </w:rPr>
            </w:pPr>
          </w:p>
        </w:tc>
      </w:tr>
    </w:tbl>
    <w:p>
      <w:pPr>
        <w:spacing w:before="156" w:after="156" w:line="360" w:lineRule="auto"/>
        <w:ind w:left="0" w:firstLine="320" w:firstLineChars="1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before="156" w:after="156" w:line="360" w:lineRule="auto"/>
        <w:ind w:left="0" w:firstLine="320" w:firstLineChars="1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before="156" w:after="156" w:line="360" w:lineRule="auto"/>
        <w:ind w:left="0" w:firstLine="320" w:firstLineChars="1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before="156" w:after="156"/>
        <w:ind w:left="-151" w:firstLine="280"/>
        <w:jc w:val="left"/>
        <w:rPr>
          <w:rFonts w:hint="eastAsia" w:ascii="仿宋" w:hAnsi="仿宋" w:eastAsia="仿宋"/>
          <w:b/>
          <w:bCs/>
          <w:color w:val="000000" w:themeColor="text1"/>
          <w:sz w:val="32"/>
          <w:szCs w:val="32"/>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格式6</w:t>
      </w:r>
    </w:p>
    <w:p>
      <w:pPr>
        <w:spacing w:before="156" w:after="156"/>
        <w:ind w:left="-151" w:firstLine="321"/>
        <w:jc w:val="cente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作业安全承诺书</w:t>
      </w:r>
    </w:p>
    <w:p>
      <w:pPr>
        <w:spacing w:before="156" w:after="156"/>
        <w:ind w:left="-151" w:firstLine="320"/>
        <w:jc w:val="center"/>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51" w:firstLine="32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致：厦门国贸城市服务集团股份有限公司</w:t>
      </w:r>
    </w:p>
    <w:p>
      <w:pPr>
        <w:spacing w:before="156" w:after="156" w:line="360" w:lineRule="auto"/>
        <w:ind w:left="-151" w:firstLine="320"/>
        <w:jc w:val="left"/>
        <w:rPr>
          <w:rFonts w:hint="eastAsia" w:ascii="仿宋" w:hAnsi="仿宋" w:eastAsia="仿宋"/>
          <w:color w:val="000000" w:themeColor="text1"/>
          <w:sz w:val="32"/>
          <w:szCs w:val="32"/>
          <w14:textFill>
            <w14:solidFill>
              <w14:schemeClr w14:val="tx1"/>
            </w14:solidFill>
          </w14:textFill>
        </w:rPr>
      </w:pP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w:t>
      </w:r>
      <w:r>
        <w:rPr>
          <w:rFonts w:ascii="Segoe UI Symbol" w:hAnsi="Segoe UI Symbol" w:eastAsia="仿宋" w:cs="Segoe UI Symbol"/>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秩序维护服务□其他</w:t>
      </w:r>
      <w:r>
        <w:rPr>
          <w:rFonts w:hint="eastAsia" w:ascii="仿宋" w:hAnsi="仿宋" w:eastAsia="仿宋"/>
          <w:color w:val="000000" w:themeColor="text1"/>
          <w:sz w:val="32"/>
          <w:szCs w:val="32"/>
          <w14:textFill>
            <w14:solidFill>
              <w14:schemeClr w14:val="tx1"/>
            </w14:solidFill>
          </w14:textFill>
        </w:rPr>
        <w:t>____________），我司承诺如下：</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一、加强对现场工作人员的安全教育，增强现场工作人员的安全意识和安全技术水平。</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二、作业携带的设备及用具，符合国家和企业安全规程要求，特种作业人员须持有效证件操作。</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五、我司对作业人员投保相关的安全责任险。</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七、在高温、大风等不良气候条件下作业时，我司自备防高温、防风、防雨、防雷击等安全措施，确保安全作业。</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八、我司作业人员不得擅自进入业主的非作业区域，若因作业需要临时进入业主非作业区域，应向贵司专业负责人办理登记手续、取得业主同意后才可入内，进入人员须严格遵守业主各项规章制度。</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十、作业材料堆放整齐，垃圾及时处理，不影响贵司正常秩序及通信畅通。</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十一、贵司有权对我司作业现场安全进行指导及监督，对作业现场检查时提出的违章现象和安全隐患，我司立即整改。如出现危及人身和设备安全的紧急情况，贵司有权对我司进行处罚或责令我司停止作业。</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51" w:firstLine="320"/>
        <w:jc w:val="left"/>
        <w:rPr>
          <w:rFonts w:hint="eastAsia" w:ascii="仿宋" w:hAnsi="仿宋" w:eastAsia="仿宋" w:cs="Lucida Sans Unicode"/>
          <w:color w:val="000000" w:themeColor="text1"/>
          <w:sz w:val="32"/>
          <w:szCs w:val="32"/>
          <w14:textFill>
            <w14:solidFill>
              <w14:schemeClr w14:val="tx1"/>
            </w14:solidFill>
          </w14:textFill>
        </w:rPr>
      </w:pPr>
    </w:p>
    <w:p>
      <w:pPr>
        <w:pStyle w:val="10"/>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before="156" w:after="156" w:line="360" w:lineRule="auto"/>
        <w:ind w:left="-151" w:firstLine="640" w:firstLineChars="200"/>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p>
    <w:p>
      <w:pPr>
        <w:spacing w:before="156" w:after="156" w:line="500" w:lineRule="exact"/>
        <w:ind w:firstLine="321"/>
        <w:rPr>
          <w:rFonts w:hint="eastAsia" w:asciiTheme="minorEastAsia" w:hAnsiTheme="minorEastAsia" w:eastAsiaTheme="minorEastAsia"/>
          <w:b/>
          <w:bCs/>
          <w:color w:val="000000" w:themeColor="text1"/>
          <w:sz w:val="32"/>
          <w:szCs w:val="32"/>
          <w14:textFill>
            <w14:solidFill>
              <w14:schemeClr w14:val="tx1"/>
            </w14:solidFill>
          </w14:textFill>
        </w:rPr>
      </w:pP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格式7 </w:t>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p>
    <w:p>
      <w:pPr>
        <w:spacing w:before="156" w:after="156" w:line="360" w:lineRule="auto"/>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售后服务承诺函</w:t>
      </w:r>
      <w:r>
        <w:rPr>
          <w:rFonts w:hint="eastAsia" w:ascii="仿宋" w:hAnsi="仿宋" w:eastAsia="仿宋"/>
          <w:b/>
          <w:bCs/>
          <w:color w:val="000000" w:themeColor="text1"/>
          <w:sz w:val="32"/>
          <w:szCs w:val="32"/>
          <w14:textFill>
            <w14:solidFill>
              <w14:schemeClr w14:val="tx1"/>
            </w14:solidFill>
          </w14:textFill>
        </w:rPr>
        <w:cr/>
      </w:r>
    </w:p>
    <w:p>
      <w:pPr>
        <w:pStyle w:val="8"/>
        <w:tabs>
          <w:tab w:val="left" w:pos="4580"/>
        </w:tabs>
        <w:spacing w:before="156" w:after="156" w:line="360" w:lineRule="auto"/>
        <w:ind w:left="-151" w:firstLine="960" w:firstLineChars="3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根据贵方为</w:t>
      </w:r>
      <w:r>
        <w:rPr>
          <w:rFonts w:ascii="仿宋" w:hAnsi="仿宋" w:eastAsia="仿宋"/>
          <w:color w:val="000000" w:themeColor="text1"/>
          <w:sz w:val="32"/>
          <w:szCs w:val="32"/>
          <w:u w:val="single"/>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招标项目的投标</w:t>
      </w:r>
      <w:r>
        <w:rPr>
          <w:rFonts w:hint="eastAsia" w:ascii="仿宋" w:hAnsi="仿宋" w:eastAsia="仿宋"/>
          <w:color w:val="000000" w:themeColor="text1"/>
          <w:sz w:val="32"/>
          <w:szCs w:val="32"/>
          <w14:textFill>
            <w14:solidFill>
              <w14:schemeClr w14:val="tx1"/>
            </w14:solidFill>
          </w14:textFill>
        </w:rPr>
        <w:t>要求</w:t>
      </w:r>
      <w:r>
        <w:rPr>
          <w:rFonts w:ascii="仿宋" w:hAnsi="仿宋" w:eastAsia="仿宋"/>
          <w:color w:val="000000" w:themeColor="text1"/>
          <w:sz w:val="32"/>
          <w:szCs w:val="32"/>
          <w14:textFill>
            <w14:solidFill>
              <w14:schemeClr w14:val="tx1"/>
            </w14:solidFill>
          </w14:textFill>
        </w:rPr>
        <w:t>，我公司对该项目做出如下售后服务方案：</w:t>
      </w:r>
    </w:p>
    <w:p>
      <w:pPr>
        <w:spacing w:before="156" w:after="156" w:line="500" w:lineRule="exact"/>
        <w:ind w:left="-151"/>
        <w:rPr>
          <w:rFonts w:hint="eastAsia" w:ascii="仿宋" w:hAnsi="仿宋" w:eastAsia="仿宋"/>
          <w:color w:val="000000" w:themeColor="text1"/>
          <w:sz w:val="32"/>
          <w:szCs w:val="32"/>
          <w14:textFill>
            <w14:solidFill>
              <w14:schemeClr w14:val="tx1"/>
            </w14:solidFill>
          </w14:textFill>
        </w:rPr>
      </w:pPr>
    </w:p>
    <w:p>
      <w:pPr>
        <w:spacing w:before="156" w:after="156" w:line="500" w:lineRule="exact"/>
        <w:ind w:left="-151"/>
        <w:rPr>
          <w:rFonts w:hint="eastAsia" w:ascii="仿宋" w:hAnsi="仿宋" w:eastAsia="仿宋"/>
          <w:color w:val="000000" w:themeColor="text1"/>
          <w:sz w:val="32"/>
          <w:szCs w:val="32"/>
          <w14:textFill>
            <w14:solidFill>
              <w14:schemeClr w14:val="tx1"/>
            </w14:solidFill>
          </w14:textFill>
        </w:rPr>
      </w:pPr>
    </w:p>
    <w:p>
      <w:pPr>
        <w:pStyle w:val="8"/>
        <w:spacing w:before="156" w:after="156" w:line="500" w:lineRule="exact"/>
        <w:ind w:left="-151" w:right="146"/>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（内容根据招标文件要求自拟）</w:t>
      </w:r>
    </w:p>
    <w:p>
      <w:pPr>
        <w:spacing w:before="156" w:after="156" w:line="500" w:lineRule="exact"/>
        <w:ind w:left="-151" w:firstLine="640" w:firstLineChars="200"/>
        <w:rPr>
          <w:rFonts w:hint="eastAsia" w:ascii="仿宋" w:hAnsi="仿宋" w:eastAsia="仿宋"/>
          <w:color w:val="000000" w:themeColor="text1"/>
          <w:sz w:val="32"/>
          <w:szCs w:val="32"/>
          <w14:textFill>
            <w14:solidFill>
              <w14:schemeClr w14:val="tx1"/>
            </w14:solidFill>
          </w14:textFill>
        </w:rPr>
      </w:pPr>
    </w:p>
    <w:p>
      <w:pPr>
        <w:tabs>
          <w:tab w:val="left" w:pos="6814"/>
        </w:tabs>
        <w:spacing w:before="156" w:after="156" w:line="500" w:lineRule="exact"/>
        <w:ind w:left="-151"/>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ab/>
      </w:r>
    </w:p>
    <w:p>
      <w:pPr>
        <w:spacing w:before="156" w:after="156" w:line="500" w:lineRule="exact"/>
        <w:ind w:left="-151"/>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51" w:firstLine="5120" w:firstLineChars="16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before="156" w:after="156" w:line="360" w:lineRule="auto"/>
        <w:ind w:left="-151" w:firstLine="5120" w:firstLineChars="1600"/>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51" w:firstLine="5600" w:firstLineChars="175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before="156" w:after="156" w:line="360" w:lineRule="auto"/>
        <w:ind w:left="-151" w:firstLine="5600" w:firstLineChars="175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before="156" w:after="156" w:line="500" w:lineRule="exact"/>
        <w:ind w:left="-151"/>
        <w:rPr>
          <w:rFonts w:hint="eastAsia" w:ascii="仿宋" w:hAnsi="仿宋" w:eastAsia="仿宋"/>
          <w:color w:val="000000" w:themeColor="text1"/>
          <w:sz w:val="32"/>
          <w:szCs w:val="32"/>
          <w14:textFill>
            <w14:solidFill>
              <w14:schemeClr w14:val="tx1"/>
            </w14:solidFill>
          </w14:textFill>
        </w:rPr>
      </w:pP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p>
    <w:p>
      <w:pPr>
        <w:spacing w:before="156" w:after="156" w:line="500" w:lineRule="exact"/>
        <w:ind w:firstLine="321"/>
        <w:rPr>
          <w:rFonts w:hint="eastAsia" w:asciiTheme="minorEastAsia" w:hAnsiTheme="minorEastAsia" w:eastAsiaTheme="minorEastAsia"/>
          <w:b/>
          <w:bCs/>
          <w:color w:val="000000" w:themeColor="text1"/>
          <w:sz w:val="32"/>
          <w:szCs w:val="32"/>
          <w14:textFill>
            <w14:solidFill>
              <w14:schemeClr w14:val="tx1"/>
            </w14:solidFill>
          </w14:textFill>
        </w:rPr>
      </w:pP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格式8   </w:t>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p>
    <w:p>
      <w:pPr>
        <w:spacing w:before="156" w:after="156"/>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法定代表人授权书</w:t>
      </w:r>
      <w:r>
        <w:rPr>
          <w:rFonts w:hint="eastAsia" w:ascii="仿宋" w:hAnsi="仿宋" w:eastAsia="仿宋"/>
          <w:b/>
          <w:bCs/>
          <w:color w:val="000000" w:themeColor="text1"/>
          <w:sz w:val="32"/>
          <w:szCs w:val="32"/>
          <w14:textFill>
            <w14:solidFill>
              <w14:schemeClr w14:val="tx1"/>
            </w14:solidFill>
          </w14:textFill>
        </w:rPr>
        <w:cr/>
      </w:r>
    </w:p>
    <w:p>
      <w:pPr>
        <w:spacing w:before="156" w:after="156"/>
        <w:ind w:left="-151"/>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厦门国贸服务城市集团股份有限公司</w:t>
      </w:r>
      <w:r>
        <w:rPr>
          <w:rFonts w:hint="eastAsia" w:ascii="仿宋" w:hAnsi="仿宋" w:eastAsia="仿宋"/>
          <w:color w:val="000000" w:themeColor="text1"/>
          <w:sz w:val="32"/>
          <w:szCs w:val="32"/>
          <w14:textFill>
            <w14:solidFill>
              <w14:schemeClr w14:val="tx1"/>
            </w14:solidFill>
          </w14:textFill>
        </w:rPr>
        <w:t>：</w:t>
      </w:r>
    </w:p>
    <w:p>
      <w:pPr>
        <w:pStyle w:val="10"/>
        <w:snapToGrid w:val="0"/>
        <w:spacing w:before="156" w:after="156"/>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（投标人全称）</w:t>
      </w:r>
      <w:r>
        <w:rPr>
          <w:rFonts w:hint="eastAsia" w:ascii="仿宋" w:hAnsi="仿宋" w:eastAsia="仿宋"/>
          <w:color w:val="000000" w:themeColor="text1"/>
          <w:sz w:val="32"/>
          <w:szCs w:val="32"/>
          <w14:textFill>
            <w14:solidFill>
              <w14:schemeClr w14:val="tx1"/>
            </w14:solidFill>
          </w14:textFill>
        </w:rPr>
        <w:t>法定代表人</w:t>
      </w:r>
      <w:r>
        <w:rPr>
          <w:rFonts w:hint="eastAsia" w:ascii="仿宋" w:hAnsi="仿宋" w:eastAsia="仿宋"/>
          <w:color w:val="000000" w:themeColor="text1"/>
          <w:sz w:val="32"/>
          <w:szCs w:val="32"/>
          <w:u w:val="single"/>
          <w14:textFill>
            <w14:solidFill>
              <w14:schemeClr w14:val="tx1"/>
            </w14:solidFill>
          </w14:textFill>
        </w:rPr>
        <w:t xml:space="preserve">  （法人姓名）  </w:t>
      </w:r>
      <w:r>
        <w:rPr>
          <w:rFonts w:hint="eastAsia" w:ascii="仿宋" w:hAnsi="仿宋" w:eastAsia="仿宋"/>
          <w:color w:val="000000" w:themeColor="text1"/>
          <w:sz w:val="32"/>
          <w:szCs w:val="32"/>
          <w14:textFill>
            <w14:solidFill>
              <w14:schemeClr w14:val="tx1"/>
            </w14:solidFill>
          </w14:textFill>
        </w:rPr>
        <w:t>授权</w:t>
      </w:r>
      <w:r>
        <w:rPr>
          <w:rFonts w:hint="eastAsia" w:ascii="仿宋" w:hAnsi="仿宋" w:eastAsia="仿宋"/>
          <w:color w:val="000000" w:themeColor="text1"/>
          <w:sz w:val="32"/>
          <w:szCs w:val="32"/>
          <w:u w:val="single"/>
          <w14:textFill>
            <w14:solidFill>
              <w14:schemeClr w14:val="tx1"/>
            </w14:solidFill>
          </w14:textFill>
        </w:rPr>
        <w:t xml:space="preserve">  （投标人代表姓名） </w:t>
      </w:r>
      <w:r>
        <w:rPr>
          <w:rFonts w:hint="eastAsia" w:ascii="仿宋" w:hAnsi="仿宋" w:eastAsia="仿宋"/>
          <w:color w:val="000000" w:themeColor="text1"/>
          <w:sz w:val="32"/>
          <w:szCs w:val="32"/>
          <w14:textFill>
            <w14:solidFill>
              <w14:schemeClr w14:val="tx1"/>
            </w14:solidFill>
          </w14:textFill>
        </w:rPr>
        <w:t>为投标人代表，代表本公司参加贵公司组织的项目（</w:t>
      </w:r>
      <w:r>
        <w:rPr>
          <w:rFonts w:hint="eastAsia" w:ascii="仿宋" w:hAnsi="仿宋" w:eastAsia="仿宋"/>
          <w:color w:val="000000" w:themeColor="text1"/>
          <w:sz w:val="32"/>
          <w:szCs w:val="32"/>
          <w:u w:val="single"/>
          <w14:textFill>
            <w14:solidFill>
              <w14:schemeClr w14:val="tx1"/>
            </w14:solidFill>
          </w14:textFill>
        </w:rPr>
        <w:t xml:space="preserve">招标编号：       </w:t>
      </w:r>
      <w:r>
        <w:rPr>
          <w:rFonts w:hint="eastAsia" w:ascii="仿宋" w:hAnsi="仿宋" w:eastAsia="仿宋"/>
          <w:color w:val="000000" w:themeColor="text1"/>
          <w:sz w:val="32"/>
          <w:szCs w:val="32"/>
          <w14:textFill>
            <w14:solidFill>
              <w14:schemeClr w14:val="tx1"/>
            </w14:solidFill>
          </w14:textFill>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before="156" w:after="156"/>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本授权书自出具之日起生效。</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性别：</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身份证号：</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部门：</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职务：</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详细通讯地址：</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邮政编码：</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电话：</w:t>
      </w:r>
      <w:r>
        <w:rPr>
          <w:rFonts w:hint="eastAsia" w:ascii="仿宋" w:hAnsi="仿宋" w:eastAsia="仿宋"/>
          <w:color w:val="000000" w:themeColor="text1"/>
          <w:sz w:val="32"/>
          <w:szCs w:val="32"/>
          <w:u w:val="single"/>
          <w14:textFill>
            <w14:solidFill>
              <w14:schemeClr w14:val="tx1"/>
            </w14:solidFill>
          </w14:textFill>
        </w:rPr>
        <w:t xml:space="preserve">                               </w:t>
      </w:r>
    </w:p>
    <w:p>
      <w:pPr>
        <w:spacing w:before="156" w:after="156" w:line="360" w:lineRule="exact"/>
        <w:ind w:left="-151"/>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附：被授权人身份证件</w:t>
      </w:r>
    </w:p>
    <w:p>
      <w:pPr>
        <w:spacing w:before="156" w:after="156" w:line="360" w:lineRule="exact"/>
        <w:ind w:left="-151"/>
        <w:jc w:val="left"/>
        <w:rPr>
          <w:rFonts w:hint="eastAsia" w:ascii="仿宋" w:hAnsi="仿宋" w:eastAsia="仿宋"/>
          <w:color w:val="000000" w:themeColor="text1"/>
          <w:sz w:val="32"/>
          <w:szCs w:val="32"/>
          <w14:textFill>
            <w14:solidFill>
              <w14:schemeClr w14:val="tx1"/>
            </w14:solidFill>
          </w14:textFill>
        </w:rPr>
      </w:pPr>
    </w:p>
    <w:p>
      <w:pPr>
        <w:spacing w:before="156" w:after="156" w:line="360" w:lineRule="exact"/>
        <w:ind w:left="-151"/>
        <w:jc w:val="left"/>
        <w:rPr>
          <w:rFonts w:hint="eastAsia" w:ascii="仿宋" w:hAnsi="仿宋" w:eastAsia="仿宋"/>
          <w:color w:val="000000" w:themeColor="text1"/>
          <w:sz w:val="32"/>
          <w:szCs w:val="32"/>
          <w14:textFill>
            <w14:solidFill>
              <w14:schemeClr w14:val="tx1"/>
            </w14:solidFill>
          </w14:textFill>
        </w:rPr>
      </w:pPr>
    </w:p>
    <w:p>
      <w:pPr>
        <w:spacing w:before="156" w:after="156" w:line="360" w:lineRule="exact"/>
        <w:ind w:left="-151"/>
        <w:jc w:val="left"/>
        <w:rPr>
          <w:rFonts w:hint="eastAsia" w:ascii="仿宋" w:hAnsi="仿宋" w:eastAsia="仿宋"/>
          <w:color w:val="000000" w:themeColor="text1"/>
          <w:sz w:val="32"/>
          <w:szCs w:val="32"/>
          <w14:textFill>
            <w14:solidFill>
              <w14:schemeClr w14:val="tx1"/>
            </w14:solidFill>
          </w14:textFill>
        </w:rPr>
      </w:pPr>
    </w:p>
    <w:p>
      <w:pPr>
        <w:spacing w:before="156" w:after="156" w:line="360" w:lineRule="exact"/>
        <w:ind w:left="-151" w:firstLine="5120" w:firstLineChars="16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授权方</w:t>
      </w:r>
    </w:p>
    <w:p>
      <w:pPr>
        <w:spacing w:before="156" w:after="156" w:line="360" w:lineRule="exact"/>
        <w:ind w:left="-151"/>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投标人：</w:t>
      </w:r>
      <w:r>
        <w:rPr>
          <w:rFonts w:hint="eastAsia" w:ascii="仿宋" w:hAnsi="仿宋" w:eastAsia="仿宋"/>
          <w:color w:val="000000" w:themeColor="text1"/>
          <w:sz w:val="32"/>
          <w:szCs w:val="32"/>
          <w:u w:val="single"/>
          <w14:textFill>
            <w14:solidFill>
              <w14:schemeClr w14:val="tx1"/>
            </w14:solidFill>
          </w14:textFill>
        </w:rPr>
        <w:t>（全称并加盖公章）</w:t>
      </w:r>
      <w:r>
        <w:rPr>
          <w:rFonts w:hint="eastAsia" w:ascii="仿宋" w:hAnsi="仿宋" w:eastAsia="仿宋"/>
          <w:color w:val="000000" w:themeColor="text1"/>
          <w:sz w:val="32"/>
          <w:szCs w:val="32"/>
          <w14:textFill>
            <w14:solidFill>
              <w14:schemeClr w14:val="tx1"/>
            </w14:solidFill>
          </w14:textFill>
        </w:rPr>
        <w:t>：</w:t>
      </w:r>
    </w:p>
    <w:p>
      <w:pPr>
        <w:spacing w:before="156" w:after="156" w:line="360" w:lineRule="exact"/>
        <w:ind w:left="-151" w:firstLine="5120" w:firstLineChars="16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p>
    <w:p>
      <w:pPr>
        <w:spacing w:before="156" w:after="156" w:line="360" w:lineRule="exact"/>
        <w:ind w:left="-151" w:firstLine="5120" w:firstLineChars="16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before="156" w:after="156" w:line="360" w:lineRule="exact"/>
        <w:ind w:left="-151" w:firstLine="5120" w:firstLineChars="16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接受授权方</w:t>
      </w:r>
    </w:p>
    <w:p>
      <w:pPr>
        <w:spacing w:before="156" w:after="156" w:line="360" w:lineRule="exact"/>
        <w:ind w:left="-151" w:firstLine="5120" w:firstLineChars="16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before="156" w:after="156" w:line="360" w:lineRule="exact"/>
        <w:ind w:left="-151" w:firstLine="5120" w:firstLineChars="1600"/>
        <w:jc w:val="left"/>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widowControl/>
        <w:ind w:firstLine="321"/>
        <w:jc w:val="left"/>
        <w:rPr>
          <w:rFonts w:hint="eastAsia"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br w:type="page"/>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格式9  </w:t>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p>
    <w:p>
      <w:pPr>
        <w:spacing w:before="156" w:after="156" w:line="500" w:lineRule="exact"/>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法人营业执照</w:t>
      </w:r>
    </w:p>
    <w:p>
      <w:pPr>
        <w:spacing w:before="156" w:after="156" w:line="500" w:lineRule="exact"/>
        <w:ind w:left="-151"/>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5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厦门国贸服务城市集团股份有限公司</w:t>
      </w:r>
      <w:r>
        <w:rPr>
          <w:rFonts w:hint="eastAsia" w:ascii="仿宋" w:hAnsi="仿宋" w:eastAsia="仿宋"/>
          <w:color w:val="000000" w:themeColor="text1"/>
          <w:sz w:val="32"/>
          <w:szCs w:val="32"/>
          <w14:textFill>
            <w14:solidFill>
              <w14:schemeClr w14:val="tx1"/>
            </w14:solidFill>
          </w14:textFill>
        </w:rPr>
        <w:t>：</w:t>
      </w:r>
    </w:p>
    <w:p>
      <w:pPr>
        <w:spacing w:before="156" w:after="156" w:line="360" w:lineRule="auto"/>
        <w:ind w:left="-151"/>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现附上由</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（签发机关名称）</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签发的我方法人营业执照副本复印件，该执照真实有效。</w:t>
      </w:r>
    </w:p>
    <w:p>
      <w:pPr>
        <w:spacing w:before="156" w:after="156" w:line="360" w:lineRule="auto"/>
        <w:ind w:left="-151"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（注：法人营业执照提供复印件，由企业加盖公章并注明复印件与原件一致。）</w:t>
      </w:r>
    </w:p>
    <w:p>
      <w:pPr>
        <w:spacing w:before="156" w:after="156" w:line="360" w:lineRule="auto"/>
        <w:ind w:left="-151"/>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51"/>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 标 人（全称并加盖公章）：</w:t>
      </w:r>
    </w:p>
    <w:p>
      <w:pPr>
        <w:spacing w:before="156" w:after="156" w:line="360" w:lineRule="auto"/>
        <w:ind w:left="-151" w:firstLine="4800" w:firstLineChars="15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before="156" w:after="156" w:line="360" w:lineRule="auto"/>
        <w:ind w:left="-151" w:firstLine="4800" w:firstLineChars="150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before="156" w:after="156" w:line="500" w:lineRule="exact"/>
        <w:ind w:left="-151"/>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pacing w:before="156" w:after="156" w:line="220" w:lineRule="atLeast"/>
        <w:ind w:left="-151" w:firstLine="321"/>
        <w:jc w:val="left"/>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格式10</w:t>
      </w:r>
    </w:p>
    <w:p>
      <w:pPr>
        <w:spacing w:before="156" w:after="156" w:line="220" w:lineRule="atLeast"/>
        <w:ind w:left="-151" w:firstLine="321"/>
        <w:jc w:val="cente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廉洁诚信承诺书</w:t>
      </w:r>
    </w:p>
    <w:p>
      <w:pPr>
        <w:spacing w:before="156" w:after="156" w:line="300" w:lineRule="exact"/>
        <w:ind w:left="-151" w:firstLine="321"/>
        <w:jc w:val="center"/>
        <w:rPr>
          <w:rFonts w:hint="eastAsia" w:ascii="仿宋" w:hAnsi="仿宋" w:eastAsia="仿宋"/>
          <w:b/>
          <w:color w:val="000000" w:themeColor="text1"/>
          <w:sz w:val="32"/>
          <w:szCs w:val="32"/>
          <w14:textFill>
            <w14:solidFill>
              <w14:schemeClr w14:val="tx1"/>
            </w14:solidFill>
          </w14:textFill>
        </w:rPr>
      </w:pPr>
    </w:p>
    <w:p>
      <w:pPr>
        <w:spacing w:before="156" w:after="156" w:line="360" w:lineRule="auto"/>
        <w:ind w:left="-401" w:leftChars="-191" w:firstLine="32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厦门国贸城市服务集团股份有限公司</w:t>
      </w:r>
      <w:r>
        <w:rPr>
          <w:rFonts w:hint="eastAsia" w:ascii="仿宋" w:hAnsi="仿宋" w:eastAsia="仿宋"/>
          <w:color w:val="000000" w:themeColor="text1"/>
          <w:sz w:val="32"/>
          <w:szCs w:val="32"/>
          <w14:textFill>
            <w14:solidFill>
              <w14:schemeClr w14:val="tx1"/>
            </w14:solidFill>
          </w14:textFill>
        </w:rPr>
        <w:t>：</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承诺方系</w:t>
      </w:r>
      <w:r>
        <w:rPr>
          <w:rFonts w:hint="eastAsia" w:ascii="仿宋" w:hAnsi="仿宋" w:eastAsia="仿宋"/>
          <w:color w:val="000000" w:themeColor="text1"/>
          <w:sz w:val="32"/>
          <w:szCs w:val="32"/>
          <w:u w:val="single"/>
          <w14:textFill>
            <w14:solidFill>
              <w14:schemeClr w14:val="tx1"/>
            </w14:solidFill>
          </w14:textFill>
        </w:rPr>
        <w:t>厦门国贸城市服务集团股份有限公司</w:t>
      </w:r>
      <w:r>
        <w:rPr>
          <w:rFonts w:hint="eastAsia" w:ascii="仿宋" w:hAnsi="仿宋" w:eastAsia="仿宋"/>
          <w:color w:val="000000" w:themeColor="text1"/>
          <w:sz w:val="32"/>
          <w:szCs w:val="32"/>
          <w14:textFill>
            <w14:solidFill>
              <w14:schemeClr w14:val="tx1"/>
            </w14:solidFill>
          </w14:textFill>
        </w:rPr>
        <w:t>（以下简称“</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相关人员和资讯，在廉洁义务和操守方面做出如下承诺：</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二、不向</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的工作人员及其亲属馈赠礼金、礼品（含有价证券）；不向</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的工作人员提供任何应由其个人支付报酬的劳务和其他服务；不为</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的工作人员安排可能影响公正执行公务的任何活动；不为</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工作人员报销任何名义的个人消费凭证。一经发现有上述行为，招标人有权取消中标资格。</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四、承诺方在与</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达成和交易履行过程中，提供的资质证明、证照、企业及个人资料、住所、产品名称、规格、品质、服务标准、票据、权证、权利限制均为真实，不存在虚假、欺瞒、伪造、变造行为，如上述情况发生变更，承诺方需在5个工作日内通知</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备案存档。</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所需规格之商品提供</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使用。</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六、承诺方同意</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依其保密制度所划列的机密资料可包括一切关于</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同意不得利用或向任何第三方泄露、交付。</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七、为净化采购相关秩序及环境，可至</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进行投诉或申报。</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八、违约责任</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承诺方承诺如违反本承诺书所述任何义务，无论是否给</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造成损失，承诺方将承担一切责任，并就</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实际造成的经济、名誉损失进行赔偿。</w:t>
      </w:r>
      <w:r>
        <w:rPr>
          <w:rFonts w:hint="eastAsia" w:ascii="仿宋" w:hAnsi="仿宋" w:eastAsia="仿宋"/>
          <w:color w:val="000000" w:themeColor="text1"/>
          <w:sz w:val="32"/>
          <w:szCs w:val="32"/>
          <w:u w:val="single"/>
          <w14:textFill>
            <w14:solidFill>
              <w14:schemeClr w14:val="tx1"/>
            </w14:solidFill>
          </w14:textFill>
        </w:rPr>
        <w:t>国贸服务</w:t>
      </w:r>
      <w:r>
        <w:rPr>
          <w:rFonts w:hint="eastAsia" w:ascii="仿宋" w:hAnsi="仿宋" w:eastAsia="仿宋"/>
          <w:color w:val="000000" w:themeColor="text1"/>
          <w:sz w:val="32"/>
          <w:szCs w:val="32"/>
          <w14:textFill>
            <w14:solidFill>
              <w14:schemeClr w14:val="tx1"/>
            </w14:solidFill>
          </w14:textFill>
        </w:rPr>
        <w:t>有权解除双方合同并不负任何违约责任，有权从应付承诺方账款中扣罚，并可采用法律手段索赔。</w:t>
      </w:r>
    </w:p>
    <w:p>
      <w:pPr>
        <w:spacing w:before="156" w:after="156" w:line="360" w:lineRule="auto"/>
        <w:ind w:left="-405" w:leftChars="-193"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九、自觉接受监督。</w:t>
      </w:r>
    </w:p>
    <w:p>
      <w:pPr>
        <w:spacing w:before="156" w:after="156" w:line="360" w:lineRule="auto"/>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特此承诺。</w:t>
      </w:r>
    </w:p>
    <w:p>
      <w:pPr>
        <w:spacing w:before="156" w:after="156" w:line="360" w:lineRule="auto"/>
        <w:ind w:left="-105" w:leftChars="-50" w:firstLine="320"/>
        <w:jc w:val="left"/>
        <w:rPr>
          <w:rFonts w:hint="eastAsia" w:ascii="仿宋" w:hAnsi="仿宋" w:eastAsia="仿宋"/>
          <w:color w:val="000000" w:themeColor="text1"/>
          <w:sz w:val="32"/>
          <w:szCs w:val="32"/>
          <w14:textFill>
            <w14:solidFill>
              <w14:schemeClr w14:val="tx1"/>
            </w14:solidFill>
          </w14:textFill>
        </w:rPr>
      </w:pPr>
    </w:p>
    <w:p>
      <w:pPr>
        <w:spacing w:before="156" w:after="156" w:line="360" w:lineRule="auto"/>
        <w:ind w:left="-105" w:leftChars="-50" w:firstLine="320"/>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承诺人（投标人）名称（盖章）：</w:t>
      </w:r>
    </w:p>
    <w:p>
      <w:pPr>
        <w:spacing w:before="156" w:after="156" w:line="360" w:lineRule="auto"/>
        <w:ind w:left="-105" w:leftChars="-50" w:firstLine="320"/>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法定代表人（或投标人代表）：</w:t>
      </w:r>
    </w:p>
    <w:p>
      <w:pPr>
        <w:spacing w:before="156" w:after="156" w:line="360" w:lineRule="auto"/>
        <w:ind w:left="-151" w:firstLine="3840" w:firstLineChars="1200"/>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widowControl/>
        <w:spacing w:before="156" w:after="156"/>
        <w:ind w:left="-151" w:firstLine="321"/>
        <w:jc w:val="left"/>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 xml:space="preserve">格式11  </w:t>
      </w:r>
    </w:p>
    <w:p>
      <w:pPr>
        <w:spacing w:before="156" w:beforeLines="50" w:after="156" w:afterLines="50"/>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带“★”号条款逐条响应情况表</w:t>
      </w:r>
    </w:p>
    <w:p>
      <w:pPr>
        <w:spacing w:line="38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 xml:space="preserve">        招标编号</w:t>
      </w:r>
      <w:r>
        <w:rPr>
          <w:rFonts w:hint="eastAsia" w:ascii="仿宋" w:hAnsi="仿宋" w:eastAsia="仿宋" w:cs="宋体"/>
          <w:color w:val="000000" w:themeColor="text1"/>
          <w:sz w:val="32"/>
          <w:szCs w:val="32"/>
          <w14:textFill>
            <w14:solidFill>
              <w14:schemeClr w14:val="tx1"/>
            </w14:solidFill>
          </w14:textFill>
        </w:rPr>
        <w:t>：</w:t>
      </w:r>
    </w:p>
    <w:tbl>
      <w:tblPr>
        <w:tblStyle w:val="19"/>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序号</w:t>
            </w:r>
          </w:p>
        </w:tc>
        <w:tc>
          <w:tcPr>
            <w:tcW w:w="3276"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招标文件中带“★”号的条款</w:t>
            </w:r>
          </w:p>
        </w:tc>
        <w:tc>
          <w:tcPr>
            <w:tcW w:w="1836"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投标响应</w:t>
            </w:r>
            <w:r>
              <w:rPr>
                <w:rFonts w:hint="eastAsia" w:ascii="仿宋" w:hAnsi="仿宋" w:eastAsia="仿宋"/>
                <w:color w:val="000000" w:themeColor="text1"/>
                <w:sz w:val="32"/>
                <w:szCs w:val="32"/>
                <w14:textFill>
                  <w14:solidFill>
                    <w14:schemeClr w14:val="tx1"/>
                  </w14:solidFill>
                </w14:textFill>
              </w:rPr>
              <w:t>内容</w:t>
            </w:r>
          </w:p>
        </w:tc>
        <w:tc>
          <w:tcPr>
            <w:tcW w:w="2676"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14:textFill>
                  <w14:solidFill>
                    <w14:schemeClr w14:val="tx1"/>
                  </w14:solidFill>
                </w14:textFill>
              </w:rPr>
            </w:pPr>
          </w:p>
        </w:tc>
      </w:tr>
    </w:tbl>
    <w:p>
      <w:pPr>
        <w:spacing w:line="540" w:lineRule="exact"/>
        <w:ind w:firstLine="643" w:firstLineChars="200"/>
        <w:jc w:val="left"/>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4800" w:firstLineChars="15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40" w:lineRule="exact"/>
        <w:ind w:firstLine="4800" w:firstLineChars="1500"/>
        <w:rPr>
          <w:rFonts w:hint="eastAsia" w:ascii="仿宋" w:hAnsi="仿宋" w:eastAsia="仿宋"/>
          <w:color w:val="000000" w:themeColor="text1"/>
          <w:sz w:val="32"/>
          <w:szCs w:val="32"/>
          <w14:textFill>
            <w14:solidFill>
              <w14:schemeClr w14:val="tx1"/>
            </w14:solidFill>
          </w14:textFill>
        </w:rPr>
      </w:pPr>
    </w:p>
    <w:p>
      <w:pPr>
        <w:spacing w:line="540" w:lineRule="exact"/>
        <w:ind w:firstLine="5600" w:firstLineChars="175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40" w:lineRule="exact"/>
        <w:ind w:firstLine="5600" w:firstLineChars="175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日   期： </w:t>
      </w:r>
    </w:p>
    <w:p>
      <w:pPr>
        <w:spacing w:line="500" w:lineRule="exact"/>
        <w:rPr>
          <w:rFonts w:hint="eastAsia" w:ascii="仿宋" w:hAnsi="仿宋" w:eastAsia="仿宋"/>
          <w:b/>
          <w:bCs/>
          <w:color w:val="000000" w:themeColor="text1"/>
          <w:sz w:val="32"/>
          <w:szCs w:val="32"/>
          <w14:textFill>
            <w14:solidFill>
              <w14:schemeClr w14:val="tx1"/>
            </w14:solidFill>
          </w14:textFill>
        </w:rPr>
      </w:pPr>
    </w:p>
    <w:p>
      <w:pPr>
        <w:widowControl/>
        <w:jc w:val="left"/>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br w:type="page"/>
      </w:r>
    </w:p>
    <w:p>
      <w:pPr>
        <w:spacing w:line="500" w:lineRule="exact"/>
        <w:rPr>
          <w:rFonts w:hint="eastAsia"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14:textFill>
            <w14:solidFill>
              <w14:schemeClr w14:val="tx1"/>
            </w14:solidFill>
          </w14:textFill>
        </w:rPr>
        <w:t>12</w:t>
      </w:r>
    </w:p>
    <w:p>
      <w:pPr>
        <w:spacing w:line="500" w:lineRule="exact"/>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投标人提交的其它资料</w:t>
      </w:r>
    </w:p>
    <w:p>
      <w:pPr>
        <w:spacing w:line="500" w:lineRule="exact"/>
        <w:rPr>
          <w:rFonts w:hint="eastAsia" w:ascii="仿宋" w:hAnsi="仿宋" w:eastAsia="仿宋"/>
          <w:b/>
          <w:color w:val="000000" w:themeColor="text1"/>
          <w:sz w:val="32"/>
          <w:szCs w:val="32"/>
          <w14:textFill>
            <w14:solidFill>
              <w14:schemeClr w14:val="tx1"/>
            </w14:solidFill>
          </w14:textFill>
        </w:rPr>
      </w:pPr>
    </w:p>
    <w:p>
      <w:pPr>
        <w:spacing w:line="500" w:lineRule="exact"/>
        <w:ind w:firstLine="640"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（投标人认为应提交的其他材料, 可在此附件中提交）</w:t>
      </w:r>
    </w:p>
    <w:p>
      <w:pPr>
        <w:spacing w:line="500" w:lineRule="exact"/>
        <w:rPr>
          <w:rFonts w:hint="eastAsia" w:ascii="仿宋" w:hAnsi="仿宋" w:eastAsia="仿宋"/>
          <w:color w:val="000000" w:themeColor="text1"/>
          <w:sz w:val="32"/>
          <w:szCs w:val="32"/>
          <w14:textFill>
            <w14:solidFill>
              <w14:schemeClr w14:val="tx1"/>
            </w14:solidFill>
          </w14:textFill>
        </w:rPr>
      </w:pPr>
    </w:p>
    <w:p>
      <w:pPr>
        <w:spacing w:line="500" w:lineRule="exact"/>
        <w:rPr>
          <w:rFonts w:hint="eastAsia" w:ascii="仿宋" w:hAnsi="仿宋" w:eastAsia="仿宋"/>
          <w:color w:val="000000" w:themeColor="text1"/>
          <w:sz w:val="32"/>
          <w:szCs w:val="32"/>
          <w14:textFill>
            <w14:solidFill>
              <w14:schemeClr w14:val="tx1"/>
            </w14:solidFill>
          </w14:textFill>
        </w:rPr>
      </w:pPr>
    </w:p>
    <w:p>
      <w:pPr>
        <w:spacing w:line="500" w:lineRule="exact"/>
        <w:rPr>
          <w:rFonts w:hint="eastAsia" w:ascii="仿宋" w:hAnsi="仿宋" w:eastAsia="仿宋"/>
          <w:color w:val="000000" w:themeColor="text1"/>
          <w:sz w:val="32"/>
          <w:szCs w:val="32"/>
          <w14:textFill>
            <w14:solidFill>
              <w14:schemeClr w14:val="tx1"/>
            </w14:solidFill>
          </w14:textFill>
        </w:rPr>
      </w:pPr>
    </w:p>
    <w:p>
      <w:pPr>
        <w:spacing w:line="500" w:lineRule="exact"/>
        <w:rPr>
          <w:rFonts w:hint="eastAsia" w:ascii="仿宋" w:hAnsi="仿宋" w:eastAsia="仿宋"/>
          <w:color w:val="000000" w:themeColor="text1"/>
          <w:sz w:val="32"/>
          <w:szCs w:val="32"/>
          <w14:textFill>
            <w14:solidFill>
              <w14:schemeClr w14:val="tx1"/>
            </w14:solidFill>
          </w14:textFill>
        </w:rPr>
      </w:pPr>
    </w:p>
    <w:p>
      <w:pPr>
        <w:spacing w:line="500" w:lineRule="exact"/>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jc w:val="right"/>
        <w:rPr>
          <w:rFonts w:hint="eastAsia" w:ascii="仿宋" w:hAnsi="仿宋" w:eastAsia="仿宋"/>
          <w:color w:val="000000" w:themeColor="text1"/>
          <w:sz w:val="32"/>
          <w:szCs w:val="32"/>
          <w14:textFill>
            <w14:solidFill>
              <w14:schemeClr w14:val="tx1"/>
            </w14:solidFill>
          </w14:textFill>
        </w:rPr>
      </w:pPr>
    </w:p>
    <w:p>
      <w:pPr>
        <w:spacing w:line="500" w:lineRule="exact"/>
        <w:jc w:val="right"/>
        <w:rPr>
          <w:rFonts w:hint="eastAsia" w:ascii="仿宋" w:hAnsi="仿宋" w:eastAsia="仿宋"/>
          <w:color w:val="000000" w:themeColor="text1"/>
          <w:sz w:val="32"/>
          <w:szCs w:val="32"/>
          <w14:textFill>
            <w14:solidFill>
              <w14:schemeClr w14:val="tx1"/>
            </w14:solidFill>
          </w14:textFill>
        </w:rPr>
      </w:pPr>
    </w:p>
    <w:p>
      <w:pPr>
        <w:spacing w:line="500" w:lineRule="exact"/>
        <w:ind w:firstLine="5600" w:firstLineChars="1750"/>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760" w:firstLineChars="18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widowControl/>
        <w:jc w:val="left"/>
        <w:rPr>
          <w:rFonts w:hint="eastAsia" w:ascii="仿宋" w:hAnsi="仿宋" w:eastAsia="仿宋"/>
          <w:b/>
          <w:bCs/>
          <w:color w:val="000000" w:themeColor="text1"/>
          <w:sz w:val="32"/>
          <w:szCs w:val="32"/>
          <w14:textFill>
            <w14:solidFill>
              <w14:schemeClr w14:val="tx1"/>
            </w14:solidFill>
          </w14:textFill>
        </w:rPr>
      </w:pPr>
    </w:p>
    <w:p>
      <w:pPr>
        <w:widowControl/>
        <w:spacing w:before="156" w:after="156"/>
        <w:ind w:left="-151" w:firstLine="321"/>
        <w:jc w:val="left"/>
        <w:rPr>
          <w:rFonts w:hint="eastAsia" w:ascii="仿宋" w:hAnsi="仿宋" w:eastAsia="仿宋"/>
          <w:b/>
          <w:bCs/>
          <w:color w:val="000000" w:themeColor="text1"/>
          <w:sz w:val="32"/>
          <w:szCs w:val="32"/>
          <w14:textFill>
            <w14:solidFill>
              <w14:schemeClr w14:val="tx1"/>
            </w14:solidFill>
          </w14:textFill>
        </w:rPr>
      </w:pPr>
    </w:p>
    <w:p>
      <w:pPr>
        <w:spacing w:before="156" w:after="156" w:line="500" w:lineRule="exact"/>
        <w:ind w:left="-151" w:firstLine="321"/>
        <w:rPr>
          <w:rFonts w:hint="eastAsia" w:asciiTheme="minorEastAsia" w:hAnsiTheme="minorEastAsia" w:eastAsiaTheme="minorEastAsia"/>
          <w:b/>
          <w:bCs/>
          <w:color w:val="000000" w:themeColor="text1"/>
          <w:sz w:val="32"/>
          <w:szCs w:val="32"/>
          <w14:textFill>
            <w14:solidFill>
              <w14:schemeClr w14:val="tx1"/>
            </w14:solidFill>
          </w14:textFill>
        </w:rPr>
      </w:pPr>
    </w:p>
    <w:p>
      <w:pPr>
        <w:widowControl/>
        <w:jc w:val="left"/>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br w:type="page"/>
      </w:r>
    </w:p>
    <w:p>
      <w:pPr>
        <w:spacing w:before="156" w:after="156" w:line="500" w:lineRule="exact"/>
        <w:ind w:left="-151" w:firstLine="321"/>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格式13 </w:t>
      </w:r>
    </w:p>
    <w:p>
      <w:pPr>
        <w:widowControl/>
        <w:spacing w:before="156" w:after="156" w:line="360" w:lineRule="auto"/>
        <w:ind w:left="-151" w:firstLine="643" w:firstLineChars="20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秩序维护服务合同</w:t>
      </w:r>
    </w:p>
    <w:p>
      <w:pPr>
        <w:widowControl/>
        <w:spacing w:before="156" w:after="156" w:line="360" w:lineRule="auto"/>
        <w:ind w:left="-151" w:firstLine="640" w:firstLineChars="200"/>
        <w:jc w:val="left"/>
        <w:rPr>
          <w:rFonts w:hint="eastAsia" w:ascii="仿宋" w:hAnsi="仿宋" w:eastAsia="仿宋" w:cs="宋体"/>
          <w:color w:val="000000" w:themeColor="text1"/>
          <w:sz w:val="32"/>
          <w:szCs w:val="32"/>
          <w14:textFill>
            <w14:solidFill>
              <w14:schemeClr w14:val="tx1"/>
            </w14:solidFill>
          </w14:textFill>
        </w:rPr>
      </w:pPr>
    </w:p>
    <w:p>
      <w:pPr>
        <w:widowControl/>
        <w:spacing w:before="156" w:after="156" w:line="480" w:lineRule="exact"/>
        <w:ind w:left="-151"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合同编号：</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甲方：</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320"/>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法定代表人/负责人：</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通信地址：</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乙方：</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法定代表人/负责人：</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320"/>
        <w:jc w:val="left"/>
        <w:textAlignment w:val="baseline"/>
        <w:rPr>
          <w:rFonts w:hint="eastAsia" w:ascii="仿宋" w:hAnsi="仿宋" w:eastAsia="仿宋" w:cs="仿宋"/>
          <w:color w:val="000000" w:themeColor="text1"/>
          <w:sz w:val="32"/>
          <w:szCs w:val="32"/>
          <w:u w:val="single" w:color="00000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通信地址：</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根据《中华人民共和国民法典》等相关法律、法规的规定，本着自愿、平等、公平和诚实信用原则，甲、乙双方经友好协商，就甲方聘请乙方为        项目（以下称“本项目”）提供秩序维护服务事宜，达成如下协议，以资共同遵守。</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第一条  秩序维护服务范围</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秩序维护范围为本项目的物业管理服务区域，包括但不限于本项目规划红线范围内所有公共区域的房屋、商铺、道路、外围、景观、停车场（地面、地下）、物业办公区域（含各类管理用房）、设施设备用房、市政公共设施等。</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第二条  秩序维护服务内容</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1、固定岗、巡逻岗、消监控岗值班以及公共秩序、巡视检查等，为本项目提供24小时秩序维护服务，确保现场秩序正常。</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2、服务区域内突发事件的应急处理，发生突发事件应及时赶往现场进行处理并组织秩序维护工作，同时报告甲方及有关部门。</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服务区域内安全巡查，维护服务区内业主及使用人的人身、财产安全，维护正常治安、消防秩序，做好防抢、防盗、防火、防破坏等工作；熟练掌握火灾、治安、自然灾害等突发事件应急预案，事发时积极采取相应措施，立即报告甲方人员或拨打紧急救助电话，同时要保护好现场，并详细记录备查。</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4、定期完善应急预案，根据甲方要求开展应急预案演练和相关知识技能培训。</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5、完成甲方要求配合的其他与服务相关事宜。</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第三条 秩序维护服务人员配置及要求</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秩序维护人员总人数暂定为   人，若甲方根据工作需要临时增加或减少秩序维护人员，需提前通知乙方，乙方须配合调整。人员配置及要求具体如下：</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维序岗：    人；年龄    周岁以内，身高不低于     公分，初中以上学历；持保安证、体检合格报告上岗，无犯罪记录证明；本岗位1年以上工作经验，熟悉相应专业技能和服务意识。</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第四条  服务期限</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1、服务期限暂定为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个月，即自</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日起至    年  月  日止，具体服务终止时间以甲方通知为准。</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2、服务期内，若甲方终止本项目的物业管理服务，则本合同自然同日终止，甲乙双方互不承担违约责任。</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第五条  秩序维护服务费、人数核定及支付方式</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1、本项目维序岗岗位服务费：￥</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元/岗/月（大写：人民币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元整），月度秩序维护服务费合计￥</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元/月（大写：人民币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元整），服务期内秩序维护服务费总价为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元（大写：人民币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元整）。</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上述秩序维护服务费中已包含岗位人员工资、福利待遇、社会保险费、各种税费、基础装备费、服装费、管理费及乙方利润等一切甲方应支付的费用，除此之外，甲方不再向乙方支付任何费用。若服务期限不足一个月，则根据实际服务天数及上述岗位综合服务费标准结算秩序维护服务费。</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岗位轮休人员由乙方另行安排，其用工成本甲方已在服务费用中包含。前述秩序维护服务费总价为暂定总价，甲方实际应付费用应按乙方根据甲方需求实际提供的岗位服务以及根据本合同相应的考核/扣减情况据实核算。</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若甲方临时性需乙方增派人员的，应提前3个工作日通知乙方，新增人员的费用标准按天结算，乙方应按甲方通知要求执行甲方需求。费用标准参照本合同约定的岗位综合服务费合理测算，每人每天的费用标准计算方式为岗位综合服务费标准*12个月/365天。此费用标准包含正常服务情况下甲方应付乙方的所有费用。</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甲乙双方于每月第十个工作日前根据本合同约定计算上月秩序维护服务费用，经双方确认后，乙方向甲方提供等额增值税专用发票，甲方在收到乙方发票后十五个工作日内支付。若乙方不提供或延迟提供发票，则甲方付款时间顺延。</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6、本合同项下所有款项均以人民币支付，甲方以银行转账或支票方式向乙方指定收款账户支付。乙方指定的收款账户如下： </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乙方开户银行：</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乙方开户名称：</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账        号：</w:t>
      </w:r>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乙方如需改变上述信息，应提前15 日以书面的形式通知甲方。如未按本合同规定通知而遭受的损失自行承担。甲方已将款项支付至乙方账户且未被退回，则视同甲方已履行付款义务。甲方开票信息如发生变更，乙方有义务协助甲方更换已开具的增值税专用发票。</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第六条  甲方权利及义务</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1、审定乙方拟定的秩序维护人员管理方案，监督和检查乙方管理工作的实施及制度的执行情况，审定乙方提出的秩序维护服务计划。</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2、甲方可依据附件（附件4）《维序服务检查标准》，每月对乙方所提供的秩序维护服务进行检查，并有权依据检查标准对乙方不符合服务要求的行为进行扣款。</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3、甲方应为乙方秩序维护人员提供必需的工作场所和条件。</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4、根据合同约定标准按时向乙方支付秩序维护服务费。</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5、积极采纳乙方合理化建议，以求更好地开展秩序维护服务。</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6、甲方应负责配备符合国家规范要求的消防设施。</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7、甲方指派专人负责监督乙方的秩序维护服务工作，双方加强沟通交流，及时协调处理日常服务工作中出现的问题。</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8、甲方有权定期检查、指导和督促乙方的秩序维护服务工作，对不称职或者有违法违纪的人员，有权要求乙方予以撤换；如乙方未按约定的要求在合理的时间内更换人员，甲方有权扣除相应人员的月费用。</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第七条  乙方权利及义务</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乙方须为选派至本项目的秩序维护人员每人购买赔偿限额不低于80万元人民币的人身意外伤害保险，并自行承担保险费用。若乙方未按约定购买上述保险，甲方有权要求乙方限期整改，若乙方拒不整改或逾期整改，则甲方可提前终止本合同，若由此造成甲方经济损失，乙方需承担赔偿责任。</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乙方应依法与其人员建立劳动合同关系，并保证该劳动合同关系在本合同履行期间合法存续，且相关劳动合同等人事（档案和用工报备等）均由乙方管理，自行负责和承担其人员的工资（含加班费等乙方员工应该获得的所有收入）、各项保险（含社会保险、人身意外伤害保险或法律法规规定的其他保险）、劳保福利及其它一切费用，甲方不承担任何乙方与其员工劳动合同项下任何责任，乙方与其人员因劳动关系及各种原因引发的劳资或法律纠纷与甲方无关，乙方处理与其员工劳动纠纷不得影响本合同正常履行。</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乙方负责其人员的招聘、培训等管理工作，同时按本合同约定秩序维护服务质量标准对其人员进行严格的队伍管理、业务培训、职责培训和纪律培训，并按照甲方制定的演练计划每年组织消防演练和防恐演练不得少于1次。</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乙方应负责加强对其人员的安全教育（包括但不限于上、下班路途安全、安全执勤、文明执勤等教育），并负责为其人员缴交工伤保险或办理足额的人身意外伤害保险，若乙方人员在履行本合同过程中发生人员伤亡或其他意外事故或造成甲方、第三方人身或财产损害的，均由乙方负责处理并承担相关责任和费用。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5、乙方人员在工作时间必须着装整齐、举止端正、文明礼貌、坚守岗位，尽职尽责，严格遵守法律、法规及甲、乙双方的各项规章制度，服从甲、乙双方领导。</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6、乙方或乙方人员未经允许不得随意动用甲方的设备，不得随意进入甲方项目物业管理中心的办公室，无紧急情况不得动用项目物业管理中心的电话，要严守在履行职务时所知悉的商业秘密。</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7、乙方应指派专人负责维序队伍内部管理和与甲方的对接工作，以便双方进行沟通交流，及时协调处理秩序维护服务过程中出现的问题。</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如因乙方原因，包括但不限于乙方人员由于技能不足、人员未遵守工作纪律（缺岗、脱岗、睡岗等）、违反作业操作规程等原因，造成服务区域内发生盗抢、财产损坏或人员安全事件，乙方应承担全部责任。若导致甲方或本合同对应服务项目遭受行政处罚的，乙方应无条件配合甲方处理协调，涉及行政罚款及损失赔偿的，应由乙方承担全部责任。</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乙方或其员工、雇佣人员在服务过程中因违规操作、操作不当或因服务质量不达标等原因导致甲方或本合同对应服务项目遭受行政处罚的，乙方应无条件配合甲方处理协调，涉及行政罚款及损失赔偿的，应由乙方承担全部责任；乙方在秩序维护服务过程中造成安全责任事故的（无论最终是否被政府主管部门认定为“安全生产事故”），一切经济责任和其他行政、刑事责任（赔偿、罚款、罚金、滞纳金）均由乙方承担。同时，乙方应无条件配合甲方进行事故后续安排工作，直到全部处理完毕为止。涉及行政责任或刑事责任的，乙方应无条件配合甲方，直到甲方收到政府部门正式结案文件为止。乙方违反本条约定，甲方可随时解除本合同并不承担任何责任，且乙方需赔偿因此对甲方造成的损失。</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乙方秩序维护人员无论因何种原因向劳动仲裁委员会提起仲裁或人民法院提起诉讼，乙方需积极妥善处理，如涉及行政罚款及损失赔偿的，应由乙方承担全部责任，若因此给甲方造成任何损失的，乙方应予以赔偿。</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乙方在双方约定入场时间前完成其人员的岗位技能培训并将培训记录交给甲方，同时应在入场前3个工作日内将选派至本项目的秩序维护人员的身份证复印件、保安证原件/复印件、无犯罪记录证明、消控操作证原件/复印件、入职健康体检证明、意外险缴交凭证等相关材料交甲方审核。</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第八条 保密条款</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1、任一方应将与下列事项有关的、在签订或履行本合同中获得的全部信息视为保密信息：</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（1）本合同条款；</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（2）与本合同有关的谈判内容；</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（3）在签订、履行本合同及在谈判中获得的另一方及其关联甲方的商业秘密（包括但不限于彼此间披露的一切信息、文件和数据，除非该信息、文件和数据已经公开）。</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2、双方在此同意和保证，未经本合同双方书面同意，不得将保密信息向任何第三方披露；在本合同履行完毕或因任何原因终止后，对本合同的任何一方而言，本条约定对其仍具有约束力。但是以下情形除外：</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（1）依据中国法律法规要求应当披露；</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（2）依据任何有管辖权的政府机关、监管机构的要求应当披露；</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（3）向己方的专业顾问或律师披露；</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（4）双方事先给予书面同意。</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第九条 违约责任</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1、因乙方原因导致本合同无法继续履行时，乙方须提前1 个月以书面形式通知甲方。未经甲方书面同意乙方擅自终止履行合同的，甲方有权要求乙方按照本合同暂定秩序维护服务费总额的 20%支付违约金，违约金不足以赔偿甲方损失的，乙方应另行支付违约金与损失差额部分。</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乙方人员若发生缺勤、脱岗和其他违反本合同约定的行为，每发现一人次，乙方应按月秩序维护服务费总额的1%向甲方支付违约金，若给甲方造成的损失超过违约金的，差额部分乙方也应予以赔偿，且甲方可要求乙方在七日内撤换该人员，乙方应及时予以调换。</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乙方未按照本合同约定的服务内容、服务标准及要求提供服务的，甲方有权要求乙方限期整改，若乙方拒不整改或整改后仍未达到本合同约定要求的，甲方有权单方解除本合同且乙方应按本合同暂定维护服务费总额的20%向甲方支付违约金，同时乙方须在本合同解除之日无条件退场，若乙方逾期退场造成甲方经济损失的，乙方应赔偿甲方的全部损失。</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乙方在本合同履行期间或终止后，因乙方或乙方人员原因导致甲方或本合同对应服务项目遭受行政处罚的，乙方除应承担全部行政罚款及损失赔偿责任外，合同尚未终止的，甲方有权单方解除本合同并有权要求乙方按照本合同暂定维护服务费总额的20%向甲方支付违约金，合同已经终止的，甲方仍有权要求乙方按照本合同暂定维护服务费总额的20%向甲方支付违约金；违约金不足以弥补甲方损失，甲方有权要求乙方另行赔偿。</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若乙方人员集体罢工，给甲方工作和声誉造成不良影响的，在接到甲方通知后乙方应及时进行处理并在当天处理完毕。若乙方拒不配合，则甲方有权单方解除本合同，由此给甲方造成的损失均由乙方全额承担，若损失无法确定的，则应支付等额于本合同暂定维护服务费总额20%的违约金。</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服务期内，甲方每月依据附件（附件5）《维序服务品质检查考核表》对乙方秩序维护服务进行考评，若服务品质考核分数累计3个月或者连续3个月日常考核分数低于85（含）分，甲方有权书面要求乙方限期整改，若乙方逾期整改或整改后的首次考核仍低于85（含）分的，甲方则有权解除本合同且乙方应向甲方支付等额于本合同暂定维护服务费总额20%的违约金。</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若乙方秩序维护服务业主满意度累计3个月或者连续2个月业主满意度得分低于85（含）分，甲方有权要求乙方限期整改，逾期未整改或整改后的首次秩序维护服务模块业主满意度得分仍低于85（含）分的，则甲方有权书面通知乙方后解除本合同且乙方应向甲方支付等额于本合同暂定维护服务费总额20%的违约金。</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8、乙方按本合同约定应向甲方承担的违约金、赔偿金、甲方代缴及垫付费用等，甲方有权直接从应付未付的款项中扣减；应付未付的款项不足扣除的，乙方应在接到甲方通知之日起3 天内补足；否则，每逾期1 天，乙方应按已扣减款项与应扣减款项之差额的万分之五/每日 的标准向甲方支付违约金，逾期达七日的，甲方有权单方解除本合同。</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本合同约定的秩序维护服务，乙方未经甲方书面同意擅自分包、转包或中途退场的，甲方可随时要求解除本合同且乙方应向甲方支付本合同暂定维护服务费总额20%的违约金；给甲方造成损失的，甲方有权继续向乙方追偿。</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第十条  争议解决方式</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因本合同履行或与本合同有关的一切争议，由双方优先协商解决；若协商不成，任何一方均可向甲方所在地人民法院提起诉讼。</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第十一条  通知</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本合同发出的任何通知，应当采用书面形式，可以通过电子邮件、甲方电子系统、专人递送或特快专递发送到本合同所列地址。如通过专人递送，该等通知在接收时视为已经送达；如通过特快专递，该等通知在发出后第3日视为已经送达；如通过电子邮件或甲方电子系统，该等通知在发出之日视为已经送达。一方变更联系信息，应提前7日将变更内容书面通知另一方。否则，由未通知方承担不利后果。对于本合同明确约定的通知、送达地址，仲裁机构/法院在送达仲裁/诉讼法律文书时可直接邮寄送达至该地址，即使甲乙双方或任何一方未能收到仲裁机构/法院邮寄送达的文书，由于其在本合同中的约定，也应当视为送达。</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第十二条  其他事项</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2、本合同未尽事宜，由甲乙双方另行协商并签订补充协议，补充协议与本合同具有同等法律效力。</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3、本合同附件为本合同的有效组成部分，与本合同具同等法律效力。</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4、本合同一式肆份，甲、乙双方各执贰份，均具有同等法律效力，自双方签字盖章之日起生效。</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5、本合同附件：</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附件一：“两告知”-告知函</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附件二：供应商廉洁诚信承诺书</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附件三：安全生产管理协议书</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附件四：维序服务检查标准</w:t>
      </w:r>
    </w:p>
    <w:p>
      <w:pPr>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附件五：维序服务品质检查考核表</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甲方(盖章)：                             乙方（盖章）：</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授权代表：                               授权代表： </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                               联系电话：</w:t>
      </w:r>
    </w:p>
    <w:p>
      <w:pPr>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日期：                                   日期：     </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ind w:left="-151"/>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widowControl/>
        <w:spacing w:before="156" w:after="156" w:line="360" w:lineRule="auto"/>
        <w:ind w:left="0" w:firstLine="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合同附件一：</w:t>
      </w:r>
    </w:p>
    <w:p>
      <w:pPr>
        <w:widowControl/>
        <w:spacing w:before="156" w:after="156" w:line="360" w:lineRule="auto"/>
        <w:ind w:left="-151" w:firstLine="321"/>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“两告知”-告知函</w:t>
      </w: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致：                 公司</w:t>
      </w:r>
    </w:p>
    <w:p>
      <w:pPr>
        <w:widowControl/>
        <w:spacing w:before="156" w:after="156" w:line="360" w:lineRule="auto"/>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为切实加强我司党风廉政建设,在实际工作中全面落实党员干部职工廉洁自律要求，确保我司采购活动的规范与廉洁，从源头上预防和遏制违法违纪问题的发生，特作以下告知:</w:t>
      </w:r>
    </w:p>
    <w:p>
      <w:pPr>
        <w:widowControl/>
        <w:spacing w:before="156" w:after="156" w:line="360" w:lineRule="auto"/>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一、合作单位发现我司工作人员存在说情打招呼行为的要及时反馈。</w:t>
      </w:r>
    </w:p>
    <w:p>
      <w:pPr>
        <w:widowControl/>
        <w:spacing w:before="156" w:after="156" w:line="360" w:lineRule="auto"/>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二、中标单位发现我司工作人员存在利用职便或影响力索贿、吃拿卡要等违规违纪行为要及时反馈。</w:t>
      </w:r>
    </w:p>
    <w:p>
      <w:pPr>
        <w:widowControl/>
        <w:spacing w:before="156" w:after="156" w:line="360" w:lineRule="auto"/>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反馈地址及联系电话：厦门市思明区体育路41号顺承大厦6楼国贸服务纪检监察室，0592-2990836。</w:t>
      </w:r>
    </w:p>
    <w:p>
      <w:pPr>
        <w:widowControl/>
        <w:spacing w:before="156" w:after="156" w:line="360" w:lineRule="auto"/>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此告知函加盖本公司公章后生效。</w:t>
      </w:r>
    </w:p>
    <w:p>
      <w:pPr>
        <w:widowControl/>
        <w:spacing w:before="156" w:after="156" w:line="360" w:lineRule="auto"/>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特此函告。</w:t>
      </w:r>
    </w:p>
    <w:p>
      <w:pPr>
        <w:widowControl/>
        <w:spacing w:before="156" w:after="156" w:line="360" w:lineRule="auto"/>
        <w:ind w:left="-151" w:firstLine="320"/>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厦门国贸城市服务集团股份有限公司</w:t>
      </w:r>
      <w:bookmarkStart w:id="440" w:name="_GoBack"/>
      <w:bookmarkEnd w:id="440"/>
    </w:p>
    <w:p>
      <w:pPr>
        <w:widowControl/>
        <w:spacing w:before="156" w:after="156" w:line="360" w:lineRule="auto"/>
        <w:ind w:left="-151" w:firstLine="320"/>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合作单位签收：</w:t>
      </w: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法定代表人（或授权代表）：</w:t>
      </w: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日期：</w:t>
      </w: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360" w:lineRule="auto"/>
        <w:ind w:left="0" w:firstLine="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合同附件二：</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widowControl/>
        <w:spacing w:before="156" w:after="156" w:line="360" w:lineRule="auto"/>
        <w:ind w:left="0" w:firstLine="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供应商廉洁诚信承诺书</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致：                               </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承诺方系贵司的供应商、服务商或合作商，在相关业务活动(包括但不限于交易洽谈、供货、服务、承揽、技术合作交流、付款)中接触贵司相关人员和资讯，在廉洁义务和操守方面做出如下承诺：</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五、承诺方禁止提供仿冒品（包括但不限于如贴牌、参杂参假，以次充好，以旧冒新、以不合格冒充合格）或不符合贵司所需规格之商品提供贵司使用。</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七、为净化采购相关秩序及环境，可发送电子邮件至贵司进行投诉或申报，须记载确实之内容或证据线索及联络方式。投诉将由贵司监察室处理及回复并保密，如属实，举报人（单位）将获得额外的现金奖励。</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八、违约责任</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九、自觉接受监督。</w:t>
      </w:r>
    </w:p>
    <w:p>
      <w:pPr>
        <w:widowControl/>
        <w:spacing w:before="156" w:after="156" w:line="480" w:lineRule="exact"/>
        <w:ind w:left="-151"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特此承诺。</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承诺人名称（盖章）： </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法定代表人（或授权代表）：</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日期：</w:t>
      </w:r>
    </w:p>
    <w:p>
      <w:pPr>
        <w:widowControl/>
        <w:spacing w:before="156" w:after="156" w:line="360" w:lineRule="auto"/>
        <w:ind w:left="0" w:firstLine="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合同附件三：</w:t>
      </w:r>
    </w:p>
    <w:p>
      <w:pPr>
        <w:widowControl/>
        <w:spacing w:before="156" w:after="156" w:line="360" w:lineRule="auto"/>
        <w:ind w:left="-151" w:firstLine="321"/>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安全生产管理协议书</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w:t>
      </w:r>
      <w:r>
        <w:rPr>
          <w:rFonts w:ascii="Segoe UI Symbol" w:hAnsi="Segoe UI Symbol" w:eastAsia="仿宋" w:cs="Segoe UI Symbol"/>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其他</w:t>
      </w:r>
      <w:r>
        <w:rPr>
          <w:rFonts w:hint="eastAsia" w:ascii="仿宋" w:hAnsi="仿宋" w:eastAsia="仿宋" w:cs="仿宋"/>
          <w:color w:val="000000" w:themeColor="text1"/>
          <w:sz w:val="32"/>
          <w:szCs w:val="32"/>
          <w14:textFill>
            <w14:solidFill>
              <w14:schemeClr w14:val="tx1"/>
            </w14:solidFill>
          </w14:textFill>
        </w:rPr>
        <w:t>_秩序维护），经甲乙双方协商，签订安全生产管理协议如下：</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一、乙方应加强对现场工作人员的安全教育，提高现场工作人员的安全意识和安全技术水平。</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二、乙方人员作业携带的设备及用具，符合国家和企业安全规程要求，特种作业人员须持有效证件操作。</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五、乙方对作业人员投保相关的安全责任险。</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七、在高温、大风等不良气候条件下作业时，乙方自备防高温、防风、防雨、防雷击等安全措施，确保安全作业。</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十、作业材料堆放整齐，垃圾及时处理，不影响甲方正常秩序及通信畅通。</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甲方单位：                            乙方单位：  </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负责人：                              负责人：</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                            联系电话：</w:t>
      </w: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p>
    <w:p>
      <w:pPr>
        <w:widowControl/>
        <w:spacing w:before="156" w:after="156" w:line="480" w:lineRule="exact"/>
        <w:ind w:left="-151" w:firstLine="32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日期：</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 xml:space="preserve"> 年   月</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 xml:space="preserve"> 日</w:t>
      </w:r>
    </w:p>
    <w:p>
      <w:pPr>
        <w:widowControl/>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widowControl/>
        <w:spacing w:before="156" w:after="156" w:line="360" w:lineRule="auto"/>
        <w:ind w:left="-151"/>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合同附件四：</w:t>
      </w:r>
    </w:p>
    <w:p>
      <w:pPr>
        <w:spacing w:before="156" w:after="156" w:line="360" w:lineRule="auto"/>
        <w:ind w:left="-151" w:firstLine="321"/>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维序服务检查标准</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1、乙方派驻甲方的维序领班若要更换须经甲方同意，若未经甲方同意私自更换将扣除当月服务费用</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元。乙方派驻甲方的维序人员及相关工作人员，应于每日上下班时按时进行打卡，不得冒名顶替，一经发现，扣除当月服务费</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元/人次。</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2、如因乙方维序人员未经过培训上岗导致未正确履行职责、安全隐患没有发现或处理，造成事故或人身财产安全损害的，每发生一起扣除服务费</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元/人，并赔偿实际损失。</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3、甲方有权每日对当班人数进行清点，与制定的排班表进行对照，每天每班如果缺1人，则从乙方当月服务费中扣除</w:t>
      </w:r>
      <w:r>
        <w:rPr>
          <w:rFonts w:hint="eastAsia" w:ascii="仿宋" w:hAnsi="仿宋" w:eastAsia="仿宋" w:cs="仿宋"/>
          <w:color w:val="000000" w:themeColor="text1"/>
          <w:sz w:val="32"/>
          <w:szCs w:val="32"/>
          <w:u w:val="single"/>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元，以此累加。</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4、每月若有经甲方核实有效投诉，甲方应在3个工作日内书面告知乙方整改，乙方未及时正确处理或回复的，甲方有权提出警告，每次扣除乙方当月服务费</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5、乙方维序人员要服从甲方现场管理和工作调整，对甲方依照本合同提出的管理意见和工作调整，乙方拒绝配合或故意拖延不及时配合，每次扣除乙方当月服务费</w:t>
      </w:r>
      <w:r>
        <w:rPr>
          <w:rFonts w:hint="eastAsia" w:ascii="仿宋" w:hAnsi="仿宋" w:eastAsia="仿宋" w:cs="仿宋"/>
          <w:color w:val="000000" w:themeColor="text1"/>
          <w:sz w:val="32"/>
          <w:szCs w:val="32"/>
          <w:u w:val="single"/>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6、乙方维序人员上班不得迟到、早退。每发现迟到、早退或漏打等情况，按每天每人次</w:t>
      </w:r>
      <w:r>
        <w:rPr>
          <w:rFonts w:hint="eastAsia" w:ascii="仿宋" w:hAnsi="仿宋" w:eastAsia="仿宋" w:cs="仿宋"/>
          <w:color w:val="000000" w:themeColor="text1"/>
          <w:sz w:val="32"/>
          <w:szCs w:val="32"/>
          <w:u w:val="single"/>
          <w14:textFill>
            <w14:solidFill>
              <w14:schemeClr w14:val="tx1"/>
            </w14:solidFill>
          </w14:textFill>
        </w:rPr>
        <w:t xml:space="preserve"> 200</w:t>
      </w:r>
      <w:r>
        <w:rPr>
          <w:rFonts w:hint="eastAsia" w:ascii="仿宋" w:hAnsi="仿宋" w:eastAsia="仿宋" w:cs="仿宋"/>
          <w:color w:val="000000" w:themeColor="text1"/>
          <w:sz w:val="32"/>
          <w:szCs w:val="32"/>
          <w14:textFill>
            <w14:solidFill>
              <w14:schemeClr w14:val="tx1"/>
            </w14:solidFill>
          </w14:textFill>
        </w:rPr>
        <w:t>元的标准扣除乙方当月服务费；</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7、乙方维序人员严禁酒后上岗或在岗饮酒，每发现一次扣除服务费</w:t>
      </w:r>
      <w:r>
        <w:rPr>
          <w:rFonts w:hint="eastAsia" w:ascii="仿宋" w:hAnsi="仿宋" w:eastAsia="仿宋" w:cs="仿宋"/>
          <w:color w:val="000000" w:themeColor="text1"/>
          <w:sz w:val="32"/>
          <w:szCs w:val="32"/>
          <w:u w:val="single"/>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元，如因喝酒引起事故或投诉，每次扣除服务费</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8、乙方维序人员严禁脱离工作岗位或在岗上睡觉，如出现脱岗或睡岗，每发生一次扣除乙方当月服务费</w:t>
      </w:r>
      <w:r>
        <w:rPr>
          <w:rFonts w:hint="eastAsia" w:ascii="仿宋" w:hAnsi="仿宋" w:eastAsia="仿宋" w:cs="仿宋"/>
          <w:color w:val="000000" w:themeColor="text1"/>
          <w:sz w:val="32"/>
          <w:szCs w:val="32"/>
          <w:u w:val="single"/>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9、乙方维序人员在岗上值班时，要服装整洁，仪表端正，每发生一次未按规定着装或的扣除乙方当月服务费</w:t>
      </w:r>
      <w:r>
        <w:rPr>
          <w:rFonts w:hint="eastAsia" w:ascii="仿宋" w:hAnsi="仿宋" w:eastAsia="仿宋" w:cs="仿宋"/>
          <w:color w:val="000000" w:themeColor="text1"/>
          <w:sz w:val="32"/>
          <w:szCs w:val="32"/>
          <w:u w:val="single"/>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10、乙方维序人员在不影响工作的情况下使用手机通话不得超过3分钟。严禁在岗位上做与工作无关的事情，每发生一次扣除乙方当月服务费</w:t>
      </w:r>
      <w:r>
        <w:rPr>
          <w:rFonts w:hint="eastAsia" w:ascii="仿宋" w:hAnsi="仿宋" w:eastAsia="仿宋" w:cs="仿宋"/>
          <w:color w:val="000000" w:themeColor="text1"/>
          <w:sz w:val="32"/>
          <w:szCs w:val="32"/>
          <w:u w:val="single"/>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11、乙方维序人员严禁与业主、使用人发生口角或肢体冲突，每发生一次口角扣除乙方当月服务费</w:t>
      </w:r>
      <w:r>
        <w:rPr>
          <w:rFonts w:hint="eastAsia" w:ascii="仿宋" w:hAnsi="仿宋" w:eastAsia="仿宋" w:cs="仿宋"/>
          <w:color w:val="000000" w:themeColor="text1"/>
          <w:sz w:val="32"/>
          <w:szCs w:val="32"/>
          <w:u w:val="single"/>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元，每发生一肢体冲突扣除当月服务费</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元，并开除涉事秩序员，产生的医疗费或其它实际损失全部由乙方承担。</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12、乙方维序人员要对异常人员和装修材料进行严格管控，未按要求对异常人员或装修材料等进行询问、确认、登记和监控的，日常巡查每发现一次扣除乙方当月服务费</w:t>
      </w:r>
      <w:r>
        <w:rPr>
          <w:rFonts w:hint="eastAsia" w:ascii="仿宋" w:hAnsi="仿宋" w:eastAsia="仿宋" w:cs="仿宋"/>
          <w:color w:val="000000" w:themeColor="text1"/>
          <w:sz w:val="32"/>
          <w:szCs w:val="32"/>
          <w:u w:val="single"/>
          <w14:textFill>
            <w14:solidFill>
              <w14:schemeClr w14:val="tx1"/>
            </w14:solidFill>
          </w14:textFill>
        </w:rPr>
        <w:t>200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13、乙方维序人员要严格按照甲方制定的巡逻计划进行巡逻，并做好巡逻记录，未按要求完成巡逻、随意填写记录或弄虚作假的，每检查发现一次扣除乙方当月服务费</w:t>
      </w:r>
      <w:r>
        <w:rPr>
          <w:rFonts w:hint="eastAsia" w:ascii="仿宋" w:hAnsi="仿宋" w:eastAsia="仿宋" w:cs="仿宋"/>
          <w:color w:val="000000" w:themeColor="text1"/>
          <w:sz w:val="32"/>
          <w:szCs w:val="32"/>
          <w:u w:val="single"/>
          <w14:textFill>
            <w14:solidFill>
              <w14:schemeClr w14:val="tx1"/>
            </w14:solidFill>
          </w14:textFill>
        </w:rPr>
        <w:t>200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在接到火警或警情通知后，乙方维序人员5分钟内要到达现场，协助保护现场，并及时报告。在遇到异常情况或业主紧急求助时，5分钟内赶到现场并采取相应措施。当值领班要在10分钟内到达现场，指挥处理突发事件。未能及时按突发事件处理程序处理的，每发生一次扣除乙方当月服务费</w:t>
      </w:r>
      <w:r>
        <w:rPr>
          <w:rFonts w:hint="eastAsia" w:ascii="仿宋" w:hAnsi="仿宋" w:eastAsia="仿宋" w:cs="仿宋"/>
          <w:color w:val="000000" w:themeColor="text1"/>
          <w:sz w:val="32"/>
          <w:szCs w:val="32"/>
          <w:u w:val="single"/>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元；引起业主投诉，查证属实的每次扣除乙方当月服务费</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元；给甲方或第三人造成损失的，乙方还应承担相应赔偿责任。</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乙方要加强对维序队伍的管理，保持廉洁自律作风，不得私自收受礼品或礼金，不得侵占财物；在协助甲方进行车辆管理收费活动中，实收现金要及时上交（如有），如发现私收、私占财物或侵占停车费现象，占一罚十。</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乙方维序队伍或队员不得介入项目的搬运业务，更不得支持地方势力的强买强卖活动，发现非法搬运或强买强卖现象要立即制止并向服务处报告，如发现维序队伍或队员从事或支持非法搬运和强买强卖活动，在警告的同时扣除乙方当月服务费</w:t>
      </w:r>
      <w:r>
        <w:rPr>
          <w:rFonts w:hint="eastAsia" w:ascii="仿宋" w:hAnsi="仿宋" w:eastAsia="仿宋" w:cs="仿宋"/>
          <w:color w:val="000000" w:themeColor="text1"/>
          <w:sz w:val="32"/>
          <w:szCs w:val="32"/>
          <w:u w:val="single"/>
          <w14:textFill>
            <w14:solidFill>
              <w14:schemeClr w14:val="tx1"/>
            </w14:solidFill>
          </w14:textFill>
        </w:rPr>
        <w:t>10000</w:t>
      </w:r>
      <w:r>
        <w:rPr>
          <w:rFonts w:hint="eastAsia" w:ascii="仿宋" w:hAnsi="仿宋" w:eastAsia="仿宋" w:cs="仿宋"/>
          <w:color w:val="000000" w:themeColor="text1"/>
          <w:sz w:val="32"/>
          <w:szCs w:val="32"/>
          <w14:textFill>
            <w14:solidFill>
              <w14:schemeClr w14:val="tx1"/>
            </w14:solidFill>
          </w14:textFill>
        </w:rPr>
        <w:t>元，如事情严重或造成甲方名誉损失的，甲方有权单方解除合同，停止维序服务。</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17、乙方要加强对维序队伍的管理，保持良好的工作状态，严格按安全防范工作要求，完成安全管理工作内容，确保管理区域内不发生入室盗窃案件。如管理区域内发生入室盗窃案件但不能提供巡逻记录和视频的扣</w:t>
      </w:r>
      <w:r>
        <w:rPr>
          <w:rFonts w:hint="eastAsia" w:ascii="仿宋" w:hAnsi="仿宋" w:eastAsia="仿宋" w:cs="仿宋"/>
          <w:color w:val="000000" w:themeColor="text1"/>
          <w:sz w:val="32"/>
          <w:szCs w:val="32"/>
          <w:u w:val="single"/>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元；因管理失职给甲方或第三人造成的损失，乙方还应承担相应赔偿。</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服务期内，甲方有权对乙方秩序维护服务进行业主满意度调研，进场日期在当月15日之前的，则甲方在次月对乙方秩序维护服务进行业主满意度调研，进场日期在当月15日之后的，则甲方在次次月对乙方秩序维护服务进行业主满意度调研。每月秩序维护服务模块业主满意度得分低于</w:t>
      </w:r>
      <w:r>
        <w:rPr>
          <w:rFonts w:hint="eastAsia" w:ascii="仿宋" w:hAnsi="仿宋" w:eastAsia="仿宋" w:cs="仿宋"/>
          <w:color w:val="000000" w:themeColor="text1"/>
          <w:sz w:val="32"/>
          <w:szCs w:val="32"/>
          <w:u w:val="single"/>
          <w14:textFill>
            <w14:solidFill>
              <w14:schemeClr w14:val="tx1"/>
            </w14:solidFill>
          </w14:textFill>
        </w:rPr>
        <w:t xml:space="preserve"> 85 </w:t>
      </w:r>
      <w:r>
        <w:rPr>
          <w:rFonts w:hint="eastAsia" w:ascii="仿宋" w:hAnsi="仿宋" w:eastAsia="仿宋" w:cs="仿宋"/>
          <w:color w:val="000000" w:themeColor="text1"/>
          <w:sz w:val="32"/>
          <w:szCs w:val="32"/>
          <w14:textFill>
            <w14:solidFill>
              <w14:schemeClr w14:val="tx1"/>
            </w14:solidFill>
          </w14:textFill>
        </w:rPr>
        <w:t>分的，每少1分相应扣减当月秩序维护服务费</w:t>
      </w:r>
      <w:r>
        <w:rPr>
          <w:rFonts w:hint="eastAsia" w:ascii="仿宋" w:hAnsi="仿宋" w:eastAsia="仿宋" w:cs="仿宋"/>
          <w:color w:val="000000" w:themeColor="text1"/>
          <w:sz w:val="32"/>
          <w:szCs w:val="32"/>
          <w:u w:val="single"/>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元。</w:t>
      </w:r>
    </w:p>
    <w:p>
      <w:pPr>
        <w:widowControl/>
        <w:spacing w:before="156" w:after="156" w:line="480" w:lineRule="exact"/>
        <w:ind w:left="-151" w:firstLine="640" w:firstLineChars="200"/>
        <w:jc w:val="left"/>
        <w:rPr>
          <w:rFonts w:hint="eastAsia" w:ascii="仿宋" w:hAnsi="仿宋" w:eastAsia="仿宋" w:cs="仿宋"/>
          <w:color w:val="000000" w:themeColor="text1"/>
          <w:sz w:val="32"/>
          <w:szCs w:val="32"/>
          <w14:textFill>
            <w14:solidFill>
              <w14:schemeClr w14:val="tx1"/>
            </w14:solidFill>
          </w14:textFill>
        </w:rPr>
        <w:sectPr>
          <w:pgSz w:w="11906" w:h="16838"/>
          <w:pgMar w:top="1701" w:right="1701" w:bottom="1701" w:left="1701" w:header="851" w:footer="992" w:gutter="0"/>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19、根据本项目物业管理方上属集团第三方神秘客户每季度的暗访物业维度得分抽样检查结果，乙方秩序维护服务单模块得分低于</w:t>
      </w:r>
      <w:r>
        <w:rPr>
          <w:rFonts w:hint="eastAsia" w:ascii="仿宋" w:hAnsi="仿宋" w:eastAsia="仿宋" w:cs="仿宋"/>
          <w:color w:val="000000" w:themeColor="text1"/>
          <w:sz w:val="32"/>
          <w:szCs w:val="32"/>
          <w:u w:val="single"/>
          <w14:textFill>
            <w14:solidFill>
              <w14:schemeClr w14:val="tx1"/>
            </w14:solidFill>
          </w14:textFill>
        </w:rPr>
        <w:t>项目总体得分</w:t>
      </w:r>
      <w:r>
        <w:rPr>
          <w:rFonts w:hint="eastAsia" w:ascii="仿宋" w:hAnsi="仿宋" w:eastAsia="仿宋" w:cs="仿宋"/>
          <w:color w:val="000000" w:themeColor="text1"/>
          <w:sz w:val="32"/>
          <w:szCs w:val="32"/>
          <w14:textFill>
            <w14:solidFill>
              <w14:schemeClr w14:val="tx1"/>
            </w14:solidFill>
          </w14:textFill>
        </w:rPr>
        <w:t>的（根据项目年度考核指标确定具体分值），每低1分扣除当月秩序维护服务费</w:t>
      </w:r>
      <w:r>
        <w:rPr>
          <w:rFonts w:hint="eastAsia" w:ascii="仿宋" w:hAnsi="仿宋" w:eastAsia="仿宋" w:cs="仿宋"/>
          <w:color w:val="000000" w:themeColor="text1"/>
          <w:sz w:val="32"/>
          <w:szCs w:val="32"/>
          <w:u w:val="single"/>
          <w14:textFill>
            <w14:solidFill>
              <w14:schemeClr w14:val="tx1"/>
            </w14:solidFill>
          </w14:textFill>
        </w:rPr>
        <w:t xml:space="preserve"> 100 </w:t>
      </w:r>
      <w:r>
        <w:rPr>
          <w:rFonts w:hint="eastAsia" w:ascii="仿宋" w:hAnsi="仿宋" w:eastAsia="仿宋" w:cs="仿宋"/>
          <w:color w:val="000000" w:themeColor="text1"/>
          <w:sz w:val="32"/>
          <w:szCs w:val="32"/>
          <w14:textFill>
            <w14:solidFill>
              <w14:schemeClr w14:val="tx1"/>
            </w14:solidFill>
          </w14:textFill>
        </w:rPr>
        <w:t>元。</w:t>
      </w:r>
    </w:p>
    <w:p>
      <w:pPr>
        <w:spacing w:before="157" w:after="157" w:line="360" w:lineRule="auto"/>
        <w:ind w:left="-151"/>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合同附件五</w:t>
      </w:r>
    </w:p>
    <w:p>
      <w:pPr>
        <w:spacing w:before="157" w:after="157" w:line="360" w:lineRule="auto"/>
        <w:ind w:left="-151" w:firstLine="321"/>
        <w:jc w:val="center"/>
        <w:rPr>
          <w:rFonts w:hint="eastAsia" w:ascii="仿宋" w:hAnsi="仿宋" w:eastAsia="仿宋" w:cs="仿宋"/>
          <w:b/>
          <w:bCs/>
          <w:color w:val="000000" w:themeColor="text1"/>
          <w:sz w:val="32"/>
          <w:szCs w:val="32"/>
          <w:lang w:val="zh-TW" w:eastAsia="zh-TW"/>
          <w14:textFill>
            <w14:solidFill>
              <w14:schemeClr w14:val="tx1"/>
            </w14:solidFill>
          </w14:textFill>
        </w:rPr>
      </w:pPr>
      <w:bookmarkStart w:id="438" w:name="_Toc3472"/>
      <w:r>
        <w:rPr>
          <w:rFonts w:hint="eastAsia" w:ascii="仿宋" w:hAnsi="仿宋" w:eastAsia="仿宋" w:cs="仿宋"/>
          <w:b/>
          <w:bCs/>
          <w:color w:val="000000" w:themeColor="text1"/>
          <w:sz w:val="32"/>
          <w:szCs w:val="32"/>
          <w14:textFill>
            <w14:solidFill>
              <w14:schemeClr w14:val="tx1"/>
            </w14:solidFill>
          </w14:textFill>
        </w:rPr>
        <w:t>项目</w:t>
      </w:r>
      <w:r>
        <w:rPr>
          <w:rFonts w:hint="eastAsia" w:ascii="仿宋" w:hAnsi="仿宋" w:eastAsia="仿宋" w:cs="仿宋"/>
          <w:b/>
          <w:bCs/>
          <w:color w:val="000000" w:themeColor="text1"/>
          <w:sz w:val="32"/>
          <w:szCs w:val="32"/>
          <w:lang w:val="zh-TW"/>
          <w14:textFill>
            <w14:solidFill>
              <w14:schemeClr w14:val="tx1"/>
            </w14:solidFill>
          </w14:textFill>
        </w:rPr>
        <w:t>维序</w:t>
      </w:r>
      <w:r>
        <w:rPr>
          <w:rFonts w:hint="eastAsia" w:ascii="仿宋" w:hAnsi="仿宋" w:eastAsia="仿宋" w:cs="仿宋"/>
          <w:b/>
          <w:bCs/>
          <w:color w:val="000000" w:themeColor="text1"/>
          <w:sz w:val="32"/>
          <w:szCs w:val="32"/>
          <w:lang w:val="zh-TW" w:eastAsia="zh-TW"/>
          <w14:textFill>
            <w14:solidFill>
              <w14:schemeClr w14:val="tx1"/>
            </w14:solidFill>
          </w14:textFill>
        </w:rPr>
        <w:t>服务</w:t>
      </w:r>
      <w:r>
        <w:rPr>
          <w:rFonts w:hint="eastAsia" w:ascii="仿宋" w:hAnsi="仿宋" w:eastAsia="仿宋" w:cs="仿宋"/>
          <w:b/>
          <w:bCs/>
          <w:color w:val="000000" w:themeColor="text1"/>
          <w:sz w:val="32"/>
          <w:szCs w:val="32"/>
          <w14:textFill>
            <w14:solidFill>
              <w14:schemeClr w14:val="tx1"/>
            </w14:solidFill>
          </w14:textFill>
        </w:rPr>
        <w:t>品质</w:t>
      </w:r>
      <w:r>
        <w:rPr>
          <w:rFonts w:hint="eastAsia" w:ascii="仿宋" w:hAnsi="仿宋" w:eastAsia="仿宋" w:cs="仿宋"/>
          <w:b/>
          <w:bCs/>
          <w:color w:val="000000" w:themeColor="text1"/>
          <w:sz w:val="32"/>
          <w:szCs w:val="32"/>
          <w:lang w:val="zh-TW" w:eastAsia="zh-TW"/>
          <w14:textFill>
            <w14:solidFill>
              <w14:schemeClr w14:val="tx1"/>
            </w14:solidFill>
          </w14:textFill>
        </w:rPr>
        <w:t>检查考核表</w:t>
      </w:r>
    </w:p>
    <w:tbl>
      <w:tblPr>
        <w:tblStyle w:val="19"/>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660"/>
        <w:gridCol w:w="4111"/>
        <w:gridCol w:w="2409"/>
        <w:gridCol w:w="709"/>
        <w:gridCol w:w="54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55" w:type="dxa"/>
            <w:vAlign w:val="center"/>
          </w:tcPr>
          <w:p>
            <w:pPr>
              <w:widowControl/>
              <w:spacing w:before="157" w:after="157"/>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检查</w:t>
            </w:r>
          </w:p>
          <w:p>
            <w:pPr>
              <w:widowControl/>
              <w:spacing w:before="157" w:after="157"/>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类别</w:t>
            </w:r>
          </w:p>
        </w:tc>
        <w:tc>
          <w:tcPr>
            <w:tcW w:w="3660" w:type="dxa"/>
            <w:vAlign w:val="center"/>
          </w:tcPr>
          <w:p>
            <w:pPr>
              <w:widowControl/>
              <w:spacing w:before="157" w:after="157"/>
              <w:ind w:left="-151" w:firstLine="281"/>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检查内容</w:t>
            </w:r>
          </w:p>
        </w:tc>
        <w:tc>
          <w:tcPr>
            <w:tcW w:w="4111" w:type="dxa"/>
            <w:vAlign w:val="center"/>
          </w:tcPr>
          <w:p>
            <w:pPr>
              <w:widowControl/>
              <w:spacing w:before="157" w:after="157"/>
              <w:ind w:left="-151" w:firstLine="281"/>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检查标准及方法</w:t>
            </w:r>
          </w:p>
        </w:tc>
        <w:tc>
          <w:tcPr>
            <w:tcW w:w="2409" w:type="dxa"/>
            <w:vAlign w:val="center"/>
          </w:tcPr>
          <w:p>
            <w:pPr>
              <w:widowControl/>
              <w:spacing w:before="157" w:after="157"/>
              <w:ind w:left="-151" w:firstLine="281"/>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评分标准</w:t>
            </w:r>
          </w:p>
        </w:tc>
        <w:tc>
          <w:tcPr>
            <w:tcW w:w="709" w:type="dxa"/>
            <w:vAlign w:val="center"/>
          </w:tcPr>
          <w:p>
            <w:pPr>
              <w:widowControl/>
              <w:spacing w:before="157" w:after="157"/>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分值</w:t>
            </w:r>
          </w:p>
        </w:tc>
        <w:tc>
          <w:tcPr>
            <w:tcW w:w="541" w:type="dxa"/>
            <w:vAlign w:val="center"/>
          </w:tcPr>
          <w:p>
            <w:pPr>
              <w:widowControl/>
              <w:spacing w:before="157" w:after="157"/>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得分</w:t>
            </w:r>
          </w:p>
        </w:tc>
        <w:tc>
          <w:tcPr>
            <w:tcW w:w="1302" w:type="dxa"/>
            <w:vAlign w:val="center"/>
          </w:tcPr>
          <w:p>
            <w:pPr>
              <w:widowControl/>
              <w:spacing w:before="157" w:after="157"/>
              <w:ind w:left="-151"/>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TW"/>
                <w14:textFill>
                  <w14:solidFill>
                    <w14:schemeClr w14:val="tx1"/>
                  </w14:solidFill>
                </w14:textFill>
              </w:rPr>
              <w:t>事实记录（要点）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5" w:type="dxa"/>
            <w:vMerge w:val="restart"/>
            <w:vAlign w:val="center"/>
          </w:tcPr>
          <w:p>
            <w:pPr>
              <w:widowControl/>
              <w:spacing w:before="157" w:after="157"/>
              <w:ind w:left="-151"/>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交接班和备勤管理</w:t>
            </w:r>
          </w:p>
        </w:tc>
        <w:tc>
          <w:tcPr>
            <w:tcW w:w="3660"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岗位交接班：集合、</w:t>
            </w:r>
            <w:r>
              <w:rPr>
                <w:rFonts w:hint="eastAsia" w:ascii="仿宋" w:hAnsi="仿宋" w:eastAsia="仿宋" w:cs="仿宋"/>
                <w:color w:val="000000" w:themeColor="text1"/>
                <w:kern w:val="0"/>
                <w:sz w:val="28"/>
                <w:szCs w:val="28"/>
                <w:lang w:eastAsia="zh-TW"/>
                <w14:textFill>
                  <w14:solidFill>
                    <w14:schemeClr w14:val="tx1"/>
                  </w14:solidFill>
                </w14:textFill>
              </w:rPr>
              <w:t>列队入园</w:t>
            </w:r>
            <w:r>
              <w:rPr>
                <w:rFonts w:hint="eastAsia" w:ascii="仿宋" w:hAnsi="仿宋" w:eastAsia="仿宋" w:cs="仿宋"/>
                <w:color w:val="000000" w:themeColor="text1"/>
                <w:kern w:val="0"/>
                <w:sz w:val="28"/>
                <w:szCs w:val="28"/>
                <w14:textFill>
                  <w14:solidFill>
                    <w14:schemeClr w14:val="tx1"/>
                  </w14:solidFill>
                </w14:textFill>
              </w:rPr>
              <w:t>、班前会、逐岗交接、集合、班后会、列队带回。</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观察</w:t>
            </w:r>
            <w:r>
              <w:rPr>
                <w:rFonts w:hint="eastAsia" w:ascii="仿宋" w:hAnsi="仿宋" w:eastAsia="仿宋" w:cs="仿宋"/>
                <w:color w:val="000000" w:themeColor="text1"/>
                <w:kern w:val="0"/>
                <w:sz w:val="28"/>
                <w:szCs w:val="28"/>
                <w:lang w:eastAsia="zh-TW"/>
                <w14:textFill>
                  <w14:solidFill>
                    <w14:schemeClr w14:val="tx1"/>
                  </w14:solidFill>
                </w14:textFill>
              </w:rPr>
              <w:t>岗位交接班流程是否按照规定进行</w:t>
            </w:r>
          </w:p>
        </w:tc>
        <w:tc>
          <w:tcPr>
            <w:tcW w:w="24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lang w:eastAsia="zh-TW"/>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不符合</w:t>
            </w:r>
          </w:p>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highlight w:val="yellow"/>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标准化班组会</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eastAsia="zh-TW"/>
                <w14:textFill>
                  <w14:solidFill>
                    <w14:schemeClr w14:val="tx1"/>
                  </w14:solidFill>
                </w14:textFill>
              </w:rPr>
              <w:t>维序员岗前15分钟到岗、集合，进行专项检查和训练</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调取项目日常晨会视频</w:t>
            </w:r>
            <w:r>
              <w:rPr>
                <w:rFonts w:hint="eastAsia" w:ascii="仿宋" w:hAnsi="仿宋" w:eastAsia="仿宋" w:cs="仿宋"/>
                <w:color w:val="000000" w:themeColor="text1"/>
                <w:kern w:val="0"/>
                <w:sz w:val="28"/>
                <w:szCs w:val="28"/>
                <w14:textFill>
                  <w14:solidFill>
                    <w14:schemeClr w14:val="tx1"/>
                  </w14:solidFill>
                </w14:textFill>
              </w:rPr>
              <w:t>，5分钟形体礼仪，5分钟训练及5分钟工作安排。</w:t>
            </w:r>
          </w:p>
        </w:tc>
        <w:tc>
          <w:tcPr>
            <w:tcW w:w="24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lang w:eastAsia="zh-TW"/>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不符合</w:t>
            </w:r>
          </w:p>
          <w:p>
            <w:pPr>
              <w:widowControl/>
              <w:spacing w:before="157" w:after="157"/>
              <w:ind w:left="-151" w:firstLine="280"/>
              <w:jc w:val="center"/>
              <w:rPr>
                <w:rFonts w:hint="eastAsia" w:ascii="仿宋" w:hAnsi="仿宋" w:eastAsia="仿宋" w:cs="仿宋"/>
                <w:color w:val="000000" w:themeColor="text1"/>
                <w:kern w:val="0"/>
                <w:sz w:val="28"/>
                <w:szCs w:val="28"/>
                <w:lang w:eastAsia="zh-TW"/>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highlight w:val="yellow"/>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交接时接班队员首先清点物品（对讲机、警用器材、锁匙和灭火器等），如发现缺损应要求上一班人员说明物品去向，在《维序岗位值班记录》中做好记录并上报当值中队长/班长。班长签字确认。</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抽查岗位交接班记录表是否按要求落实。</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highlight w:val="yellow"/>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岗位配置警用物品摆放整齐有序，桌面、座椅干净无灰尘、无杂物。</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抽查2个岗位、检查是否有物品清单。</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1项不符合扣0.5分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0"/>
              <w:jc w:val="both"/>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集体宿舍内配置紧急联系设施（如：电话、警铃和对讲机等）</w:t>
            </w:r>
          </w:p>
        </w:tc>
        <w:tc>
          <w:tcPr>
            <w:tcW w:w="4111" w:type="dxa"/>
            <w:vMerge w:val="restart"/>
            <w:vAlign w:val="center"/>
          </w:tcPr>
          <w:p>
            <w:pPr>
              <w:widowControl/>
              <w:spacing w:before="157" w:after="157"/>
              <w:ind w:firstLine="280" w:firstLineChars="1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查看宿舍现场。</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每季度至少组织开展一次备勤秩序维护员紧急集合训练。</w:t>
            </w:r>
          </w:p>
        </w:tc>
        <w:tc>
          <w:tcPr>
            <w:tcW w:w="4111" w:type="dxa"/>
            <w:vAlign w:val="center"/>
          </w:tcPr>
          <w:p>
            <w:pPr>
              <w:widowControl/>
              <w:spacing w:before="157" w:after="157"/>
              <w:ind w:firstLine="280" w:firstLineChars="1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查看紧急集合训练记录。</w:t>
            </w:r>
          </w:p>
        </w:tc>
        <w:tc>
          <w:tcPr>
            <w:tcW w:w="2409" w:type="dxa"/>
            <w:vAlign w:val="center"/>
          </w:tcPr>
          <w:p>
            <w:pPr>
              <w:widowControl/>
              <w:spacing w:before="157" w:after="157"/>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不符合不得分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restart"/>
            <w:vAlign w:val="center"/>
          </w:tcPr>
          <w:p>
            <w:pPr>
              <w:widowControl/>
              <w:spacing w:before="157" w:after="157"/>
              <w:ind w:left="210" w:leftChars="1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门禁管理</w:t>
            </w:r>
          </w:p>
        </w:tc>
        <w:tc>
          <w:tcPr>
            <w:tcW w:w="3660" w:type="dxa"/>
            <w:vMerge w:val="restart"/>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维序员仪容仪表符合公司BI要求。接触客户过程中举止端庄大方，礼貌用语，做到请字开头，谢字不离口。保持门禁常闭状态，对进出人员要有管控措施。</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1、观察3组来访客人，岗位是否主动微笑问好、礼貌问明来意，有效控制外来人员，经与业主确认后，对来访人员应进行登记管理。观察岗位有无随意对未带IC卡或APP一键的客户开门。</w:t>
            </w:r>
          </w:p>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2、遇到业主搬运大件物品，能主动提供便民推车或者通知巡逻岗帮助其搬运。</w:t>
            </w:r>
          </w:p>
        </w:tc>
        <w:tc>
          <w:tcPr>
            <w:tcW w:w="2409"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1组不符合扣3分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3、抽查门禁是否全天24小时处于关闭状态。</w:t>
            </w:r>
          </w:p>
        </w:tc>
        <w:tc>
          <w:tcPr>
            <w:tcW w:w="2409" w:type="dxa"/>
            <w:vAlign w:val="center"/>
          </w:tcPr>
          <w:p>
            <w:pPr>
              <w:widowControl/>
              <w:spacing w:before="157" w:after="157"/>
              <w:ind w:left="-151"/>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施工人员/供方人员登记管理，核查证件</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1、查看出入口岗对临时施工、物业服务供方等人员的进出是否实行登记。 2、询问2个岗位维序员在检查出入证时应核对哪些要求。</w:t>
            </w:r>
          </w:p>
        </w:tc>
        <w:tc>
          <w:tcPr>
            <w:tcW w:w="2409" w:type="dxa"/>
            <w:vMerge w:val="restart"/>
            <w:vAlign w:val="center"/>
          </w:tcPr>
          <w:p>
            <w:pPr>
              <w:widowControl/>
              <w:spacing w:before="157" w:after="157"/>
              <w:ind w:left="-151"/>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1项不符合扣分，3项以上不得分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3、观察小区内装修施工等经常出入的人员应凭证出入。</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4、查看服务区域内政府配套公共设备、设施施工，施工人员记录。</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5、抽查供方服务人员进入管理服务区域，是否穿制服、佩带工作证。</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熟悉大件物资放行流程，按流程执行管理和记录</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1、询问岗位对大件物品放行流程。 2、查看岗位《大件物资放行条》是否有值班人员签字确认。</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restart"/>
            <w:vAlign w:val="center"/>
          </w:tcPr>
          <w:p>
            <w:pPr>
              <w:widowControl/>
              <w:spacing w:before="157" w:after="157"/>
              <w:ind w:left="-151" w:firstLine="280" w:firstLineChars="1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日常</w:t>
            </w:r>
          </w:p>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巡逻</w:t>
            </w:r>
          </w:p>
        </w:tc>
        <w:tc>
          <w:tcPr>
            <w:tcW w:w="3660"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巡逻路线</w:t>
            </w: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1、查看是否设定2套以上巡逻方案，建立有《维序巡逻路线控制清单》。</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2、抽查巡逻岗在巡逻周期内，是否对园区全面巡逻一次，发现问题并有详细记录。</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每天夜间23：00至次日7:00，巡逻岗每1小时需在</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kern w:val="0"/>
                <w:sz w:val="28"/>
                <w:szCs w:val="28"/>
                <w:lang w:eastAsia="zh-TW"/>
                <w14:textFill>
                  <w14:solidFill>
                    <w14:schemeClr w14:val="tx1"/>
                  </w14:solidFill>
                </w14:textFill>
              </w:rPr>
              <w:t>监控摄像范围内向监控中心报岗1次。</w:t>
            </w: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查看监控中心记录表。</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1次不符合扣1分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巡逻过程中，对地面上的烟头、纸屑等垃圾做到“人过地净”，对于大面积垃圾污染或油污等情况，要及时通知客服前台或相关部门处理。遇到</w:t>
            </w:r>
            <w:r>
              <w:rPr>
                <w:rFonts w:hint="eastAsia" w:ascii="仿宋" w:hAnsi="仿宋" w:eastAsia="仿宋" w:cs="仿宋"/>
                <w:color w:val="000000" w:themeColor="text1"/>
                <w:kern w:val="0"/>
                <w:sz w:val="28"/>
                <w:szCs w:val="28"/>
                <w14:textFill>
                  <w14:solidFill>
                    <w14:schemeClr w14:val="tx1"/>
                  </w14:solidFill>
                </w14:textFill>
              </w:rPr>
              <w:t>业主</w:t>
            </w:r>
            <w:r>
              <w:rPr>
                <w:rFonts w:hint="eastAsia" w:ascii="仿宋" w:hAnsi="仿宋" w:eastAsia="仿宋" w:cs="仿宋"/>
                <w:color w:val="000000" w:themeColor="text1"/>
                <w:kern w:val="0"/>
                <w:sz w:val="28"/>
                <w:szCs w:val="28"/>
                <w:lang w:eastAsia="zh-TW"/>
                <w14:textFill>
                  <w14:solidFill>
                    <w14:schemeClr w14:val="tx1"/>
                  </w14:solidFill>
                </w14:textFill>
              </w:rPr>
              <w:t>应主动礼让并主动问候或点头示意</w:t>
            </w:r>
            <w:r>
              <w:rPr>
                <w:rFonts w:hint="eastAsia" w:ascii="仿宋" w:hAnsi="仿宋" w:eastAsia="仿宋" w:cs="仿宋"/>
                <w:color w:val="000000" w:themeColor="text1"/>
                <w:kern w:val="0"/>
                <w:sz w:val="28"/>
                <w:szCs w:val="28"/>
                <w14:textFill>
                  <w14:solidFill>
                    <w14:schemeClr w14:val="tx1"/>
                  </w14:solidFill>
                </w14:textFill>
              </w:rPr>
              <w:t>。</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观察岗位是否按“人过地净”落实</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eastAsia="zh-TW"/>
                <w14:textFill>
                  <w14:solidFill>
                    <w14:schemeClr w14:val="tx1"/>
                  </w14:solidFill>
                </w14:textFill>
              </w:rPr>
              <w:t>遇到业主是否主动问候或点头示意</w:t>
            </w:r>
            <w:r>
              <w:rPr>
                <w:rFonts w:hint="eastAsia" w:ascii="仿宋" w:hAnsi="仿宋" w:eastAsia="仿宋" w:cs="仿宋"/>
                <w:color w:val="000000" w:themeColor="text1"/>
                <w:kern w:val="0"/>
                <w:sz w:val="28"/>
                <w:szCs w:val="28"/>
                <w14:textFill>
                  <w14:solidFill>
                    <w14:schemeClr w14:val="tx1"/>
                  </w14:solidFill>
                </w14:textFill>
              </w:rPr>
              <w:t>。</w:t>
            </w:r>
          </w:p>
        </w:tc>
        <w:tc>
          <w:tcPr>
            <w:tcW w:w="24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不符合不得分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巡逻时通过巡更棒、扫描二维码或手工等形式进行巡逻签到，巡逻完毕后认真填写《维序巡逻记录》，巡逻记录详细完整，包括但不限于巡逻情况，发现的问题，事件处理经过等。</w:t>
            </w: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查看《维序巡逻记录》。</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抽查2处以上不符合不得分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检查围栏、围墙上方物防设施是否有损坏，小区周界及围墙是否有可疑人员或堆放易于攀爬的物品。</w:t>
            </w: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查看、测试。</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不符合1项扣1分，2处以上不得分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每天对周界系统进行检查，发现问题及时报修，遇有不能立即解决的问题时，应立即上报。</w:t>
            </w:r>
          </w:p>
        </w:tc>
        <w:tc>
          <w:tcPr>
            <w:tcW w:w="4111" w:type="dxa"/>
            <w:vAlign w:val="center"/>
          </w:tcPr>
          <w:p>
            <w:pPr>
              <w:widowControl/>
              <w:spacing w:before="157" w:after="157"/>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抽查巡查记录和报修记录。</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不符合1项扣1分，2处以上不得分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检查公共设施如公共信息栏、广告牌、灯箱、高脚架等是否牢固，发现问题及时报修。</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现场查看相关设施及巡查、报修记录。</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不符合1处扣0.5分，出现3处以上不得分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restart"/>
            <w:vAlign w:val="center"/>
          </w:tcPr>
          <w:p>
            <w:pPr>
              <w:widowControl/>
              <w:spacing w:before="157" w:after="157"/>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整装</w:t>
            </w:r>
          </w:p>
          <w:p>
            <w:pPr>
              <w:widowControl/>
              <w:spacing w:before="157" w:after="157"/>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巡逻</w:t>
            </w:r>
          </w:p>
        </w:tc>
        <w:tc>
          <w:tcPr>
            <w:tcW w:w="3660"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维序巡逻岗位配置标准</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1、观察整装巡逻的最低人数为2人。 2、观察巡逻岗是否按配置要求落实，如：防暴背心、防暴头盔、防爆警棍、防暴手电和对讲机等。</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一项不符合扣1分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维序巡逻管理要求</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1、抽查监控录像是否巡逻每天进行1次。</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一项不符合扣2分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2、抽查监控录像是否按巡逻路线进行巡逻。</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55"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异常情况处置</w:t>
            </w:r>
          </w:p>
        </w:tc>
        <w:tc>
          <w:tcPr>
            <w:tcW w:w="3660" w:type="dxa"/>
            <w:vMerge w:val="restart"/>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暴风雨来临前需检查防汛物资储备情况，如防汛沙袋、潜水泵、应急照明等</w:t>
            </w:r>
          </w:p>
        </w:tc>
        <w:tc>
          <w:tcPr>
            <w:tcW w:w="4111"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1、查看物资储备清单。</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1项不符合扣1分，2项以上不得分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2、查看有无配置防汛沙袋。</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3、查看储备的潜水泵。</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4、查看应急照明是否能正常使用。</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异常情况接报3分钟赶到现场，熟悉处置流程</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1、测试是否在3分钟内有维序员赶到现场，在行进中降低自身发出的音量，对现场人员进行盘查。</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1项不符合扣3分，2项以上不得分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2、测试当值巡逻员是否按应急预案要求时间内携带相关器材赶赴现场处理。</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3、观察到达现场后，是否检查报警区域及周边异常情况并及时反馈。</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安防智能系统/设备管理</w:t>
            </w:r>
          </w:p>
        </w:tc>
        <w:tc>
          <w:tcPr>
            <w:tcW w:w="3660"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门禁控制</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1、询问门禁配有密码开启功能，除系统管理员外，其他人员不得使用。</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一项不符合扣2分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2、查看《维序岗位值班记录》是否有故障记录及报修记录。</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周界防范系统（红外、电子脉冲）</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1、测试是否设防，无盲区和死角，并具备防拆、防破坏功能。</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1项不符合扣2分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2、查看每天是否有对周界报警系统的设防情况进行一次测试。</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3、周界报警系统安装区域要安装监控摄像头予以辅助。</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55"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消防</w:t>
            </w:r>
          </w:p>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管理</w:t>
            </w:r>
          </w:p>
        </w:tc>
        <w:tc>
          <w:tcPr>
            <w:tcW w:w="3660"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消防设备设施台账</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1、查看消防设备设施台账类别清晰，内容完整。</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2、抽查台账所列2处物资应与现场一致。</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消防通道</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1、查看消防通道无堆放杂物，畅通、无阻碍物和无不符合消防规定的门等设施。</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1项不符合扣1分，2项以上不得分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2、检查2条消防通道是否符合公司要求。</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消防设施设备</w:t>
            </w: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1、查看消防设备设施完好无损，可随时启用，严禁挪作他用。</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1项不符合扣分，3项以上不得分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2、查看项目消防物资配备情况，如：消防斧头、消防扳手、铁撬、铁锤等消防工具，以及警戒带、医疗箱及常用医药、防烟防毒工具等。 </w:t>
            </w:r>
            <w:r>
              <w:rPr>
                <w:rFonts w:hint="eastAsia" w:ascii="仿宋" w:hAnsi="仿宋" w:eastAsia="仿宋" w:cs="仿宋"/>
                <w:color w:val="000000" w:themeColor="text1"/>
                <w:kern w:val="0"/>
                <w:sz w:val="28"/>
                <w:szCs w:val="28"/>
                <w14:textFill>
                  <w14:solidFill>
                    <w14:schemeClr w14:val="tx1"/>
                  </w14:solidFill>
                </w14:textFill>
              </w:rPr>
              <w:br w:type="textWrapping"/>
            </w:r>
            <w:r>
              <w:rPr>
                <w:rFonts w:hint="eastAsia" w:ascii="仿宋" w:hAnsi="仿宋" w:eastAsia="仿宋" w:cs="仿宋"/>
                <w:color w:val="000000" w:themeColor="text1"/>
                <w:kern w:val="0"/>
                <w:sz w:val="28"/>
                <w:szCs w:val="28"/>
                <w14:textFill>
                  <w14:solidFill>
                    <w14:schemeClr w14:val="tx1"/>
                  </w14:solidFill>
                </w14:textFill>
              </w:rPr>
              <w:t>3、抽查消防设施是否定期进行检查，并保存相关记录。</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4、目测消防工具柜是否符合公司要求，并对相关记录进行检查。</w:t>
            </w:r>
          </w:p>
        </w:tc>
        <w:tc>
          <w:tcPr>
            <w:tcW w:w="24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重点区域</w:t>
            </w:r>
          </w:p>
        </w:tc>
        <w:tc>
          <w:tcPr>
            <w:tcW w:w="4111" w:type="dxa"/>
            <w:vMerge w:val="restart"/>
            <w:vAlign w:val="center"/>
          </w:tcPr>
          <w:p>
            <w:pPr>
              <w:widowControl/>
              <w:spacing w:before="157" w:after="157"/>
              <w:ind w:left="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1、检查燃油（气）罐储备是否隔离管理，区域内有严禁烟火醒目标识，配置足够灭火器材。</w:t>
            </w:r>
          </w:p>
        </w:tc>
        <w:tc>
          <w:tcPr>
            <w:tcW w:w="2409"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1项不符合扣2分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义务消防队</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1、查看是否成立义务消防队。2、查看义务消防队员花名册是否及时更新。</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55"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夜间值班管理</w:t>
            </w:r>
          </w:p>
        </w:tc>
        <w:tc>
          <w:tcPr>
            <w:tcW w:w="3660"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监控岗位夜间值班情况</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1、抽查2个岗位3段值班情况，是否精神状态良好、无脱岗、睡岗。</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1项不符合扣2分，2项以上不得分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夜间查岗情况</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1、乙方领班应每天对秩序员夜间值班情况进行巡查并记录。查</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kern w:val="0"/>
                <w:sz w:val="28"/>
                <w:szCs w:val="28"/>
                <w:lang w:eastAsia="zh-TW"/>
                <w14:textFill>
                  <w14:solidFill>
                    <w14:schemeClr w14:val="tx1"/>
                  </w14:solidFill>
                </w14:textFill>
              </w:rPr>
              <w:t>看记录或照片是否按频次要求落实。</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1次不符合扣1分,3次以上本次不得分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55"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危险源风险评价</w:t>
            </w:r>
          </w:p>
        </w:tc>
        <w:tc>
          <w:tcPr>
            <w:tcW w:w="3660"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危险源辨识、风险评价和风险控制的评审、更新</w:t>
            </w: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查看《危险源辨识/评价清单》、《重大危险源控制清单》清单。</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155"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知识技能训练</w:t>
            </w:r>
          </w:p>
        </w:tc>
        <w:tc>
          <w:tcPr>
            <w:tcW w:w="3660"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1、乙方应为项目制定年度训练计划，分解到月。</w:t>
            </w:r>
          </w:p>
          <w:p>
            <w:pPr>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每月28日前制定下月度的训练计划，含应急预案演练。</w:t>
            </w:r>
          </w:p>
          <w:p>
            <w:pPr>
              <w:spacing w:before="157" w:after="157"/>
              <w:ind w:left="0" w:firstLine="0" w:firstLine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3、按计划落实培训和演练。</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查看年度训练计划、月度训练计划、设施记录。</w:t>
            </w:r>
          </w:p>
        </w:tc>
        <w:tc>
          <w:tcPr>
            <w:tcW w:w="2409" w:type="dxa"/>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一项不符合扣1分，2项以上不得分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55" w:type="dxa"/>
            <w:vMerge w:val="restart"/>
            <w:vAlign w:val="center"/>
          </w:tcPr>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宿舍</w:t>
            </w:r>
          </w:p>
          <w:p>
            <w:pPr>
              <w:widowControl/>
              <w:spacing w:before="157" w:after="157"/>
              <w:ind w:left="-151"/>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内务</w:t>
            </w:r>
          </w:p>
        </w:tc>
        <w:tc>
          <w:tcPr>
            <w:tcW w:w="3660" w:type="dxa"/>
            <w:vMerge w:val="restart"/>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TW"/>
                <w14:textFill>
                  <w14:solidFill>
                    <w14:schemeClr w14:val="tx1"/>
                  </w14:solidFill>
                </w14:textFill>
              </w:rPr>
              <w:t>宿舍轮流值日</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eastAsia="zh-TW"/>
                <w14:textFill>
                  <w14:solidFill>
                    <w14:schemeClr w14:val="tx1"/>
                  </w14:solidFill>
                </w14:textFill>
              </w:rPr>
              <w:t>起居室</w:t>
            </w:r>
            <w:r>
              <w:rPr>
                <w:rFonts w:hint="eastAsia" w:ascii="仿宋" w:hAnsi="仿宋" w:eastAsia="仿宋" w:cs="仿宋"/>
                <w:color w:val="000000" w:themeColor="text1"/>
                <w:kern w:val="0"/>
                <w:sz w:val="28"/>
                <w:szCs w:val="28"/>
                <w14:textFill>
                  <w14:solidFill>
                    <w14:schemeClr w14:val="tx1"/>
                  </w14:solidFill>
                </w14:textFill>
              </w:rPr>
              <w:t>、卫生间、</w:t>
            </w:r>
            <w:r>
              <w:rPr>
                <w:rFonts w:hint="eastAsia" w:ascii="仿宋" w:hAnsi="仿宋" w:eastAsia="仿宋" w:cs="仿宋"/>
                <w:color w:val="000000" w:themeColor="text1"/>
                <w:kern w:val="0"/>
                <w:sz w:val="28"/>
                <w:szCs w:val="28"/>
                <w:lang w:eastAsia="zh-TW"/>
                <w14:textFill>
                  <w14:solidFill>
                    <w14:schemeClr w14:val="tx1"/>
                  </w14:solidFill>
                </w14:textFill>
              </w:rPr>
              <w:t>活动区域整洁</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eastAsia="zh-TW"/>
                <w14:textFill>
                  <w14:solidFill>
                    <w14:schemeClr w14:val="tx1"/>
                  </w14:solidFill>
                </w14:textFill>
              </w:rPr>
              <w:t>无异味</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eastAsia="zh-TW"/>
                <w14:textFill>
                  <w14:solidFill>
                    <w14:schemeClr w14:val="tx1"/>
                  </w14:solidFill>
                </w14:textFill>
              </w:rPr>
              <w:t>床铺整齐</w:t>
            </w:r>
            <w:r>
              <w:rPr>
                <w:rFonts w:hint="eastAsia" w:ascii="仿宋" w:hAnsi="仿宋" w:eastAsia="仿宋" w:cs="仿宋"/>
                <w:color w:val="000000" w:themeColor="text1"/>
                <w:kern w:val="0"/>
                <w:sz w:val="28"/>
                <w:szCs w:val="28"/>
                <w14:textFill>
                  <w14:solidFill>
                    <w14:schemeClr w14:val="tx1"/>
                  </w14:solidFill>
                </w14:textFill>
              </w:rPr>
              <w:t>，无饲养宠物，无违规使用电器等安全隐患行为。</w:t>
            </w: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1、查看宿舍是否落实轮流值日。</w:t>
            </w:r>
          </w:p>
        </w:tc>
        <w:tc>
          <w:tcPr>
            <w:tcW w:w="24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1项不符合扣1分</w:t>
            </w:r>
          </w:p>
        </w:tc>
        <w:tc>
          <w:tcPr>
            <w:tcW w:w="709"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541" w:type="dxa"/>
            <w:vMerge w:val="restart"/>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restart"/>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2、查看活动区域清洁情况。</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3、查看床铺、个人物品摆放情况。</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4、不得在宿舍饲养宠物。</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5"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3660"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4111" w:type="dxa"/>
            <w:vAlign w:val="center"/>
          </w:tcPr>
          <w:p>
            <w:pPr>
              <w:widowControl/>
              <w:spacing w:before="157" w:after="157"/>
              <w:ind w:left="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5、无违规使用电器等安全隐患行为。</w:t>
            </w:r>
          </w:p>
        </w:tc>
        <w:tc>
          <w:tcPr>
            <w:tcW w:w="2409"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c>
          <w:tcPr>
            <w:tcW w:w="709"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Merge w:val="continue"/>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1302" w:type="dxa"/>
            <w:vMerge w:val="continue"/>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35" w:type="dxa"/>
            <w:gridSpan w:val="4"/>
            <w:vAlign w:val="center"/>
          </w:tcPr>
          <w:p>
            <w:pPr>
              <w:widowControl/>
              <w:spacing w:before="157" w:after="157"/>
              <w:ind w:left="-151" w:firstLine="280"/>
              <w:jc w:val="righ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得分</w:t>
            </w:r>
          </w:p>
        </w:tc>
        <w:tc>
          <w:tcPr>
            <w:tcW w:w="709"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p>
        </w:tc>
        <w:tc>
          <w:tcPr>
            <w:tcW w:w="541" w:type="dxa"/>
            <w:vAlign w:val="center"/>
          </w:tcPr>
          <w:p>
            <w:pPr>
              <w:widowControl/>
              <w:spacing w:before="157" w:after="157"/>
              <w:ind w:left="-151" w:firstLine="2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p>
        </w:tc>
        <w:tc>
          <w:tcPr>
            <w:tcW w:w="1302" w:type="dxa"/>
            <w:vAlign w:val="center"/>
          </w:tcPr>
          <w:p>
            <w:pPr>
              <w:widowControl/>
              <w:spacing w:before="157" w:after="157"/>
              <w:ind w:left="-151" w:firstLine="28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p>
        </w:tc>
      </w:tr>
    </w:tbl>
    <w:p>
      <w:pPr>
        <w:tabs>
          <w:tab w:val="left" w:pos="709"/>
        </w:tabs>
        <w:spacing w:before="157" w:after="157" w:line="360" w:lineRule="auto"/>
        <w:ind w:left="-151" w:firstLine="420" w:firstLineChars="200"/>
        <w:jc w:val="left"/>
        <w:rPr>
          <w:rStyle w:val="23"/>
          <w:rFonts w:hint="eastAsia" w:asciiTheme="minorEastAsia" w:hAnsiTheme="minorEastAsia" w:eastAsiaTheme="minorEastAsia"/>
          <w:bCs/>
          <w:color w:val="000000" w:themeColor="text1"/>
          <w:lang w:val="zh-TW" w:eastAsia="zh-TW"/>
          <w14:textFill>
            <w14:solidFill>
              <w14:schemeClr w14:val="tx1"/>
            </w14:solidFill>
          </w14:textFill>
        </w:rPr>
      </w:pPr>
    </w:p>
    <w:p>
      <w:pPr>
        <w:tabs>
          <w:tab w:val="left" w:pos="709"/>
        </w:tabs>
        <w:spacing w:before="157" w:after="157" w:line="360" w:lineRule="auto"/>
        <w:ind w:left="-151" w:firstLine="643" w:firstLineChars="200"/>
        <w:jc w:val="left"/>
        <w:rPr>
          <w:rStyle w:val="23"/>
          <w:rFonts w:hint="eastAsia" w:ascii="仿宋" w:hAnsi="仿宋" w:eastAsia="仿宋" w:cs="宋体"/>
          <w:b/>
          <w:color w:val="000000" w:themeColor="text1"/>
          <w:sz w:val="32"/>
          <w:szCs w:val="32"/>
          <w:lang w:val="zh-TW" w:eastAsia="zh-TW"/>
          <w14:textFill>
            <w14:solidFill>
              <w14:schemeClr w14:val="tx1"/>
            </w14:solidFill>
          </w14:textFill>
        </w:rPr>
      </w:pPr>
    </w:p>
    <w:p>
      <w:pPr>
        <w:tabs>
          <w:tab w:val="left" w:pos="709"/>
        </w:tabs>
        <w:spacing w:before="157" w:after="157" w:line="360" w:lineRule="auto"/>
        <w:ind w:left="-151" w:firstLine="643" w:firstLineChars="200"/>
        <w:jc w:val="left"/>
        <w:rPr>
          <w:rStyle w:val="23"/>
          <w:rFonts w:hint="eastAsia" w:ascii="仿宋" w:hAnsi="仿宋" w:eastAsia="仿宋" w:cs="仿宋"/>
          <w:b/>
          <w:color w:val="000000" w:themeColor="text1"/>
          <w:sz w:val="32"/>
          <w:szCs w:val="32"/>
          <w:lang w:eastAsia="zh-TW"/>
          <w14:textFill>
            <w14:solidFill>
              <w14:schemeClr w14:val="tx1"/>
            </w14:solidFill>
          </w14:textFill>
        </w:rPr>
      </w:pPr>
      <w:r>
        <w:rPr>
          <w:rStyle w:val="23"/>
          <w:rFonts w:hint="eastAsia" w:ascii="仿宋" w:hAnsi="仿宋" w:eastAsia="仿宋" w:cs="仿宋"/>
          <w:b/>
          <w:color w:val="000000" w:themeColor="text1"/>
          <w:sz w:val="32"/>
          <w:szCs w:val="32"/>
          <w:lang w:val="zh-TW" w:eastAsia="zh-TW"/>
          <w14:textFill>
            <w14:solidFill>
              <w14:schemeClr w14:val="tx1"/>
            </w14:solidFill>
          </w14:textFill>
        </w:rPr>
        <w:t>评分人：</w:t>
      </w:r>
      <w:r>
        <w:rPr>
          <w:rStyle w:val="23"/>
          <w:rFonts w:hint="eastAsia" w:ascii="仿宋" w:hAnsi="仿宋" w:eastAsia="仿宋" w:cs="仿宋"/>
          <w:b/>
          <w:color w:val="000000" w:themeColor="text1"/>
          <w:sz w:val="32"/>
          <w:szCs w:val="32"/>
          <w14:textFill>
            <w14:solidFill>
              <w14:schemeClr w14:val="tx1"/>
            </w14:solidFill>
          </w14:textFill>
        </w:rPr>
        <w:t xml:space="preserve">                         评分日期：                    </w:t>
      </w:r>
      <w:r>
        <w:rPr>
          <w:rStyle w:val="23"/>
          <w:rFonts w:hint="eastAsia" w:ascii="仿宋" w:hAnsi="仿宋" w:eastAsia="仿宋" w:cs="仿宋"/>
          <w:b/>
          <w:color w:val="000000" w:themeColor="text1"/>
          <w:sz w:val="32"/>
          <w:szCs w:val="32"/>
          <w:lang w:val="zh-TW" w:eastAsia="zh-TW"/>
          <w14:textFill>
            <w14:solidFill>
              <w14:schemeClr w14:val="tx1"/>
            </w14:solidFill>
          </w14:textFill>
        </w:rPr>
        <w:t xml:space="preserve">项目负责人确认：      </w:t>
      </w:r>
      <w:r>
        <w:rPr>
          <w:rStyle w:val="23"/>
          <w:rFonts w:hint="eastAsia" w:ascii="仿宋" w:hAnsi="仿宋" w:eastAsia="仿宋" w:cs="仿宋"/>
          <w:b/>
          <w:color w:val="000000" w:themeColor="text1"/>
          <w:sz w:val="32"/>
          <w:szCs w:val="32"/>
          <w:lang w:eastAsia="zh-TW"/>
          <w14:textFill>
            <w14:solidFill>
              <w14:schemeClr w14:val="tx1"/>
            </w14:solidFill>
          </w14:textFill>
        </w:rPr>
        <w:t xml:space="preserve"> </w:t>
      </w:r>
      <w:bookmarkEnd w:id="438"/>
      <w:bookmarkStart w:id="439" w:name="_Toc30400"/>
    </w:p>
    <w:bookmarkEnd w:id="439"/>
    <w:p>
      <w:pPr>
        <w:spacing w:before="157" w:after="157" w:line="360" w:lineRule="auto"/>
        <w:ind w:left="-151" w:firstLine="240"/>
        <w:jc w:val="left"/>
        <w:rPr>
          <w:rFonts w:hint="eastAsia" w:cs="仿宋" w:asciiTheme="minorEastAsia" w:hAnsiTheme="minorEastAsia" w:eastAsiaTheme="minorEastAsia"/>
          <w:color w:val="000000" w:themeColor="text1"/>
          <w:sz w:val="24"/>
          <w14:textFill>
            <w14:solidFill>
              <w14:schemeClr w14:val="tx1"/>
            </w14:solidFill>
          </w14:textFill>
        </w:rPr>
        <w:sectPr>
          <w:pgSz w:w="16838" w:h="11906" w:orient="landscape"/>
          <w:pgMar w:top="1701" w:right="1701" w:bottom="1701" w:left="1701" w:header="851" w:footer="992" w:gutter="0"/>
          <w:cols w:space="0" w:num="1"/>
          <w:docGrid w:type="lines" w:linePitch="314" w:charSpace="0"/>
        </w:sectPr>
      </w:pPr>
    </w:p>
    <w:p>
      <w:pPr>
        <w:spacing w:before="157" w:after="157" w:line="500" w:lineRule="exact"/>
        <w:ind w:left="0" w:firstLine="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hint="eastAsia" w:ascii="仿宋" w:hAnsi="仿宋" w:eastAsia="仿宋"/>
          <w:b/>
          <w:bCs/>
          <w:color w:val="000000" w:themeColor="text1"/>
          <w:sz w:val="32"/>
          <w:szCs w:val="32"/>
          <w:lang w:val="en-US" w:eastAsia="zh-CN"/>
          <w14:textFill>
            <w14:solidFill>
              <w14:schemeClr w14:val="tx1"/>
            </w14:solidFill>
          </w14:textFill>
        </w:rPr>
        <w:t>4</w:t>
      </w:r>
    </w:p>
    <w:p>
      <w:pPr>
        <w:spacing w:before="157" w:after="157" w:line="500" w:lineRule="exact"/>
        <w:ind w:left="-151" w:firstLine="321"/>
        <w:rPr>
          <w:rFonts w:hint="eastAsia" w:ascii="仿宋" w:hAnsi="仿宋" w:eastAsia="仿宋"/>
          <w:b/>
          <w:bCs/>
          <w:color w:val="000000" w:themeColor="text1"/>
          <w:sz w:val="32"/>
          <w:szCs w:val="32"/>
          <w14:textFill>
            <w14:solidFill>
              <w14:schemeClr w14:val="tx1"/>
            </w14:solidFill>
          </w14:textFill>
        </w:rPr>
      </w:pPr>
    </w:p>
    <w:p>
      <w:pPr>
        <w:spacing w:before="157" w:after="157" w:line="500" w:lineRule="exact"/>
        <w:ind w:left="-151" w:firstLine="321"/>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投标人密封条</w:t>
      </w:r>
    </w:p>
    <w:p>
      <w:pPr>
        <w:spacing w:before="157" w:after="157" w:line="500" w:lineRule="exact"/>
        <w:ind w:left="-151"/>
        <w:rPr>
          <w:rFonts w:hint="eastAsia" w:ascii="仿宋" w:hAnsi="仿宋" w:eastAsia="仿宋"/>
          <w:color w:val="000000" w:themeColor="text1"/>
          <w:sz w:val="32"/>
          <w:szCs w:val="32"/>
          <w14:textFill>
            <w14:solidFill>
              <w14:schemeClr w14:val="tx1"/>
            </w14:solidFill>
          </w14:textFill>
        </w:rPr>
      </w:pPr>
    </w:p>
    <w:p>
      <w:pPr>
        <w:spacing w:before="157" w:after="157" w:line="500" w:lineRule="exact"/>
        <w:ind w:left="-151"/>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before="157" w:after="157" w:line="500" w:lineRule="exact"/>
        <w:ind w:left="-151" w:firstLine="321"/>
        <w:rPr>
          <w:rFonts w:hint="eastAsia"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 xml:space="preserve">    密    封    条</w:t>
      </w:r>
    </w:p>
    <w:tbl>
      <w:tblPr>
        <w:tblStyle w:val="1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before="157" w:after="157" w:line="500" w:lineRule="exact"/>
              <w:ind w:left="-151" w:firstLine="280"/>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送   呈</w:t>
            </w:r>
          </w:p>
        </w:tc>
        <w:tc>
          <w:tcPr>
            <w:tcW w:w="7230" w:type="dxa"/>
            <w:gridSpan w:val="4"/>
            <w:vAlign w:val="center"/>
          </w:tcPr>
          <w:p>
            <w:pPr>
              <w:spacing w:before="157" w:after="157" w:line="500" w:lineRule="exact"/>
              <w:ind w:left="-151" w:firstLine="280"/>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before="157" w:after="157" w:line="500" w:lineRule="exact"/>
              <w:ind w:left="-151" w:firstLine="280"/>
              <w:jc w:val="center"/>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项目</w:t>
            </w:r>
          </w:p>
          <w:p>
            <w:pPr>
              <w:spacing w:before="157" w:after="157" w:line="500" w:lineRule="exact"/>
              <w:ind w:left="-151" w:firstLine="280"/>
              <w:jc w:val="center"/>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名称</w:t>
            </w:r>
          </w:p>
        </w:tc>
        <w:tc>
          <w:tcPr>
            <w:tcW w:w="3544" w:type="dxa"/>
            <w:gridSpan w:val="2"/>
            <w:vAlign w:val="center"/>
          </w:tcPr>
          <w:p>
            <w:pPr>
              <w:spacing w:before="157" w:after="157" w:line="500" w:lineRule="exact"/>
              <w:ind w:left="-151" w:firstLine="280"/>
              <w:jc w:val="center"/>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*******项目</w:t>
            </w:r>
          </w:p>
        </w:tc>
        <w:tc>
          <w:tcPr>
            <w:tcW w:w="1486" w:type="dxa"/>
            <w:vAlign w:val="center"/>
          </w:tcPr>
          <w:p>
            <w:pPr>
              <w:spacing w:before="157" w:after="157" w:line="500" w:lineRule="exact"/>
              <w:ind w:left="-151" w:firstLine="280"/>
              <w:jc w:val="center"/>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招标</w:t>
            </w:r>
          </w:p>
          <w:p>
            <w:pPr>
              <w:spacing w:before="157" w:after="157" w:line="500" w:lineRule="exact"/>
              <w:ind w:left="-151" w:firstLine="280"/>
              <w:jc w:val="center"/>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编号</w:t>
            </w:r>
          </w:p>
        </w:tc>
        <w:tc>
          <w:tcPr>
            <w:tcW w:w="2200" w:type="dxa"/>
            <w:vAlign w:val="center"/>
          </w:tcPr>
          <w:p>
            <w:pPr>
              <w:spacing w:before="157" w:after="157" w:line="500" w:lineRule="exact"/>
              <w:ind w:left="-151" w:firstLine="280"/>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before="157" w:after="157" w:line="500" w:lineRule="exact"/>
              <w:ind w:left="0" w:firstLine="0"/>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截标日期</w:t>
            </w:r>
          </w:p>
        </w:tc>
        <w:tc>
          <w:tcPr>
            <w:tcW w:w="7230" w:type="dxa"/>
            <w:gridSpan w:val="4"/>
            <w:vAlign w:val="center"/>
          </w:tcPr>
          <w:p>
            <w:pPr>
              <w:spacing w:before="157" w:after="157" w:line="500" w:lineRule="exact"/>
              <w:ind w:left="-151" w:firstLine="280"/>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before="157" w:after="157" w:line="500" w:lineRule="exact"/>
              <w:ind w:left="0" w:firstLine="0"/>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报价单位名称（加盖密封章或公章）</w:t>
            </w:r>
          </w:p>
        </w:tc>
        <w:tc>
          <w:tcPr>
            <w:tcW w:w="5925" w:type="dxa"/>
            <w:gridSpan w:val="3"/>
            <w:vAlign w:val="center"/>
          </w:tcPr>
          <w:p>
            <w:pPr>
              <w:spacing w:before="157" w:after="157" w:line="500" w:lineRule="exact"/>
              <w:ind w:left="-151" w:firstLine="280"/>
              <w:rPr>
                <w:rFonts w:hint="eastAsia" w:ascii="仿宋" w:hAnsi="仿宋" w:eastAsia="仿宋" w:cs="Arial"/>
                <w:color w:val="000000" w:themeColor="text1"/>
                <w:kern w:val="0"/>
                <w:sz w:val="28"/>
                <w:szCs w:val="28"/>
                <w14:textFill>
                  <w14:solidFill>
                    <w14:schemeClr w14:val="tx1"/>
                  </w14:solidFill>
                </w14:textFill>
              </w:rPr>
            </w:pPr>
          </w:p>
        </w:tc>
      </w:tr>
    </w:tbl>
    <w:p>
      <w:pPr>
        <w:spacing w:before="157" w:after="157" w:line="500" w:lineRule="exact"/>
        <w:ind w:left="-151" w:firstLine="321"/>
        <w:rPr>
          <w:rFonts w:hint="eastAsia" w:asciiTheme="minorEastAsia" w:hAnsiTheme="minorEastAsia" w:eastAsiaTheme="minorEastAsia"/>
          <w:b/>
          <w:color w:val="000000" w:themeColor="text1"/>
          <w:sz w:val="32"/>
          <w:szCs w:val="32"/>
          <w14:textFill>
            <w14:solidFill>
              <w14:schemeClr w14:val="tx1"/>
            </w14:solidFill>
          </w14:textFill>
        </w:rPr>
      </w:pPr>
    </w:p>
    <w:p>
      <w:pPr>
        <w:spacing w:before="157" w:after="157" w:line="500" w:lineRule="exact"/>
        <w:ind w:left="-151"/>
        <w:rPr>
          <w:rFonts w:hint="eastAsia" w:cs="Arial" w:asciiTheme="minorEastAsia" w:hAnsiTheme="minorEastAsia" w:eastAsiaTheme="minorEastAsia"/>
          <w:color w:val="000000" w:themeColor="text1"/>
          <w:sz w:val="32"/>
          <w:szCs w:val="32"/>
          <w14:textFill>
            <w14:solidFill>
              <w14:schemeClr w14:val="tx1"/>
            </w14:solidFill>
          </w14:textFill>
        </w:rPr>
      </w:pPr>
      <w:r>
        <w:rPr>
          <w:rFonts w:hint="eastAsia" w:cs="Arial" w:asciiTheme="minorEastAsia" w:hAnsiTheme="minorEastAsia" w:eastAsiaTheme="minorEastAsia"/>
          <w:color w:val="000000" w:themeColor="text1"/>
          <w:sz w:val="32"/>
          <w:szCs w:val="32"/>
          <w14:textFill>
            <w14:solidFill>
              <w14:schemeClr w14:val="tx1"/>
            </w14:solidFill>
          </w14:textFill>
        </w:rPr>
        <w:t>--------------------------------------------------------</w:t>
      </w:r>
    </w:p>
    <w:bookmarkEnd w:id="5"/>
    <w:bookmarkEnd w:id="6"/>
    <w:p>
      <w:pPr>
        <w:snapToGrid w:val="0"/>
        <w:spacing w:before="157" w:after="157" w:line="500" w:lineRule="exact"/>
        <w:rPr>
          <w:rFonts w:hint="eastAsia" w:asciiTheme="minorEastAsia" w:hAnsiTheme="minorEastAsia" w:eastAsiaTheme="minorEastAsia"/>
          <w:b/>
          <w:color w:val="000000" w:themeColor="text1"/>
          <w:sz w:val="32"/>
          <w:szCs w:val="32"/>
          <w:u w:val="single"/>
          <w14:textFill>
            <w14:solidFill>
              <w14:schemeClr w14:val="tx1"/>
            </w14:solidFill>
          </w14:textFill>
        </w:rPr>
      </w:pPr>
    </w:p>
    <w:p>
      <w:pPr>
        <w:spacing w:before="157" w:after="157"/>
        <w:ind w:left="-151"/>
        <w:rPr>
          <w:rFonts w:hint="eastAsia" w:asciiTheme="majorEastAsia" w:hAnsiTheme="majorEastAsia" w:eastAsiaTheme="majorEastAsia"/>
          <w:color w:val="000000" w:themeColor="text1"/>
          <w14:textFill>
            <w14:solidFill>
              <w14:schemeClr w14:val="tx1"/>
            </w14:solidFill>
          </w14:textFill>
        </w:rPr>
      </w:pPr>
    </w:p>
    <w:sectPr>
      <w:footerReference r:id="rId4" w:type="default"/>
      <w:pgSz w:w="11906" w:h="16838"/>
      <w:pgMar w:top="1701" w:right="1701" w:bottom="1701" w:left="1701"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51" w:firstLine="1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77B9A"/>
    <w:multiLevelType w:val="singleLevel"/>
    <w:tmpl w:val="DA977B9A"/>
    <w:lvl w:ilvl="0" w:tentative="0">
      <w:start w:val="1"/>
      <w:numFmt w:val="decimal"/>
      <w:suff w:val="nothing"/>
      <w:lvlText w:val="%1、"/>
      <w:lvlJc w:val="left"/>
    </w:lvl>
  </w:abstractNum>
  <w:abstractNum w:abstractNumId="1">
    <w:nsid w:val="0DDCFDB3"/>
    <w:multiLevelType w:val="singleLevel"/>
    <w:tmpl w:val="0DDCFDB3"/>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documentProtection w:enforcement="0"/>
  <w:defaultTabStop w:val="420"/>
  <w:drawingGridHorizontalSpacing w:val="21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mVkZTQ1Y2E5NmFjNDhjNjQ4YmNiMzlmNjM3MTgifQ=="/>
  </w:docVars>
  <w:rsids>
    <w:rsidRoot w:val="5A9E4E10"/>
    <w:rsid w:val="00000D7A"/>
    <w:rsid w:val="00005634"/>
    <w:rsid w:val="00010D89"/>
    <w:rsid w:val="00011733"/>
    <w:rsid w:val="0003708E"/>
    <w:rsid w:val="0004526A"/>
    <w:rsid w:val="00053ACB"/>
    <w:rsid w:val="0005453A"/>
    <w:rsid w:val="00067677"/>
    <w:rsid w:val="0007691E"/>
    <w:rsid w:val="0008053D"/>
    <w:rsid w:val="00081F55"/>
    <w:rsid w:val="000A0ACF"/>
    <w:rsid w:val="000B3301"/>
    <w:rsid w:val="000C2B97"/>
    <w:rsid w:val="000C5D20"/>
    <w:rsid w:val="000D54AC"/>
    <w:rsid w:val="000F391E"/>
    <w:rsid w:val="000F595E"/>
    <w:rsid w:val="00100E74"/>
    <w:rsid w:val="0013431D"/>
    <w:rsid w:val="00136590"/>
    <w:rsid w:val="001478F2"/>
    <w:rsid w:val="00156E7C"/>
    <w:rsid w:val="00161ECA"/>
    <w:rsid w:val="00173EE6"/>
    <w:rsid w:val="001819BC"/>
    <w:rsid w:val="001A3008"/>
    <w:rsid w:val="001B06F3"/>
    <w:rsid w:val="001B3D61"/>
    <w:rsid w:val="001C3AF0"/>
    <w:rsid w:val="00207D50"/>
    <w:rsid w:val="0021092F"/>
    <w:rsid w:val="002234CB"/>
    <w:rsid w:val="00234319"/>
    <w:rsid w:val="00255CAC"/>
    <w:rsid w:val="00277081"/>
    <w:rsid w:val="002C0132"/>
    <w:rsid w:val="002D1DB6"/>
    <w:rsid w:val="002D3B92"/>
    <w:rsid w:val="002E205E"/>
    <w:rsid w:val="0034214E"/>
    <w:rsid w:val="00355E01"/>
    <w:rsid w:val="0038638B"/>
    <w:rsid w:val="0039335B"/>
    <w:rsid w:val="003E3AC8"/>
    <w:rsid w:val="003F1D52"/>
    <w:rsid w:val="00422EE3"/>
    <w:rsid w:val="0043075E"/>
    <w:rsid w:val="00435B3B"/>
    <w:rsid w:val="00441B9F"/>
    <w:rsid w:val="00445BC8"/>
    <w:rsid w:val="00445E59"/>
    <w:rsid w:val="00451AE0"/>
    <w:rsid w:val="004672B9"/>
    <w:rsid w:val="0047161E"/>
    <w:rsid w:val="0047486C"/>
    <w:rsid w:val="0047634A"/>
    <w:rsid w:val="004F36B0"/>
    <w:rsid w:val="00512AD2"/>
    <w:rsid w:val="005277F4"/>
    <w:rsid w:val="0054360A"/>
    <w:rsid w:val="00576141"/>
    <w:rsid w:val="005921BD"/>
    <w:rsid w:val="005A328B"/>
    <w:rsid w:val="005A6E7D"/>
    <w:rsid w:val="005B33BE"/>
    <w:rsid w:val="005B4344"/>
    <w:rsid w:val="005B4925"/>
    <w:rsid w:val="005C1EC4"/>
    <w:rsid w:val="005E18F9"/>
    <w:rsid w:val="005F0ADB"/>
    <w:rsid w:val="005F58D9"/>
    <w:rsid w:val="005F6F14"/>
    <w:rsid w:val="00613E0F"/>
    <w:rsid w:val="0062369B"/>
    <w:rsid w:val="00627E27"/>
    <w:rsid w:val="006637CC"/>
    <w:rsid w:val="0067072E"/>
    <w:rsid w:val="006736BD"/>
    <w:rsid w:val="006838AE"/>
    <w:rsid w:val="006C28F2"/>
    <w:rsid w:val="006D3C2E"/>
    <w:rsid w:val="006E0FCE"/>
    <w:rsid w:val="006F510C"/>
    <w:rsid w:val="00740763"/>
    <w:rsid w:val="00757295"/>
    <w:rsid w:val="00762237"/>
    <w:rsid w:val="0076524D"/>
    <w:rsid w:val="0078035E"/>
    <w:rsid w:val="007820EA"/>
    <w:rsid w:val="0078569A"/>
    <w:rsid w:val="007A235D"/>
    <w:rsid w:val="007B25A0"/>
    <w:rsid w:val="007B453E"/>
    <w:rsid w:val="007B47D5"/>
    <w:rsid w:val="007F1B88"/>
    <w:rsid w:val="008025A5"/>
    <w:rsid w:val="0082459D"/>
    <w:rsid w:val="00830789"/>
    <w:rsid w:val="008341A3"/>
    <w:rsid w:val="00851D86"/>
    <w:rsid w:val="008668DD"/>
    <w:rsid w:val="0087213E"/>
    <w:rsid w:val="00874C67"/>
    <w:rsid w:val="008756A0"/>
    <w:rsid w:val="008A4E3B"/>
    <w:rsid w:val="008F1557"/>
    <w:rsid w:val="009212E9"/>
    <w:rsid w:val="009261CE"/>
    <w:rsid w:val="00940163"/>
    <w:rsid w:val="009553CA"/>
    <w:rsid w:val="009554F5"/>
    <w:rsid w:val="00956BA6"/>
    <w:rsid w:val="00981EC5"/>
    <w:rsid w:val="00993485"/>
    <w:rsid w:val="009A2763"/>
    <w:rsid w:val="009B501F"/>
    <w:rsid w:val="009C5CCA"/>
    <w:rsid w:val="009C6985"/>
    <w:rsid w:val="00A0207A"/>
    <w:rsid w:val="00A03D6F"/>
    <w:rsid w:val="00A17E7F"/>
    <w:rsid w:val="00A30607"/>
    <w:rsid w:val="00A312C2"/>
    <w:rsid w:val="00A36D88"/>
    <w:rsid w:val="00A711B4"/>
    <w:rsid w:val="00A714D9"/>
    <w:rsid w:val="00A739B4"/>
    <w:rsid w:val="00A776D3"/>
    <w:rsid w:val="00A83414"/>
    <w:rsid w:val="00A92F32"/>
    <w:rsid w:val="00AB65AB"/>
    <w:rsid w:val="00AB6AC3"/>
    <w:rsid w:val="00AD1C6B"/>
    <w:rsid w:val="00AF315D"/>
    <w:rsid w:val="00AF5D75"/>
    <w:rsid w:val="00B0568C"/>
    <w:rsid w:val="00B10BA2"/>
    <w:rsid w:val="00B16D6B"/>
    <w:rsid w:val="00B323EE"/>
    <w:rsid w:val="00B532A4"/>
    <w:rsid w:val="00B74446"/>
    <w:rsid w:val="00BE2352"/>
    <w:rsid w:val="00BE6256"/>
    <w:rsid w:val="00C00E49"/>
    <w:rsid w:val="00C02465"/>
    <w:rsid w:val="00C04578"/>
    <w:rsid w:val="00C25DE1"/>
    <w:rsid w:val="00C43055"/>
    <w:rsid w:val="00C66EEC"/>
    <w:rsid w:val="00CC2D24"/>
    <w:rsid w:val="00CD3D14"/>
    <w:rsid w:val="00CE0EAD"/>
    <w:rsid w:val="00D11F8D"/>
    <w:rsid w:val="00D15041"/>
    <w:rsid w:val="00D170EF"/>
    <w:rsid w:val="00D31419"/>
    <w:rsid w:val="00D3358E"/>
    <w:rsid w:val="00D35169"/>
    <w:rsid w:val="00D51D2E"/>
    <w:rsid w:val="00D551D7"/>
    <w:rsid w:val="00D6541C"/>
    <w:rsid w:val="00D6749E"/>
    <w:rsid w:val="00D72F20"/>
    <w:rsid w:val="00D75368"/>
    <w:rsid w:val="00D76020"/>
    <w:rsid w:val="00DC13AB"/>
    <w:rsid w:val="00DE7817"/>
    <w:rsid w:val="00DF2217"/>
    <w:rsid w:val="00DF3051"/>
    <w:rsid w:val="00DF6767"/>
    <w:rsid w:val="00E31DDD"/>
    <w:rsid w:val="00E45691"/>
    <w:rsid w:val="00E46855"/>
    <w:rsid w:val="00EB3B42"/>
    <w:rsid w:val="00EB588E"/>
    <w:rsid w:val="00EC19EB"/>
    <w:rsid w:val="00EC69B7"/>
    <w:rsid w:val="00ED36C5"/>
    <w:rsid w:val="00ED3E4B"/>
    <w:rsid w:val="00ED5A1F"/>
    <w:rsid w:val="00EF2A2B"/>
    <w:rsid w:val="00F17C14"/>
    <w:rsid w:val="00F26E56"/>
    <w:rsid w:val="00F43545"/>
    <w:rsid w:val="00F46A2B"/>
    <w:rsid w:val="00F46AD6"/>
    <w:rsid w:val="00F5342C"/>
    <w:rsid w:val="00F647CB"/>
    <w:rsid w:val="00F77C92"/>
    <w:rsid w:val="00F90328"/>
    <w:rsid w:val="00F97650"/>
    <w:rsid w:val="00FA07CF"/>
    <w:rsid w:val="00FC0E14"/>
    <w:rsid w:val="00FC7481"/>
    <w:rsid w:val="00FD3C86"/>
    <w:rsid w:val="032E103A"/>
    <w:rsid w:val="04926B8C"/>
    <w:rsid w:val="04BF763A"/>
    <w:rsid w:val="0640211D"/>
    <w:rsid w:val="08C72F61"/>
    <w:rsid w:val="08EE635C"/>
    <w:rsid w:val="0AAB0D8C"/>
    <w:rsid w:val="0C234E86"/>
    <w:rsid w:val="0C347989"/>
    <w:rsid w:val="0C8445EA"/>
    <w:rsid w:val="0E4D5BF9"/>
    <w:rsid w:val="0E5536F4"/>
    <w:rsid w:val="0E891005"/>
    <w:rsid w:val="0EA92008"/>
    <w:rsid w:val="103D57A8"/>
    <w:rsid w:val="10BA0C23"/>
    <w:rsid w:val="11017E3D"/>
    <w:rsid w:val="11435D1A"/>
    <w:rsid w:val="116F4196"/>
    <w:rsid w:val="1226169D"/>
    <w:rsid w:val="14656CFA"/>
    <w:rsid w:val="153A4D44"/>
    <w:rsid w:val="15594015"/>
    <w:rsid w:val="164E2FA7"/>
    <w:rsid w:val="16974A35"/>
    <w:rsid w:val="18F55DCD"/>
    <w:rsid w:val="19E10942"/>
    <w:rsid w:val="1AE50BB5"/>
    <w:rsid w:val="1B082CE1"/>
    <w:rsid w:val="1B32028D"/>
    <w:rsid w:val="1B922BD0"/>
    <w:rsid w:val="1BF45035"/>
    <w:rsid w:val="1D9B0F59"/>
    <w:rsid w:val="1DC367F4"/>
    <w:rsid w:val="1E44537B"/>
    <w:rsid w:val="1EAD79D8"/>
    <w:rsid w:val="1EC824DA"/>
    <w:rsid w:val="1EED7447"/>
    <w:rsid w:val="20062BE0"/>
    <w:rsid w:val="20FB4647"/>
    <w:rsid w:val="221A7D3F"/>
    <w:rsid w:val="221B61B2"/>
    <w:rsid w:val="232946B6"/>
    <w:rsid w:val="236F1CA6"/>
    <w:rsid w:val="238B72D3"/>
    <w:rsid w:val="23A931DE"/>
    <w:rsid w:val="24891938"/>
    <w:rsid w:val="257D1C7A"/>
    <w:rsid w:val="27306AB2"/>
    <w:rsid w:val="28814EFD"/>
    <w:rsid w:val="2A6E3454"/>
    <w:rsid w:val="2AF7061B"/>
    <w:rsid w:val="2CF61AA4"/>
    <w:rsid w:val="2DDD44FF"/>
    <w:rsid w:val="2F754550"/>
    <w:rsid w:val="2FE200C7"/>
    <w:rsid w:val="318A6AEA"/>
    <w:rsid w:val="318B0193"/>
    <w:rsid w:val="33B0346D"/>
    <w:rsid w:val="34CB0AD9"/>
    <w:rsid w:val="35730847"/>
    <w:rsid w:val="368876BA"/>
    <w:rsid w:val="37273B0A"/>
    <w:rsid w:val="388E38AC"/>
    <w:rsid w:val="39CC052D"/>
    <w:rsid w:val="3A0E18DE"/>
    <w:rsid w:val="3ABE582F"/>
    <w:rsid w:val="3B112BCB"/>
    <w:rsid w:val="3B8C4279"/>
    <w:rsid w:val="3D791D75"/>
    <w:rsid w:val="3E8D2C8A"/>
    <w:rsid w:val="3F5C3B2E"/>
    <w:rsid w:val="3FD05DB3"/>
    <w:rsid w:val="3FFD1B64"/>
    <w:rsid w:val="421E7386"/>
    <w:rsid w:val="42B577AE"/>
    <w:rsid w:val="441647C1"/>
    <w:rsid w:val="446645EF"/>
    <w:rsid w:val="44FF3C0C"/>
    <w:rsid w:val="455053D7"/>
    <w:rsid w:val="45783F65"/>
    <w:rsid w:val="478163DF"/>
    <w:rsid w:val="481926BB"/>
    <w:rsid w:val="483D40CA"/>
    <w:rsid w:val="48854AE9"/>
    <w:rsid w:val="48DF378B"/>
    <w:rsid w:val="4A116F4C"/>
    <w:rsid w:val="4A8649B9"/>
    <w:rsid w:val="4DB150DA"/>
    <w:rsid w:val="4DC332C4"/>
    <w:rsid w:val="4E162E45"/>
    <w:rsid w:val="4ECF01D3"/>
    <w:rsid w:val="4FED4F26"/>
    <w:rsid w:val="50545C48"/>
    <w:rsid w:val="519F6D68"/>
    <w:rsid w:val="51A2208A"/>
    <w:rsid w:val="52090C35"/>
    <w:rsid w:val="52EB172B"/>
    <w:rsid w:val="551B39E5"/>
    <w:rsid w:val="564B432E"/>
    <w:rsid w:val="5749059F"/>
    <w:rsid w:val="58DA798C"/>
    <w:rsid w:val="592C0FA0"/>
    <w:rsid w:val="5A9E4E10"/>
    <w:rsid w:val="5BE93EB7"/>
    <w:rsid w:val="5C0244DB"/>
    <w:rsid w:val="5C83637D"/>
    <w:rsid w:val="5E6654F6"/>
    <w:rsid w:val="5E753FF3"/>
    <w:rsid w:val="5F10533B"/>
    <w:rsid w:val="5FFD464A"/>
    <w:rsid w:val="601C4AB5"/>
    <w:rsid w:val="6287513D"/>
    <w:rsid w:val="62EB0199"/>
    <w:rsid w:val="63147CC6"/>
    <w:rsid w:val="64E5047D"/>
    <w:rsid w:val="65EA16D1"/>
    <w:rsid w:val="68555D06"/>
    <w:rsid w:val="69EA16F3"/>
    <w:rsid w:val="6A507835"/>
    <w:rsid w:val="6B2F50E5"/>
    <w:rsid w:val="6B7B5965"/>
    <w:rsid w:val="6BD7471D"/>
    <w:rsid w:val="6C8D37F6"/>
    <w:rsid w:val="6D1B05CF"/>
    <w:rsid w:val="6D7F0125"/>
    <w:rsid w:val="6E5C5170"/>
    <w:rsid w:val="6F4230C6"/>
    <w:rsid w:val="71D135D1"/>
    <w:rsid w:val="72397125"/>
    <w:rsid w:val="726B0346"/>
    <w:rsid w:val="72AE3C93"/>
    <w:rsid w:val="732D2C60"/>
    <w:rsid w:val="740C15B0"/>
    <w:rsid w:val="74315BCE"/>
    <w:rsid w:val="749047A8"/>
    <w:rsid w:val="757E5B9F"/>
    <w:rsid w:val="763E3B27"/>
    <w:rsid w:val="766525B0"/>
    <w:rsid w:val="76EC5BE3"/>
    <w:rsid w:val="780F33D2"/>
    <w:rsid w:val="79090AA4"/>
    <w:rsid w:val="79FA494C"/>
    <w:rsid w:val="7BA774D1"/>
    <w:rsid w:val="7BC82E8F"/>
    <w:rsid w:val="7CA659DB"/>
    <w:rsid w:val="7EC12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tabs>
        <w:tab w:val="center" w:pos="4535"/>
      </w:tabs>
      <w:spacing w:line="360" w:lineRule="auto"/>
      <w:ind w:firstLine="314"/>
      <w:jc w:val="left"/>
      <w:outlineLvl w:val="0"/>
    </w:pPr>
    <w:rPr>
      <w:rFonts w:ascii="仿宋" w:hAnsi="仿宋" w:eastAsia="仿宋"/>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snapToGrid w:val="0"/>
      <w:spacing w:line="500" w:lineRule="exact"/>
      <w:ind w:left="-151" w:firstLine="3855" w:firstLineChars="1200"/>
      <w:jc w:val="left"/>
    </w:pPr>
    <w:rPr>
      <w:rFonts w:ascii="仿宋" w:hAnsi="仿宋" w:eastAsia="仿宋"/>
      <w:b/>
      <w:bCs/>
      <w:color w:val="000000" w:themeColor="text1"/>
      <w:kern w:val="0"/>
      <w:sz w:val="32"/>
      <w:szCs w:val="32"/>
      <w14:textFill>
        <w14:solidFill>
          <w14:schemeClr w14:val="tx1"/>
        </w14:solidFill>
      </w14:textFill>
    </w:rPr>
  </w:style>
  <w:style w:type="paragraph" w:styleId="7">
    <w:name w:val="annotation text"/>
    <w:basedOn w:val="1"/>
    <w:link w:val="38"/>
    <w:autoRedefine/>
    <w:qFormat/>
    <w:uiPriority w:val="0"/>
    <w:pPr>
      <w:jc w:val="left"/>
    </w:pPr>
  </w:style>
  <w:style w:type="paragraph" w:styleId="8">
    <w:name w:val="Body Text"/>
    <w:basedOn w:val="1"/>
    <w:autoRedefine/>
    <w:qFormat/>
    <w:uiPriority w:val="0"/>
    <w:rPr>
      <w:color w:val="FF0000"/>
    </w:rPr>
  </w:style>
  <w:style w:type="paragraph" w:styleId="9">
    <w:name w:val="toc 3"/>
    <w:basedOn w:val="1"/>
    <w:next w:val="1"/>
    <w:autoRedefine/>
    <w:qFormat/>
    <w:uiPriority w:val="39"/>
    <w:pPr>
      <w:spacing w:line="360" w:lineRule="auto"/>
      <w:ind w:left="420"/>
      <w:jc w:val="left"/>
    </w:pPr>
    <w:rPr>
      <w:iCs/>
      <w:sz w:val="24"/>
      <w:szCs w:val="20"/>
    </w:rPr>
  </w:style>
  <w:style w:type="paragraph" w:styleId="10">
    <w:name w:val="Plain Text"/>
    <w:basedOn w:val="1"/>
    <w:link w:val="37"/>
    <w:autoRedefine/>
    <w:qFormat/>
    <w:uiPriority w:val="0"/>
    <w:rPr>
      <w:rFonts w:ascii="宋体" w:hAnsi="Courier New" w:cs="Courier New"/>
      <w:szCs w:val="21"/>
    </w:rPr>
  </w:style>
  <w:style w:type="paragraph" w:styleId="11">
    <w:name w:val="Balloon Text"/>
    <w:basedOn w:val="1"/>
    <w:link w:val="33"/>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Body Text 2"/>
    <w:basedOn w:val="1"/>
    <w:autoRedefine/>
    <w:qFormat/>
    <w:uiPriority w:val="0"/>
    <w:pPr>
      <w:spacing w:line="280" w:lineRule="exact"/>
      <w:jc w:val="center"/>
    </w:pPr>
    <w:rPr>
      <w:rFonts w:ascii="宋体" w:hAnsi="宋体"/>
      <w:spacing w:val="-12"/>
      <w:sz w:val="24"/>
    </w:rPr>
  </w:style>
  <w:style w:type="paragraph" w:styleId="17">
    <w:name w:val="Normal (Web)"/>
    <w:basedOn w:val="1"/>
    <w:autoRedefine/>
    <w:qFormat/>
    <w:uiPriority w:val="99"/>
    <w:pPr>
      <w:spacing w:line="300" w:lineRule="auto"/>
    </w:pPr>
    <w:rPr>
      <w:sz w:val="24"/>
    </w:rPr>
  </w:style>
  <w:style w:type="paragraph" w:styleId="18">
    <w:name w:val="annotation subject"/>
    <w:basedOn w:val="7"/>
    <w:next w:val="7"/>
    <w:link w:val="39"/>
    <w:autoRedefine/>
    <w:qFormat/>
    <w:uiPriority w:val="0"/>
    <w:rPr>
      <w:b/>
      <w:bCs/>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styleId="25">
    <w:name w:val="annotation reference"/>
    <w:autoRedefine/>
    <w:qFormat/>
    <w:uiPriority w:val="0"/>
    <w:rPr>
      <w:sz w:val="21"/>
      <w:szCs w:val="21"/>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27">
    <w:name w:val="List Paragraph"/>
    <w:basedOn w:val="1"/>
    <w:autoRedefine/>
    <w:qFormat/>
    <w:uiPriority w:val="99"/>
    <w:pPr>
      <w:ind w:firstLine="420" w:firstLineChars="200"/>
    </w:pPr>
  </w:style>
  <w:style w:type="paragraph" w:customStyle="1" w:styleId="28">
    <w:name w:val="表头文本"/>
    <w:basedOn w:val="1"/>
    <w:autoRedefine/>
    <w:qFormat/>
    <w:uiPriority w:val="0"/>
    <w:pPr>
      <w:autoSpaceDE w:val="0"/>
      <w:autoSpaceDN w:val="0"/>
      <w:adjustRightInd w:val="0"/>
      <w:jc w:val="center"/>
    </w:pPr>
    <w:rPr>
      <w:b/>
      <w:kern w:val="0"/>
      <w:sz w:val="24"/>
      <w:szCs w:val="20"/>
    </w:rPr>
  </w:style>
  <w:style w:type="paragraph" w:customStyle="1" w:styleId="29">
    <w:name w:val="Default"/>
    <w:autoRedefine/>
    <w:qFormat/>
    <w:uiPriority w:val="0"/>
    <w:pPr>
      <w:widowControl w:val="0"/>
      <w:autoSpaceDE w:val="0"/>
      <w:autoSpaceDN w:val="0"/>
      <w:adjustRightInd w:val="0"/>
      <w:spacing w:line="360" w:lineRule="auto"/>
      <w:jc w:val="center"/>
    </w:pPr>
    <w:rPr>
      <w:rFonts w:ascii="仿宋" w:hAnsi="仿宋" w:eastAsia="仿宋" w:cs="黑体"/>
      <w:sz w:val="32"/>
      <w:szCs w:val="32"/>
      <w:lang w:val="en-US" w:eastAsia="zh-CN" w:bidi="ar-SA"/>
    </w:rPr>
  </w:style>
  <w:style w:type="paragraph" w:customStyle="1" w:styleId="30">
    <w:name w:val="样式3"/>
    <w:basedOn w:val="10"/>
    <w:autoRedefine/>
    <w:qFormat/>
    <w:uiPriority w:val="0"/>
    <w:pPr>
      <w:spacing w:line="0" w:lineRule="atLeast"/>
      <w:outlineLvl w:val="0"/>
    </w:pPr>
    <w:rPr>
      <w:rFonts w:cs="Times New Roman"/>
      <w:sz w:val="28"/>
      <w:szCs w:val="20"/>
    </w:rPr>
  </w:style>
  <w:style w:type="paragraph" w:customStyle="1" w:styleId="31">
    <w:name w:val="Table Paragraph"/>
    <w:basedOn w:val="1"/>
    <w:autoRedefine/>
    <w:qFormat/>
    <w:uiPriority w:val="1"/>
    <w:pPr>
      <w:jc w:val="left"/>
    </w:pPr>
    <w:rPr>
      <w:rFonts w:ascii="Calibri" w:hAnsi="Calibri"/>
      <w:kern w:val="0"/>
      <w:sz w:val="22"/>
      <w:szCs w:val="22"/>
      <w:lang w:eastAsia="en-US"/>
    </w:rPr>
  </w:style>
  <w:style w:type="paragraph" w:customStyle="1" w:styleId="32">
    <w:name w:val="样式2"/>
    <w:basedOn w:val="12"/>
    <w:autoRedefine/>
    <w:qFormat/>
    <w:uiPriority w:val="0"/>
    <w:pPr>
      <w:ind w:right="360"/>
    </w:pPr>
    <w:rPr>
      <w:rFonts w:ascii="宋体" w:hAnsi="宋体"/>
      <w:sz w:val="21"/>
      <w:szCs w:val="21"/>
    </w:rPr>
  </w:style>
  <w:style w:type="character" w:customStyle="1" w:styleId="33">
    <w:name w:val="批注框文本 字符"/>
    <w:basedOn w:val="21"/>
    <w:link w:val="11"/>
    <w:autoRedefine/>
    <w:qFormat/>
    <w:uiPriority w:val="0"/>
    <w:rPr>
      <w:rFonts w:ascii="Times New Roman" w:hAnsi="Times New Roman"/>
      <w:kern w:val="2"/>
      <w:sz w:val="18"/>
      <w:szCs w:val="18"/>
    </w:rPr>
  </w:style>
  <w:style w:type="character" w:customStyle="1" w:styleId="34">
    <w:name w:val="页眉 字符"/>
    <w:basedOn w:val="21"/>
    <w:link w:val="13"/>
    <w:autoRedefine/>
    <w:qFormat/>
    <w:uiPriority w:val="0"/>
    <w:rPr>
      <w:rFonts w:ascii="Times New Roman" w:hAnsi="Times New Roman"/>
      <w:kern w:val="2"/>
      <w:sz w:val="18"/>
      <w:szCs w:val="18"/>
    </w:rPr>
  </w:style>
  <w:style w:type="paragraph" w:customStyle="1" w:styleId="35">
    <w:name w:val="Char Char1 Char"/>
    <w:basedOn w:val="1"/>
    <w:autoRedefine/>
    <w:qFormat/>
    <w:uiPriority w:val="0"/>
    <w:pPr>
      <w:spacing w:line="240" w:lineRule="atLeast"/>
      <w:ind w:left="420" w:firstLine="420"/>
    </w:pPr>
    <w:rPr>
      <w:szCs w:val="20"/>
    </w:rPr>
  </w:style>
  <w:style w:type="paragraph" w:customStyle="1" w:styleId="36">
    <w:name w:val="Char Char1 Char1"/>
    <w:basedOn w:val="1"/>
    <w:autoRedefine/>
    <w:qFormat/>
    <w:uiPriority w:val="0"/>
    <w:pPr>
      <w:spacing w:line="240" w:lineRule="atLeast"/>
      <w:ind w:left="420" w:firstLine="420"/>
    </w:pPr>
    <w:rPr>
      <w:szCs w:val="20"/>
    </w:rPr>
  </w:style>
  <w:style w:type="character" w:customStyle="1" w:styleId="37">
    <w:name w:val="纯文本 字符"/>
    <w:basedOn w:val="21"/>
    <w:link w:val="10"/>
    <w:autoRedefine/>
    <w:qFormat/>
    <w:uiPriority w:val="0"/>
    <w:rPr>
      <w:rFonts w:ascii="宋体" w:hAnsi="Courier New" w:cs="Courier New"/>
      <w:kern w:val="2"/>
      <w:sz w:val="21"/>
      <w:szCs w:val="21"/>
    </w:rPr>
  </w:style>
  <w:style w:type="character" w:customStyle="1" w:styleId="38">
    <w:name w:val="批注文字 字符"/>
    <w:basedOn w:val="21"/>
    <w:link w:val="7"/>
    <w:autoRedefine/>
    <w:qFormat/>
    <w:uiPriority w:val="0"/>
    <w:rPr>
      <w:kern w:val="2"/>
      <w:sz w:val="21"/>
      <w:szCs w:val="24"/>
    </w:rPr>
  </w:style>
  <w:style w:type="character" w:customStyle="1" w:styleId="39">
    <w:name w:val="批注主题 字符"/>
    <w:basedOn w:val="38"/>
    <w:link w:val="18"/>
    <w:autoRedefine/>
    <w:qFormat/>
    <w:uiPriority w:val="0"/>
    <w:rPr>
      <w:b/>
      <w:bCs/>
      <w:kern w:val="2"/>
      <w:sz w:val="21"/>
      <w:szCs w:val="24"/>
    </w:rPr>
  </w:style>
  <w:style w:type="paragraph" w:customStyle="1" w:styleId="40">
    <w:name w:val="Char Char1 Char2"/>
    <w:basedOn w:val="1"/>
    <w:autoRedefine/>
    <w:qFormat/>
    <w:uiPriority w:val="0"/>
    <w:pPr>
      <w:spacing w:line="240" w:lineRule="atLeast"/>
      <w:ind w:left="420" w:firstLine="420"/>
    </w:pPr>
    <w:rPr>
      <w:szCs w:val="20"/>
    </w:rPr>
  </w:style>
  <w:style w:type="paragraph" w:customStyle="1" w:styleId="41">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4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84652-0ED4-4E51-B372-386C142F05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102</Pages>
  <Words>33625</Words>
  <Characters>34693</Characters>
  <Lines>281</Lines>
  <Paragraphs>79</Paragraphs>
  <TotalTime>5</TotalTime>
  <ScaleCrop>false</ScaleCrop>
  <LinksUpToDate>false</LinksUpToDate>
  <CharactersWithSpaces>36820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2024-09-29T00:55:00Z</dcterms:created>
  <dc:creator>国贸物业招标办</dc:creator>
  <cp:lastModifiedBy>林璐</cp:lastModifiedBy>
  <dcterms:modified xsi:type="dcterms:W3CDTF">2024-10-14T02:50:33Z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1BDCA4F4F8074D5190C9BD56E917C152_13</vt:lpwstr>
  </property>
</Properties>
</file>