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3EAAB">
      <w:pPr>
        <w:spacing w:line="276" w:lineRule="auto"/>
        <w:jc w:val="left"/>
        <w:rPr>
          <w:rFonts w:ascii="宋体"/>
          <w:color w:val="000000" w:themeColor="text1"/>
          <w:sz w:val="24"/>
          <w:highlight w:val="none"/>
          <w14:textFill>
            <w14:solidFill>
              <w14:schemeClr w14:val="tx1"/>
            </w14:solidFill>
          </w14:textFill>
        </w:rPr>
      </w:pPr>
      <w:bookmarkStart w:id="0" w:name="_Toc163364646"/>
      <w:bookmarkStart w:id="1" w:name="_Toc178674763"/>
      <w:bookmarkStart w:id="2" w:name="_Toc157418557"/>
      <w:bookmarkStart w:id="3" w:name="_Toc165385343"/>
      <w:bookmarkStart w:id="4" w:name="_Toc157418350"/>
      <w:bookmarkStart w:id="5" w:name="_Toc32815540"/>
      <w:bookmarkStart w:id="6" w:name="_Toc125129292"/>
    </w:p>
    <w:p w14:paraId="3A789040">
      <w:pPr>
        <w:spacing w:line="276" w:lineRule="auto"/>
        <w:jc w:val="left"/>
        <w:rPr>
          <w:rFonts w:ascii="宋体"/>
          <w:color w:val="000000" w:themeColor="text1"/>
          <w:sz w:val="24"/>
          <w:highlight w:val="none"/>
          <w14:textFill>
            <w14:solidFill>
              <w14:schemeClr w14:val="tx1"/>
            </w14:solidFill>
          </w14:textFill>
        </w:rPr>
      </w:pPr>
    </w:p>
    <w:p w14:paraId="256F34A0">
      <w:pPr>
        <w:spacing w:line="276" w:lineRule="auto"/>
        <w:jc w:val="left"/>
        <w:rPr>
          <w:rFonts w:ascii="宋体"/>
          <w:color w:val="000000" w:themeColor="text1"/>
          <w:sz w:val="24"/>
          <w:highlight w:val="none"/>
          <w14:textFill>
            <w14:solidFill>
              <w14:schemeClr w14:val="tx1"/>
            </w14:solidFill>
          </w14:textFill>
        </w:rPr>
      </w:pPr>
    </w:p>
    <w:p w14:paraId="5421B002">
      <w:pPr>
        <w:spacing w:line="276" w:lineRule="auto"/>
        <w:jc w:val="center"/>
        <w:rPr>
          <w:rFonts w:ascii="仿宋" w:hAnsi="仿宋" w:eastAsia="仿宋"/>
          <w:b/>
          <w:bCs/>
          <w:color w:val="000000" w:themeColor="text1"/>
          <w:sz w:val="84"/>
          <w:szCs w:val="84"/>
          <w:highlight w:val="none"/>
          <w:lang w:val="zh-CN"/>
          <w14:textFill>
            <w14:solidFill>
              <w14:schemeClr w14:val="tx1"/>
            </w14:solidFill>
          </w14:textFill>
        </w:rPr>
      </w:pPr>
      <w:r>
        <w:rPr>
          <w:rFonts w:hint="eastAsia" w:ascii="仿宋" w:hAnsi="仿宋" w:eastAsia="仿宋" w:cs="仿宋"/>
          <w:b/>
          <w:bCs/>
          <w:color w:val="000000" w:themeColor="text1"/>
          <w:sz w:val="84"/>
          <w:szCs w:val="84"/>
          <w:highlight w:val="none"/>
          <w:lang w:val="zh-CN"/>
          <w14:textFill>
            <w14:solidFill>
              <w14:schemeClr w14:val="tx1"/>
            </w14:solidFill>
          </w14:textFill>
        </w:rPr>
        <w:t>招标文件</w:t>
      </w:r>
    </w:p>
    <w:p w14:paraId="729D46AD">
      <w:pPr>
        <w:spacing w:line="276" w:lineRule="auto"/>
        <w:jc w:val="center"/>
        <w:rPr>
          <w:rFonts w:ascii="宋体"/>
          <w:color w:val="000000" w:themeColor="text1"/>
          <w:sz w:val="36"/>
          <w:szCs w:val="36"/>
          <w:highlight w:val="none"/>
          <w14:textFill>
            <w14:solidFill>
              <w14:schemeClr w14:val="tx1"/>
            </w14:solidFill>
          </w14:textFill>
        </w:rPr>
      </w:pPr>
      <w:bookmarkStart w:id="7" w:name="_Toc342899794"/>
    </w:p>
    <w:p w14:paraId="506AD1F3">
      <w:pPr>
        <w:spacing w:line="276" w:lineRule="auto"/>
        <w:jc w:val="center"/>
        <w:rPr>
          <w:rFonts w:ascii="宋体"/>
          <w:color w:val="000000" w:themeColor="text1"/>
          <w:sz w:val="36"/>
          <w:szCs w:val="36"/>
          <w:highlight w:val="none"/>
          <w14:textFill>
            <w14:solidFill>
              <w14:schemeClr w14:val="tx1"/>
            </w14:solidFill>
          </w14:textFill>
        </w:rPr>
      </w:pPr>
    </w:p>
    <w:p w14:paraId="1350399B">
      <w:pPr>
        <w:spacing w:line="276" w:lineRule="auto"/>
        <w:ind w:firstLine="708" w:firstLineChars="196"/>
        <w:rPr>
          <w:rFonts w:hint="default" w:ascii="仿宋" w:hAnsi="仿宋" w:eastAsia="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项目名称</w:t>
      </w:r>
      <w:bookmarkEnd w:id="7"/>
      <w:r>
        <w:rPr>
          <w:rFonts w:hint="eastAsia" w:ascii="仿宋" w:hAnsi="仿宋" w:eastAsia="仿宋" w:cs="仿宋"/>
          <w:b/>
          <w:bCs/>
          <w:color w:val="000000" w:themeColor="text1"/>
          <w:sz w:val="36"/>
          <w:szCs w:val="36"/>
          <w:highlight w:val="none"/>
          <w:lang w:val="zh-CN"/>
          <w14:textFill>
            <w14:solidFill>
              <w14:schemeClr w14:val="tx1"/>
            </w14:solidFill>
          </w14:textFill>
        </w:rPr>
        <w:t>：</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北京</w:t>
      </w:r>
      <w:r>
        <w:rPr>
          <w:rFonts w:hint="eastAsia" w:ascii="仿宋" w:hAnsi="仿宋" w:eastAsia="仿宋" w:cs="仿宋"/>
          <w:b/>
          <w:bCs/>
          <w:color w:val="000000" w:themeColor="text1"/>
          <w:kern w:val="2"/>
          <w:sz w:val="36"/>
          <w:szCs w:val="36"/>
          <w:highlight w:val="none"/>
          <w:lang w:val="en-US" w:eastAsia="zh-CN" w:bidi="ar-SA"/>
          <w14:textFill>
            <w14:solidFill>
              <w14:schemeClr w14:val="tx1"/>
            </w14:solidFill>
          </w14:textFill>
        </w:rPr>
        <w:t>瑨上雅园项目维序服务</w:t>
      </w:r>
    </w:p>
    <w:p w14:paraId="0CC4D87F">
      <w:pPr>
        <w:spacing w:line="276" w:lineRule="auto"/>
        <w:ind w:firstLine="3072" w:firstLineChars="850"/>
        <w:rPr>
          <w:rFonts w:ascii="仿宋" w:hAnsi="仿宋" w:eastAsia="仿宋"/>
          <w:b/>
          <w:bCs/>
          <w:color w:val="000000" w:themeColor="text1"/>
          <w:sz w:val="36"/>
          <w:szCs w:val="36"/>
          <w:highlight w:val="none"/>
          <w:lang w:val="zh-CN"/>
          <w14:textFill>
            <w14:solidFill>
              <w14:schemeClr w14:val="tx1"/>
            </w14:solidFill>
          </w14:textFill>
        </w:rPr>
      </w:pPr>
    </w:p>
    <w:p w14:paraId="1BC6696A">
      <w:pPr>
        <w:spacing w:line="276" w:lineRule="auto"/>
        <w:ind w:firstLine="708" w:firstLineChars="196"/>
        <w:rPr>
          <w:rFonts w:hint="default" w:ascii="仿宋" w:hAnsi="仿宋" w:eastAsia="仿宋" w:cs="宋体"/>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项目编号：</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SHMC-2026-02</w:t>
      </w:r>
    </w:p>
    <w:p w14:paraId="03A554E7">
      <w:pPr>
        <w:pStyle w:val="11"/>
        <w:spacing w:line="360" w:lineRule="auto"/>
        <w:rPr>
          <w:rFonts w:ascii="仿宋" w:hAnsi="仿宋" w:eastAsia="仿宋" w:cs="Times New Roman"/>
          <w:b/>
          <w:bCs/>
          <w:color w:val="000000" w:themeColor="text1"/>
          <w:sz w:val="36"/>
          <w:szCs w:val="36"/>
          <w:highlight w:val="none"/>
          <w14:textFill>
            <w14:solidFill>
              <w14:schemeClr w14:val="tx1"/>
            </w14:solidFill>
          </w14:textFill>
        </w:rPr>
      </w:pPr>
    </w:p>
    <w:p w14:paraId="4B0657C2">
      <w:pPr>
        <w:pStyle w:val="11"/>
        <w:spacing w:line="360" w:lineRule="auto"/>
        <w:ind w:firstLine="708" w:firstLineChars="196"/>
        <w:rPr>
          <w:rFonts w:hint="default"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招标人：</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上海贸城物业服务有限公司</w:t>
      </w:r>
    </w:p>
    <w:p w14:paraId="5314DF0B">
      <w:pPr>
        <w:spacing w:line="276" w:lineRule="auto"/>
        <w:ind w:firstLine="1265" w:firstLineChars="350"/>
        <w:rPr>
          <w:rFonts w:ascii="仿宋" w:hAnsi="仿宋" w:eastAsia="仿宋"/>
          <w:b/>
          <w:bCs/>
          <w:color w:val="000000" w:themeColor="text1"/>
          <w:sz w:val="36"/>
          <w:szCs w:val="36"/>
          <w:highlight w:val="none"/>
          <w:lang w:val="zh-CN"/>
          <w14:textFill>
            <w14:solidFill>
              <w14:schemeClr w14:val="tx1"/>
            </w14:solidFill>
          </w14:textFill>
        </w:rPr>
      </w:pPr>
    </w:p>
    <w:p w14:paraId="75BE2AE2">
      <w:pPr>
        <w:spacing w:line="276" w:lineRule="auto"/>
        <w:jc w:val="center"/>
        <w:rPr>
          <w:rFonts w:ascii="宋体"/>
          <w:color w:val="000000" w:themeColor="text1"/>
          <w:sz w:val="36"/>
          <w:szCs w:val="36"/>
          <w:highlight w:val="none"/>
          <w14:textFill>
            <w14:solidFill>
              <w14:schemeClr w14:val="tx1"/>
            </w14:solidFill>
          </w14:textFill>
        </w:rPr>
      </w:pPr>
    </w:p>
    <w:p w14:paraId="0F76A649">
      <w:pPr>
        <w:spacing w:line="276" w:lineRule="auto"/>
        <w:jc w:val="center"/>
        <w:rPr>
          <w:rFonts w:ascii="宋体"/>
          <w:color w:val="000000" w:themeColor="text1"/>
          <w:sz w:val="36"/>
          <w:szCs w:val="36"/>
          <w:highlight w:val="none"/>
          <w14:textFill>
            <w14:solidFill>
              <w14:schemeClr w14:val="tx1"/>
            </w14:solidFill>
          </w14:textFill>
        </w:rPr>
      </w:pPr>
    </w:p>
    <w:p w14:paraId="690C42F4">
      <w:pPr>
        <w:spacing w:line="276" w:lineRule="auto"/>
        <w:jc w:val="center"/>
        <w:rPr>
          <w:rFonts w:ascii="宋体"/>
          <w:color w:val="000000" w:themeColor="text1"/>
          <w:sz w:val="36"/>
          <w:szCs w:val="36"/>
          <w:highlight w:val="none"/>
          <w14:textFill>
            <w14:solidFill>
              <w14:schemeClr w14:val="tx1"/>
            </w14:solidFill>
          </w14:textFill>
        </w:rPr>
      </w:pPr>
    </w:p>
    <w:p w14:paraId="44126725">
      <w:pPr>
        <w:spacing w:line="276" w:lineRule="auto"/>
        <w:jc w:val="center"/>
        <w:rPr>
          <w:rFonts w:ascii="宋体"/>
          <w:color w:val="000000" w:themeColor="text1"/>
          <w:sz w:val="36"/>
          <w:szCs w:val="36"/>
          <w:highlight w:val="none"/>
          <w14:textFill>
            <w14:solidFill>
              <w14:schemeClr w14:val="tx1"/>
            </w14:solidFill>
          </w14:textFill>
        </w:rPr>
      </w:pPr>
    </w:p>
    <w:p w14:paraId="424FBAC0">
      <w:pPr>
        <w:pStyle w:val="11"/>
        <w:spacing w:line="360" w:lineRule="auto"/>
        <w:ind w:firstLine="0" w:firstLineChars="0"/>
        <w:jc w:val="center"/>
        <w:rPr>
          <w:rFonts w:hint="eastAsia"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上海贸城物业服务有限公司</w:t>
      </w:r>
    </w:p>
    <w:p w14:paraId="386186FB">
      <w:pPr>
        <w:spacing w:line="276" w:lineRule="auto"/>
        <w:jc w:val="center"/>
        <w:rPr>
          <w:rFonts w:ascii="仿宋" w:hAnsi="仿宋" w:eastAsia="仿宋" w:cs="宋体"/>
          <w:b/>
          <w:bCs/>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lang w:val="en-US" w:eastAsia="zh-CN"/>
          <w14:textFill>
            <w14:solidFill>
              <w14:schemeClr w14:val="tx1"/>
            </w14:solidFill>
          </w14:textFill>
        </w:rPr>
        <w:t>2026</w:t>
      </w:r>
      <w:r>
        <w:rPr>
          <w:rFonts w:hint="eastAsia" w:ascii="仿宋" w:hAnsi="仿宋" w:eastAsia="仿宋"/>
          <w:b/>
          <w:color w:val="000000" w:themeColor="text1"/>
          <w:sz w:val="36"/>
          <w:szCs w:val="36"/>
          <w:highlight w:val="none"/>
          <w14:textFill>
            <w14:solidFill>
              <w14:schemeClr w14:val="tx1"/>
            </w14:solidFill>
          </w14:textFill>
        </w:rPr>
        <w:t>年</w:t>
      </w:r>
      <w:r>
        <w:rPr>
          <w:rFonts w:hint="eastAsia" w:ascii="仿宋" w:hAnsi="仿宋" w:eastAsia="仿宋"/>
          <w:b/>
          <w:color w:val="000000" w:themeColor="text1"/>
          <w:sz w:val="36"/>
          <w:szCs w:val="36"/>
          <w:highlight w:val="none"/>
          <w:lang w:val="en-US" w:eastAsia="zh-CN"/>
          <w14:textFill>
            <w14:solidFill>
              <w14:schemeClr w14:val="tx1"/>
            </w14:solidFill>
          </w14:textFill>
        </w:rPr>
        <w:t>5</w:t>
      </w:r>
      <w:r>
        <w:rPr>
          <w:rFonts w:hint="eastAsia" w:ascii="仿宋" w:hAnsi="仿宋" w:eastAsia="仿宋"/>
          <w:b/>
          <w:color w:val="000000" w:themeColor="text1"/>
          <w:sz w:val="36"/>
          <w:szCs w:val="36"/>
          <w:highlight w:val="none"/>
          <w14:textFill>
            <w14:solidFill>
              <w14:schemeClr w14:val="tx1"/>
            </w14:solidFill>
          </w14:textFill>
        </w:rPr>
        <w:t>月</w:t>
      </w:r>
    </w:p>
    <w:p w14:paraId="6A7A4402">
      <w:pPr>
        <w:pStyle w:val="18"/>
        <w:shd w:val="clear" w:color="auto" w:fill="FFFFFF"/>
        <w:spacing w:line="600" w:lineRule="atLeast"/>
        <w:ind w:firstLine="540" w:firstLineChars="150"/>
        <w:jc w:val="center"/>
        <w:rPr>
          <w:rFonts w:ascii="仿宋" w:hAnsi="仿宋" w:eastAsia="仿宋"/>
          <w:color w:val="000000" w:themeColor="text1"/>
          <w:sz w:val="36"/>
          <w:szCs w:val="36"/>
          <w:highlight w:val="none"/>
          <w14:textFill>
            <w14:solidFill>
              <w14:schemeClr w14:val="tx1"/>
            </w14:solidFill>
          </w14:textFill>
        </w:rPr>
      </w:pPr>
    </w:p>
    <w:p w14:paraId="6C1BA0E0">
      <w:pPr>
        <w:pStyle w:val="18"/>
        <w:shd w:val="clear" w:color="auto" w:fill="FFFFFF"/>
        <w:spacing w:line="600" w:lineRule="atLeast"/>
        <w:ind w:firstLine="540" w:firstLineChars="150"/>
        <w:jc w:val="center"/>
        <w:rPr>
          <w:rFonts w:ascii="仿宋" w:hAnsi="仿宋" w:eastAsia="仿宋"/>
          <w:color w:val="000000" w:themeColor="text1"/>
          <w:sz w:val="36"/>
          <w:szCs w:val="36"/>
          <w:highlight w:val="none"/>
          <w14:textFill>
            <w14:solidFill>
              <w14:schemeClr w14:val="tx1"/>
            </w14:solidFill>
          </w14:textFill>
        </w:rPr>
      </w:pPr>
    </w:p>
    <w:p w14:paraId="40DB1790">
      <w:pPr>
        <w:pStyle w:val="18"/>
        <w:shd w:val="clear" w:color="auto" w:fill="FFFFFF"/>
        <w:spacing w:line="600" w:lineRule="atLeast"/>
        <w:rPr>
          <w:rFonts w:hint="eastAsia" w:ascii="仿宋" w:hAnsi="仿宋" w:eastAsia="仿宋"/>
          <w:color w:val="000000" w:themeColor="text1"/>
          <w:sz w:val="36"/>
          <w:szCs w:val="36"/>
          <w:highlight w:val="none"/>
          <w14:textFill>
            <w14:solidFill>
              <w14:schemeClr w14:val="tx1"/>
            </w14:solidFill>
          </w14:textFill>
        </w:rPr>
      </w:pPr>
    </w:p>
    <w:p w14:paraId="2B19CBBD">
      <w:pPr>
        <w:pStyle w:val="18"/>
        <w:shd w:val="clear" w:color="auto" w:fill="FFFFFF"/>
        <w:spacing w:line="600" w:lineRule="atLeast"/>
        <w:ind w:firstLine="540" w:firstLineChars="150"/>
        <w:jc w:val="center"/>
        <w:rPr>
          <w:rFonts w:ascii="仿宋" w:hAnsi="仿宋" w:eastAsia="仿宋"/>
          <w:color w:val="000000" w:themeColor="text1"/>
          <w:sz w:val="36"/>
          <w:szCs w:val="36"/>
          <w:highlight w:val="none"/>
          <w14:textFill>
            <w14:solidFill>
              <w14:schemeClr w14:val="tx1"/>
            </w14:solidFill>
          </w14:textFill>
        </w:rPr>
      </w:pPr>
    </w:p>
    <w:p w14:paraId="6F24EC28">
      <w:pPr>
        <w:pStyle w:val="18"/>
        <w:shd w:val="clear" w:color="auto" w:fill="FFFFFF"/>
        <w:spacing w:line="600" w:lineRule="atLeast"/>
        <w:ind w:firstLine="540" w:firstLineChars="150"/>
        <w:jc w:val="center"/>
        <w:rPr>
          <w:rFonts w:ascii="仿宋" w:hAnsi="仿宋" w:eastAsia="仿宋"/>
          <w:color w:val="000000" w:themeColor="text1"/>
          <w:sz w:val="36"/>
          <w:szCs w:val="36"/>
          <w:highlight w:val="none"/>
          <w14:textFill>
            <w14:solidFill>
              <w14:schemeClr w14:val="tx1"/>
            </w14:solidFill>
          </w14:textFill>
        </w:rPr>
      </w:pPr>
    </w:p>
    <w:p w14:paraId="501FCB5D">
      <w:pPr>
        <w:pStyle w:val="11"/>
        <w:spacing w:line="360" w:lineRule="auto"/>
        <w:jc w:val="center"/>
        <w:rPr>
          <w:rFonts w:hint="eastAsia" w:ascii="仿宋" w:hAnsi="仿宋" w:eastAsia="仿宋" w:cs="仿宋"/>
          <w:b/>
          <w:bCs/>
          <w:color w:val="000000" w:themeColor="text1"/>
          <w:sz w:val="44"/>
          <w:szCs w:val="44"/>
          <w:highlight w:val="none"/>
          <w14:textFill>
            <w14:solidFill>
              <w14:schemeClr w14:val="tx1"/>
            </w14:solidFill>
          </w14:textFill>
        </w:rPr>
        <w:sectPr>
          <w:pgSz w:w="11907" w:h="16860"/>
          <w:pgMar w:top="1418" w:right="1418" w:bottom="1418" w:left="1418" w:header="857" w:footer="999" w:gutter="0"/>
          <w:cols w:space="720" w:num="1"/>
          <w:docGrid w:linePitch="286" w:charSpace="0"/>
        </w:sectPr>
      </w:pPr>
    </w:p>
    <w:p w14:paraId="7C20A14A">
      <w:pPr>
        <w:pStyle w:val="11"/>
        <w:spacing w:line="360" w:lineRule="auto"/>
        <w:jc w:val="center"/>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    录</w:t>
      </w:r>
      <w:bookmarkEnd w:id="0"/>
      <w:bookmarkEnd w:id="1"/>
      <w:bookmarkEnd w:id="2"/>
      <w:bookmarkEnd w:id="3"/>
      <w:bookmarkEnd w:id="4"/>
    </w:p>
    <w:p w14:paraId="598EEC4E">
      <w:pPr>
        <w:pStyle w:val="2"/>
        <w:tabs>
          <w:tab w:val="right" w:leader="dot" w:pos="9071"/>
        </w:tabs>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TOC \o "1-3" \h \z \u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_Toc24407 </w:instrText>
      </w:r>
      <w:r>
        <w:rPr>
          <w:rFonts w:ascii="宋体" w:hAnsi="宋体"/>
          <w:szCs w:val="28"/>
          <w:highlight w:val="none"/>
        </w:rPr>
        <w:fldChar w:fldCharType="separate"/>
      </w:r>
      <w:r>
        <w:rPr>
          <w:rFonts w:hint="eastAsia" w:ascii="仿宋" w:hAnsi="仿宋" w:eastAsia="仿宋" w:cs="仿宋"/>
          <w:bCs w:val="0"/>
          <w:kern w:val="0"/>
          <w:szCs w:val="32"/>
          <w:highlight w:val="none"/>
        </w:rPr>
        <w:t>第一章　招标公告</w:t>
      </w:r>
      <w:r>
        <w:tab/>
      </w:r>
      <w:r>
        <w:fldChar w:fldCharType="begin"/>
      </w:r>
      <w:r>
        <w:instrText xml:space="preserve"> PAGEREF _Toc24407 \h </w:instrText>
      </w:r>
      <w:r>
        <w:fldChar w:fldCharType="separate"/>
      </w:r>
      <w:r>
        <w:t>3</w:t>
      </w:r>
      <w:r>
        <w:fldChar w:fldCharType="end"/>
      </w:r>
      <w:r>
        <w:rPr>
          <w:rFonts w:ascii="宋体" w:hAnsi="宋体"/>
          <w:color w:val="000000" w:themeColor="text1"/>
          <w:szCs w:val="28"/>
          <w:highlight w:val="none"/>
          <w14:textFill>
            <w14:solidFill>
              <w14:schemeClr w14:val="tx1"/>
            </w14:solidFill>
          </w14:textFill>
        </w:rPr>
        <w:fldChar w:fldCharType="end"/>
      </w:r>
    </w:p>
    <w:p w14:paraId="0DF58AA2">
      <w:pPr>
        <w:pStyle w:val="2"/>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_Toc11255 </w:instrText>
      </w:r>
      <w:r>
        <w:rPr>
          <w:rFonts w:ascii="宋体" w:hAnsi="宋体"/>
          <w:szCs w:val="28"/>
          <w:highlight w:val="none"/>
        </w:rPr>
        <w:fldChar w:fldCharType="separate"/>
      </w:r>
      <w:r>
        <w:rPr>
          <w:rFonts w:hint="eastAsia" w:ascii="仿宋" w:hAnsi="仿宋" w:eastAsia="仿宋"/>
          <w:highlight w:val="none"/>
        </w:rPr>
        <w:t>附：招标项目一览表</w:t>
      </w:r>
      <w:r>
        <w:tab/>
      </w:r>
      <w:r>
        <w:fldChar w:fldCharType="begin"/>
      </w:r>
      <w:r>
        <w:instrText xml:space="preserve"> PAGEREF _Toc11255 \h </w:instrText>
      </w:r>
      <w:r>
        <w:fldChar w:fldCharType="separate"/>
      </w:r>
      <w:r>
        <w:t>4</w:t>
      </w:r>
      <w:r>
        <w:fldChar w:fldCharType="end"/>
      </w:r>
      <w:r>
        <w:rPr>
          <w:rFonts w:ascii="宋体" w:hAnsi="宋体"/>
          <w:color w:val="000000" w:themeColor="text1"/>
          <w:szCs w:val="28"/>
          <w:highlight w:val="none"/>
          <w14:textFill>
            <w14:solidFill>
              <w14:schemeClr w14:val="tx1"/>
            </w14:solidFill>
          </w14:textFill>
        </w:rPr>
        <w:fldChar w:fldCharType="end"/>
      </w:r>
    </w:p>
    <w:p w14:paraId="44E47BAD">
      <w:pPr>
        <w:pStyle w:val="2"/>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_Toc4110 </w:instrText>
      </w:r>
      <w:r>
        <w:rPr>
          <w:rFonts w:ascii="宋体" w:hAnsi="宋体"/>
          <w:szCs w:val="28"/>
          <w:highlight w:val="none"/>
        </w:rPr>
        <w:fldChar w:fldCharType="separate"/>
      </w:r>
      <w:r>
        <w:rPr>
          <w:rFonts w:hint="eastAsia" w:ascii="仿宋" w:hAnsi="仿宋" w:eastAsia="仿宋"/>
          <w:highlight w:val="none"/>
        </w:rPr>
        <w:t>第二章　投标人须知</w:t>
      </w:r>
      <w:r>
        <w:tab/>
      </w:r>
      <w:r>
        <w:fldChar w:fldCharType="begin"/>
      </w:r>
      <w:r>
        <w:instrText xml:space="preserve"> PAGEREF _Toc4110 \h </w:instrText>
      </w:r>
      <w:r>
        <w:fldChar w:fldCharType="separate"/>
      </w:r>
      <w:r>
        <w:t>5</w:t>
      </w:r>
      <w:r>
        <w:fldChar w:fldCharType="end"/>
      </w:r>
      <w:r>
        <w:rPr>
          <w:rFonts w:ascii="宋体" w:hAnsi="宋体"/>
          <w:color w:val="000000" w:themeColor="text1"/>
          <w:szCs w:val="28"/>
          <w:highlight w:val="none"/>
          <w14:textFill>
            <w14:solidFill>
              <w14:schemeClr w14:val="tx1"/>
            </w14:solidFill>
          </w14:textFill>
        </w:rPr>
        <w:fldChar w:fldCharType="end"/>
      </w:r>
    </w:p>
    <w:p w14:paraId="6BA9F368">
      <w:pPr>
        <w:pStyle w:val="2"/>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_Toc9362 </w:instrText>
      </w:r>
      <w:r>
        <w:rPr>
          <w:rFonts w:ascii="宋体" w:hAnsi="宋体"/>
          <w:szCs w:val="28"/>
          <w:highlight w:val="none"/>
        </w:rPr>
        <w:fldChar w:fldCharType="separate"/>
      </w:r>
      <w:r>
        <w:rPr>
          <w:rFonts w:hint="eastAsia" w:ascii="仿宋" w:hAnsi="仿宋" w:eastAsia="仿宋"/>
          <w:highlight w:val="none"/>
        </w:rPr>
        <w:t>投标人须知前附表</w:t>
      </w:r>
      <w:r>
        <w:tab/>
      </w:r>
      <w:r>
        <w:fldChar w:fldCharType="begin"/>
      </w:r>
      <w:r>
        <w:instrText xml:space="preserve"> PAGEREF _Toc9362 \h </w:instrText>
      </w:r>
      <w:r>
        <w:fldChar w:fldCharType="separate"/>
      </w:r>
      <w:r>
        <w:t>5</w:t>
      </w:r>
      <w:r>
        <w:fldChar w:fldCharType="end"/>
      </w:r>
      <w:r>
        <w:rPr>
          <w:rFonts w:ascii="宋体" w:hAnsi="宋体"/>
          <w:color w:val="000000" w:themeColor="text1"/>
          <w:szCs w:val="28"/>
          <w:highlight w:val="none"/>
          <w14:textFill>
            <w14:solidFill>
              <w14:schemeClr w14:val="tx1"/>
            </w14:solidFill>
          </w14:textFill>
        </w:rPr>
        <w:fldChar w:fldCharType="end"/>
      </w:r>
    </w:p>
    <w:p w14:paraId="38655EFF">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_Toc2205 </w:instrText>
      </w:r>
      <w:r>
        <w:rPr>
          <w:rFonts w:ascii="宋体" w:hAnsi="宋体"/>
          <w:szCs w:val="28"/>
          <w:highlight w:val="none"/>
        </w:rPr>
        <w:fldChar w:fldCharType="separate"/>
      </w:r>
      <w:r>
        <w:rPr>
          <w:rFonts w:hint="eastAsia" w:ascii="仿宋" w:hAnsi="仿宋" w:eastAsia="仿宋" w:cs="仿宋"/>
          <w:i w:val="0"/>
          <w:strike w:val="0"/>
          <w:spacing w:val="0"/>
          <w:highlight w:val="none"/>
          <w:lang w:val="en-US" w:eastAsia="zh-CN"/>
        </w:rPr>
        <w:t>带</w:t>
      </w:r>
      <w:r>
        <w:rPr>
          <w:rFonts w:hint="eastAsia" w:ascii="仿宋" w:hAnsi="仿宋" w:eastAsia="仿宋" w:cs="仿宋"/>
          <w:i w:val="0"/>
          <w:strike w:val="0"/>
          <w:spacing w:val="0"/>
          <w:highlight w:val="none"/>
          <w:lang w:eastAsia="zh-CN"/>
        </w:rPr>
        <w:t>“</w:t>
      </w:r>
      <w:r>
        <w:rPr>
          <w:rFonts w:ascii="仿宋" w:hAnsi="仿宋" w:eastAsia="仿宋" w:cs="仿宋"/>
          <w:i w:val="0"/>
          <w:strike w:val="0"/>
          <w:spacing w:val="0"/>
          <w:highlight w:val="none"/>
        </w:rPr>
        <w:t>★</w:t>
      </w:r>
      <w:r>
        <w:rPr>
          <w:rFonts w:hint="eastAsia" w:ascii="仿宋" w:hAnsi="仿宋" w:eastAsia="仿宋" w:cs="仿宋"/>
          <w:i w:val="0"/>
          <w:strike w:val="0"/>
          <w:spacing w:val="0"/>
          <w:highlight w:val="none"/>
          <w:lang w:eastAsia="zh-CN"/>
        </w:rPr>
        <w:t>”</w:t>
      </w:r>
      <w:r>
        <w:rPr>
          <w:rFonts w:hint="eastAsia" w:ascii="仿宋" w:hAnsi="仿宋" w:eastAsia="仿宋" w:cs="仿宋"/>
          <w:i w:val="0"/>
          <w:strike w:val="0"/>
          <w:spacing w:val="0"/>
          <w:highlight w:val="none"/>
          <w:lang w:val="en-US" w:eastAsia="zh-CN"/>
        </w:rPr>
        <w:t>号</w:t>
      </w:r>
      <w:r>
        <w:rPr>
          <w:rFonts w:hint="eastAsia" w:ascii="仿宋" w:hAnsi="仿宋" w:eastAsia="仿宋"/>
          <w:highlight w:val="none"/>
          <w:lang w:val="en-US" w:eastAsia="zh-CN"/>
        </w:rPr>
        <w:t>条款汇总表</w:t>
      </w:r>
      <w:r>
        <w:tab/>
      </w:r>
      <w:r>
        <w:fldChar w:fldCharType="begin"/>
      </w:r>
      <w:r>
        <w:instrText xml:space="preserve"> PAGEREF _Toc2205 \h </w:instrText>
      </w:r>
      <w:r>
        <w:fldChar w:fldCharType="separate"/>
      </w:r>
      <w:r>
        <w:t>8</w:t>
      </w:r>
      <w:r>
        <w:fldChar w:fldCharType="end"/>
      </w:r>
      <w:r>
        <w:rPr>
          <w:rFonts w:ascii="宋体" w:hAnsi="宋体"/>
          <w:color w:val="000000" w:themeColor="text1"/>
          <w:szCs w:val="28"/>
          <w:highlight w:val="none"/>
          <w14:textFill>
            <w14:solidFill>
              <w14:schemeClr w14:val="tx1"/>
            </w14:solidFill>
          </w14:textFill>
        </w:rPr>
        <w:fldChar w:fldCharType="end"/>
      </w:r>
    </w:p>
    <w:p w14:paraId="6130AED6">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_Toc3046 </w:instrText>
      </w:r>
      <w:r>
        <w:rPr>
          <w:rFonts w:ascii="宋体" w:hAnsi="宋体"/>
          <w:szCs w:val="28"/>
          <w:highlight w:val="none"/>
        </w:rPr>
        <w:fldChar w:fldCharType="separate"/>
      </w:r>
      <w:r>
        <w:rPr>
          <w:rFonts w:hint="eastAsia" w:ascii="仿宋" w:hAnsi="仿宋" w:eastAsia="仿宋"/>
          <w:highlight w:val="none"/>
        </w:rPr>
        <w:t>第一节  说  明</w:t>
      </w:r>
      <w:r>
        <w:tab/>
      </w:r>
      <w:r>
        <w:fldChar w:fldCharType="begin"/>
      </w:r>
      <w:r>
        <w:instrText xml:space="preserve"> PAGEREF _Toc3046 \h </w:instrText>
      </w:r>
      <w:r>
        <w:fldChar w:fldCharType="separate"/>
      </w:r>
      <w:r>
        <w:t>9</w:t>
      </w:r>
      <w:r>
        <w:fldChar w:fldCharType="end"/>
      </w:r>
      <w:r>
        <w:rPr>
          <w:rFonts w:ascii="宋体" w:hAnsi="宋体"/>
          <w:color w:val="000000" w:themeColor="text1"/>
          <w:szCs w:val="28"/>
          <w:highlight w:val="none"/>
          <w14:textFill>
            <w14:solidFill>
              <w14:schemeClr w14:val="tx1"/>
            </w14:solidFill>
          </w14:textFill>
        </w:rPr>
        <w:fldChar w:fldCharType="end"/>
      </w:r>
    </w:p>
    <w:p w14:paraId="38D537FC">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_Toc30526 </w:instrText>
      </w:r>
      <w:r>
        <w:rPr>
          <w:rFonts w:ascii="宋体" w:hAnsi="宋体"/>
          <w:szCs w:val="28"/>
          <w:highlight w:val="none"/>
        </w:rPr>
        <w:fldChar w:fldCharType="separate"/>
      </w:r>
      <w:r>
        <w:rPr>
          <w:rFonts w:ascii="仿宋" w:hAnsi="仿宋" w:eastAsia="仿宋"/>
          <w:highlight w:val="none"/>
        </w:rPr>
        <w:t xml:space="preserve">1. </w:t>
      </w:r>
      <w:r>
        <w:rPr>
          <w:rFonts w:hint="eastAsia" w:ascii="仿宋" w:hAnsi="仿宋" w:eastAsia="仿宋"/>
          <w:highlight w:val="none"/>
        </w:rPr>
        <w:t>适用范围</w:t>
      </w:r>
      <w:r>
        <w:tab/>
      </w:r>
      <w:r>
        <w:fldChar w:fldCharType="begin"/>
      </w:r>
      <w:r>
        <w:instrText xml:space="preserve"> PAGEREF _Toc30526 \h </w:instrText>
      </w:r>
      <w:r>
        <w:fldChar w:fldCharType="separate"/>
      </w:r>
      <w:r>
        <w:t>9</w:t>
      </w:r>
      <w:r>
        <w:fldChar w:fldCharType="end"/>
      </w:r>
      <w:r>
        <w:rPr>
          <w:rFonts w:ascii="宋体" w:hAnsi="宋体"/>
          <w:color w:val="000000" w:themeColor="text1"/>
          <w:szCs w:val="28"/>
          <w:highlight w:val="none"/>
          <w14:textFill>
            <w14:solidFill>
              <w14:schemeClr w14:val="tx1"/>
            </w14:solidFill>
          </w14:textFill>
        </w:rPr>
        <w:fldChar w:fldCharType="end"/>
      </w:r>
    </w:p>
    <w:p w14:paraId="360779F9">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_Toc2896 </w:instrText>
      </w:r>
      <w:r>
        <w:rPr>
          <w:rFonts w:ascii="宋体" w:hAnsi="宋体"/>
          <w:szCs w:val="28"/>
          <w:highlight w:val="none"/>
        </w:rPr>
        <w:fldChar w:fldCharType="separate"/>
      </w:r>
      <w:r>
        <w:rPr>
          <w:rFonts w:ascii="仿宋" w:hAnsi="仿宋" w:eastAsia="仿宋"/>
          <w:highlight w:val="none"/>
        </w:rPr>
        <w:t xml:space="preserve">2. </w:t>
      </w:r>
      <w:r>
        <w:rPr>
          <w:rFonts w:hint="eastAsia" w:ascii="仿宋" w:hAnsi="仿宋" w:eastAsia="仿宋"/>
          <w:highlight w:val="none"/>
        </w:rPr>
        <w:t>定义</w:t>
      </w:r>
      <w:r>
        <w:tab/>
      </w:r>
      <w:r>
        <w:fldChar w:fldCharType="begin"/>
      </w:r>
      <w:r>
        <w:instrText xml:space="preserve"> PAGEREF _Toc2896 \h </w:instrText>
      </w:r>
      <w:r>
        <w:fldChar w:fldCharType="separate"/>
      </w:r>
      <w:r>
        <w:t>9</w:t>
      </w:r>
      <w:r>
        <w:fldChar w:fldCharType="end"/>
      </w:r>
      <w:r>
        <w:rPr>
          <w:rFonts w:ascii="宋体" w:hAnsi="宋体"/>
          <w:color w:val="000000" w:themeColor="text1"/>
          <w:szCs w:val="28"/>
          <w:highlight w:val="none"/>
          <w14:textFill>
            <w14:solidFill>
              <w14:schemeClr w14:val="tx1"/>
            </w14:solidFill>
          </w14:textFill>
        </w:rPr>
        <w:fldChar w:fldCharType="end"/>
      </w:r>
    </w:p>
    <w:p w14:paraId="69776CA5">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_Toc27578 </w:instrText>
      </w:r>
      <w:r>
        <w:rPr>
          <w:rFonts w:ascii="宋体" w:hAnsi="宋体"/>
          <w:szCs w:val="28"/>
          <w:highlight w:val="none"/>
        </w:rPr>
        <w:fldChar w:fldCharType="separate"/>
      </w:r>
      <w:r>
        <w:rPr>
          <w:rFonts w:ascii="仿宋" w:hAnsi="仿宋" w:eastAsia="仿宋"/>
          <w:highlight w:val="none"/>
        </w:rPr>
        <w:t xml:space="preserve">3. </w:t>
      </w:r>
      <w:r>
        <w:rPr>
          <w:rFonts w:hint="eastAsia" w:ascii="仿宋" w:hAnsi="仿宋" w:eastAsia="仿宋"/>
          <w:highlight w:val="none"/>
        </w:rPr>
        <w:t>合格的投标人</w:t>
      </w:r>
      <w:r>
        <w:tab/>
      </w:r>
      <w:r>
        <w:fldChar w:fldCharType="begin"/>
      </w:r>
      <w:r>
        <w:instrText xml:space="preserve"> PAGEREF _Toc27578 \h </w:instrText>
      </w:r>
      <w:r>
        <w:fldChar w:fldCharType="separate"/>
      </w:r>
      <w:r>
        <w:t>9</w:t>
      </w:r>
      <w:r>
        <w:fldChar w:fldCharType="end"/>
      </w:r>
      <w:r>
        <w:rPr>
          <w:rFonts w:ascii="宋体" w:hAnsi="宋体"/>
          <w:color w:val="000000" w:themeColor="text1"/>
          <w:szCs w:val="28"/>
          <w:highlight w:val="none"/>
          <w14:textFill>
            <w14:solidFill>
              <w14:schemeClr w14:val="tx1"/>
            </w14:solidFill>
          </w14:textFill>
        </w:rPr>
        <w:fldChar w:fldCharType="end"/>
      </w:r>
    </w:p>
    <w:p w14:paraId="0E3C4D14">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_Toc22478 </w:instrText>
      </w:r>
      <w:r>
        <w:rPr>
          <w:rFonts w:ascii="宋体" w:hAnsi="宋体"/>
          <w:szCs w:val="28"/>
          <w:highlight w:val="none"/>
        </w:rPr>
        <w:fldChar w:fldCharType="separate"/>
      </w:r>
      <w:r>
        <w:rPr>
          <w:rFonts w:hint="eastAsia" w:ascii="仿宋" w:hAnsi="仿宋" w:eastAsia="仿宋"/>
          <w:highlight w:val="none"/>
        </w:rPr>
        <w:t>4</w:t>
      </w:r>
      <w:r>
        <w:rPr>
          <w:rFonts w:ascii="仿宋" w:hAnsi="仿宋" w:eastAsia="仿宋"/>
          <w:highlight w:val="none"/>
        </w:rPr>
        <w:t>.</w:t>
      </w:r>
      <w:r>
        <w:rPr>
          <w:rFonts w:hint="eastAsia" w:ascii="仿宋" w:hAnsi="仿宋" w:eastAsia="仿宋"/>
          <w:highlight w:val="none"/>
        </w:rPr>
        <w:t xml:space="preserve"> 投标费用</w:t>
      </w:r>
      <w:r>
        <w:tab/>
      </w:r>
      <w:r>
        <w:fldChar w:fldCharType="begin"/>
      </w:r>
      <w:r>
        <w:instrText xml:space="preserve"> PAGEREF _Toc22478 \h </w:instrText>
      </w:r>
      <w:r>
        <w:fldChar w:fldCharType="separate"/>
      </w:r>
      <w:r>
        <w:t>9</w:t>
      </w:r>
      <w:r>
        <w:fldChar w:fldCharType="end"/>
      </w:r>
      <w:r>
        <w:rPr>
          <w:rFonts w:ascii="宋体" w:hAnsi="宋体"/>
          <w:color w:val="000000" w:themeColor="text1"/>
          <w:szCs w:val="28"/>
          <w:highlight w:val="none"/>
          <w14:textFill>
            <w14:solidFill>
              <w14:schemeClr w14:val="tx1"/>
            </w14:solidFill>
          </w14:textFill>
        </w:rPr>
        <w:fldChar w:fldCharType="end"/>
      </w:r>
    </w:p>
    <w:p w14:paraId="2CE5F20F">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_Toc520 </w:instrText>
      </w:r>
      <w:r>
        <w:rPr>
          <w:rFonts w:ascii="宋体" w:hAnsi="宋体"/>
          <w:szCs w:val="28"/>
          <w:highlight w:val="none"/>
        </w:rPr>
        <w:fldChar w:fldCharType="separate"/>
      </w:r>
      <w:r>
        <w:rPr>
          <w:rFonts w:hint="eastAsia" w:ascii="仿宋" w:hAnsi="仿宋" w:eastAsia="仿宋"/>
          <w:highlight w:val="none"/>
        </w:rPr>
        <w:t>第二节  招标文件说明</w:t>
      </w:r>
      <w:r>
        <w:tab/>
      </w:r>
      <w:r>
        <w:fldChar w:fldCharType="begin"/>
      </w:r>
      <w:r>
        <w:instrText xml:space="preserve"> PAGEREF _Toc520 \h </w:instrText>
      </w:r>
      <w:r>
        <w:fldChar w:fldCharType="separate"/>
      </w:r>
      <w:r>
        <w:t>9</w:t>
      </w:r>
      <w:r>
        <w:fldChar w:fldCharType="end"/>
      </w:r>
      <w:r>
        <w:rPr>
          <w:rFonts w:ascii="宋体" w:hAnsi="宋体"/>
          <w:color w:val="000000" w:themeColor="text1"/>
          <w:szCs w:val="28"/>
          <w:highlight w:val="none"/>
          <w14:textFill>
            <w14:solidFill>
              <w14:schemeClr w14:val="tx1"/>
            </w14:solidFill>
          </w14:textFill>
        </w:rPr>
        <w:fldChar w:fldCharType="end"/>
      </w:r>
    </w:p>
    <w:p w14:paraId="5EC6EB1C">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_Toc13476 </w:instrText>
      </w:r>
      <w:r>
        <w:rPr>
          <w:rFonts w:ascii="宋体" w:hAnsi="宋体"/>
          <w:szCs w:val="28"/>
          <w:highlight w:val="none"/>
        </w:rPr>
        <w:fldChar w:fldCharType="separate"/>
      </w:r>
      <w:r>
        <w:rPr>
          <w:rFonts w:hint="eastAsia" w:ascii="仿宋" w:hAnsi="仿宋" w:eastAsia="仿宋"/>
          <w:highlight w:val="none"/>
        </w:rPr>
        <w:t>5</w:t>
      </w:r>
      <w:r>
        <w:rPr>
          <w:rFonts w:ascii="仿宋" w:hAnsi="仿宋" w:eastAsia="仿宋"/>
          <w:highlight w:val="none"/>
        </w:rPr>
        <w:t xml:space="preserve">. </w:t>
      </w:r>
      <w:r>
        <w:rPr>
          <w:rFonts w:hint="eastAsia" w:ascii="仿宋" w:hAnsi="仿宋" w:eastAsia="仿宋"/>
          <w:highlight w:val="none"/>
        </w:rPr>
        <w:t>招标文件的组成</w:t>
      </w:r>
      <w:r>
        <w:tab/>
      </w:r>
      <w:r>
        <w:fldChar w:fldCharType="begin"/>
      </w:r>
      <w:r>
        <w:instrText xml:space="preserve"> PAGEREF _Toc13476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0EDCE706">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_Toc21219 </w:instrText>
      </w:r>
      <w:r>
        <w:rPr>
          <w:rFonts w:ascii="宋体" w:hAnsi="宋体"/>
          <w:szCs w:val="28"/>
          <w:highlight w:val="none"/>
        </w:rPr>
        <w:fldChar w:fldCharType="separate"/>
      </w:r>
      <w:r>
        <w:rPr>
          <w:rFonts w:ascii="仿宋" w:hAnsi="仿宋" w:eastAsia="仿宋"/>
          <w:highlight w:val="none"/>
        </w:rPr>
        <w:t>6. 招标文件的澄清</w:t>
      </w:r>
      <w:r>
        <w:tab/>
      </w:r>
      <w:r>
        <w:fldChar w:fldCharType="begin"/>
      </w:r>
      <w:r>
        <w:instrText xml:space="preserve"> PAGEREF _Toc21219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492DDCE5">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_Toc14366 </w:instrText>
      </w:r>
      <w:r>
        <w:rPr>
          <w:rFonts w:ascii="宋体" w:hAnsi="宋体"/>
          <w:szCs w:val="28"/>
          <w:highlight w:val="none"/>
        </w:rPr>
        <w:fldChar w:fldCharType="separate"/>
      </w:r>
      <w:r>
        <w:rPr>
          <w:rFonts w:ascii="仿宋" w:hAnsi="仿宋" w:eastAsia="仿宋"/>
          <w:highlight w:val="none"/>
        </w:rPr>
        <w:t xml:space="preserve">7. </w:t>
      </w:r>
      <w:r>
        <w:rPr>
          <w:rFonts w:hint="eastAsia" w:ascii="仿宋" w:hAnsi="仿宋" w:eastAsia="仿宋"/>
          <w:highlight w:val="none"/>
        </w:rPr>
        <w:t>招标文件的修改</w:t>
      </w:r>
      <w:r>
        <w:tab/>
      </w:r>
      <w:r>
        <w:fldChar w:fldCharType="begin"/>
      </w:r>
      <w:r>
        <w:instrText xml:space="preserve"> PAGEREF _Toc14366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1F931AF5">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_Toc25079 </w:instrText>
      </w:r>
      <w:r>
        <w:rPr>
          <w:rFonts w:ascii="宋体" w:hAnsi="宋体"/>
          <w:szCs w:val="28"/>
          <w:highlight w:val="none"/>
        </w:rPr>
        <w:fldChar w:fldCharType="separate"/>
      </w:r>
      <w:r>
        <w:rPr>
          <w:rFonts w:hint="eastAsia" w:ascii="仿宋" w:hAnsi="仿宋" w:eastAsia="仿宋"/>
          <w:highlight w:val="none"/>
        </w:rPr>
        <w:t>第三节  投标文件的编写</w:t>
      </w:r>
      <w:r>
        <w:tab/>
      </w:r>
      <w:r>
        <w:fldChar w:fldCharType="begin"/>
      </w:r>
      <w:r>
        <w:instrText xml:space="preserve"> PAGEREF _Toc25079 \h </w:instrText>
      </w:r>
      <w:r>
        <w:fldChar w:fldCharType="separate"/>
      </w:r>
      <w:r>
        <w:t>11</w:t>
      </w:r>
      <w:r>
        <w:fldChar w:fldCharType="end"/>
      </w:r>
      <w:r>
        <w:rPr>
          <w:rFonts w:ascii="宋体" w:hAnsi="宋体"/>
          <w:color w:val="000000" w:themeColor="text1"/>
          <w:szCs w:val="28"/>
          <w:highlight w:val="none"/>
          <w14:textFill>
            <w14:solidFill>
              <w14:schemeClr w14:val="tx1"/>
            </w14:solidFill>
          </w14:textFill>
        </w:rPr>
        <w:fldChar w:fldCharType="end"/>
      </w:r>
    </w:p>
    <w:p w14:paraId="7F0062CE">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_Toc19328 </w:instrText>
      </w:r>
      <w:r>
        <w:rPr>
          <w:rFonts w:ascii="宋体" w:hAnsi="宋体"/>
          <w:szCs w:val="28"/>
          <w:highlight w:val="none"/>
        </w:rPr>
        <w:fldChar w:fldCharType="separate"/>
      </w:r>
      <w:r>
        <w:rPr>
          <w:rFonts w:hint="eastAsia" w:ascii="仿宋" w:hAnsi="仿宋" w:eastAsia="仿宋"/>
          <w:highlight w:val="none"/>
        </w:rPr>
        <w:t>8</w:t>
      </w:r>
      <w:r>
        <w:rPr>
          <w:rFonts w:ascii="仿宋" w:hAnsi="仿宋" w:eastAsia="仿宋"/>
          <w:highlight w:val="none"/>
        </w:rPr>
        <w:t xml:space="preserve">. </w:t>
      </w:r>
      <w:r>
        <w:rPr>
          <w:rFonts w:hint="eastAsia" w:ascii="仿宋" w:hAnsi="仿宋" w:eastAsia="仿宋"/>
          <w:highlight w:val="none"/>
        </w:rPr>
        <w:t>要求</w:t>
      </w:r>
      <w:r>
        <w:tab/>
      </w:r>
      <w:r>
        <w:fldChar w:fldCharType="begin"/>
      </w:r>
      <w:r>
        <w:instrText xml:space="preserve"> PAGEREF _Toc19328 \h </w:instrText>
      </w:r>
      <w:r>
        <w:fldChar w:fldCharType="separate"/>
      </w:r>
      <w:r>
        <w:t>11</w:t>
      </w:r>
      <w:r>
        <w:fldChar w:fldCharType="end"/>
      </w:r>
      <w:r>
        <w:rPr>
          <w:rFonts w:ascii="宋体" w:hAnsi="宋体"/>
          <w:color w:val="000000" w:themeColor="text1"/>
          <w:szCs w:val="28"/>
          <w:highlight w:val="none"/>
          <w14:textFill>
            <w14:solidFill>
              <w14:schemeClr w14:val="tx1"/>
            </w14:solidFill>
          </w14:textFill>
        </w:rPr>
        <w:fldChar w:fldCharType="end"/>
      </w:r>
    </w:p>
    <w:p w14:paraId="6E52CF24">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_Toc16025 </w:instrText>
      </w:r>
      <w:r>
        <w:rPr>
          <w:rFonts w:ascii="宋体" w:hAnsi="宋体"/>
          <w:szCs w:val="28"/>
          <w:highlight w:val="none"/>
        </w:rPr>
        <w:fldChar w:fldCharType="separate"/>
      </w:r>
      <w:r>
        <w:rPr>
          <w:rFonts w:hint="eastAsia" w:ascii="仿宋" w:hAnsi="仿宋" w:eastAsia="仿宋"/>
          <w:highlight w:val="none"/>
        </w:rPr>
        <w:t>9</w:t>
      </w:r>
      <w:r>
        <w:rPr>
          <w:rFonts w:ascii="仿宋" w:hAnsi="仿宋" w:eastAsia="仿宋"/>
          <w:highlight w:val="none"/>
        </w:rPr>
        <w:t xml:space="preserve">. </w:t>
      </w:r>
      <w:r>
        <w:rPr>
          <w:rFonts w:hint="eastAsia" w:ascii="仿宋" w:hAnsi="仿宋" w:eastAsia="仿宋"/>
          <w:highlight w:val="none"/>
        </w:rPr>
        <w:t>投标文件语言</w:t>
      </w:r>
      <w:r>
        <w:tab/>
      </w:r>
      <w:r>
        <w:fldChar w:fldCharType="begin"/>
      </w:r>
      <w:r>
        <w:instrText xml:space="preserve"> PAGEREF _Toc16025 \h </w:instrText>
      </w:r>
      <w:r>
        <w:fldChar w:fldCharType="separate"/>
      </w:r>
      <w:r>
        <w:t>11</w:t>
      </w:r>
      <w:r>
        <w:fldChar w:fldCharType="end"/>
      </w:r>
      <w:r>
        <w:rPr>
          <w:rFonts w:ascii="宋体" w:hAnsi="宋体"/>
          <w:color w:val="000000" w:themeColor="text1"/>
          <w:szCs w:val="28"/>
          <w:highlight w:val="none"/>
          <w14:textFill>
            <w14:solidFill>
              <w14:schemeClr w14:val="tx1"/>
            </w14:solidFill>
          </w14:textFill>
        </w:rPr>
        <w:fldChar w:fldCharType="end"/>
      </w:r>
    </w:p>
    <w:p w14:paraId="6AA033F7">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_Toc26469 </w:instrText>
      </w:r>
      <w:r>
        <w:rPr>
          <w:rFonts w:ascii="宋体" w:hAnsi="宋体"/>
          <w:szCs w:val="28"/>
          <w:highlight w:val="none"/>
        </w:rPr>
        <w:fldChar w:fldCharType="separate"/>
      </w:r>
      <w:r>
        <w:rPr>
          <w:rFonts w:hint="eastAsia" w:ascii="仿宋" w:hAnsi="仿宋" w:eastAsia="仿宋"/>
          <w:highlight w:val="none"/>
        </w:rPr>
        <w:t>10</w:t>
      </w:r>
      <w:r>
        <w:rPr>
          <w:rFonts w:ascii="仿宋" w:hAnsi="仿宋" w:eastAsia="仿宋"/>
          <w:highlight w:val="none"/>
        </w:rPr>
        <w:t xml:space="preserve">. </w:t>
      </w:r>
      <w:r>
        <w:rPr>
          <w:rFonts w:hint="eastAsia" w:ascii="仿宋" w:hAnsi="仿宋" w:eastAsia="仿宋"/>
          <w:highlight w:val="none"/>
        </w:rPr>
        <w:t>投标文件的组成</w:t>
      </w:r>
      <w:r>
        <w:tab/>
      </w:r>
      <w:r>
        <w:fldChar w:fldCharType="begin"/>
      </w:r>
      <w:r>
        <w:instrText xml:space="preserve"> PAGEREF _Toc26469 \h </w:instrText>
      </w:r>
      <w:r>
        <w:fldChar w:fldCharType="separate"/>
      </w:r>
      <w:r>
        <w:t>11</w:t>
      </w:r>
      <w:r>
        <w:fldChar w:fldCharType="end"/>
      </w:r>
      <w:r>
        <w:rPr>
          <w:rFonts w:ascii="宋体" w:hAnsi="宋体"/>
          <w:color w:val="000000" w:themeColor="text1"/>
          <w:szCs w:val="28"/>
          <w:highlight w:val="none"/>
          <w14:textFill>
            <w14:solidFill>
              <w14:schemeClr w14:val="tx1"/>
            </w14:solidFill>
          </w14:textFill>
        </w:rPr>
        <w:fldChar w:fldCharType="end"/>
      </w:r>
    </w:p>
    <w:p w14:paraId="06FA3374">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_Toc29481 </w:instrText>
      </w:r>
      <w:r>
        <w:rPr>
          <w:rFonts w:ascii="宋体" w:hAnsi="宋体"/>
          <w:szCs w:val="28"/>
          <w:highlight w:val="none"/>
        </w:rPr>
        <w:fldChar w:fldCharType="separate"/>
      </w:r>
      <w:r>
        <w:rPr>
          <w:rFonts w:hint="eastAsia" w:ascii="仿宋" w:hAnsi="仿宋" w:eastAsia="仿宋"/>
          <w:highlight w:val="none"/>
        </w:rPr>
        <w:t>11</w:t>
      </w:r>
      <w:r>
        <w:rPr>
          <w:rFonts w:ascii="仿宋" w:hAnsi="仿宋" w:eastAsia="仿宋"/>
          <w:highlight w:val="none"/>
        </w:rPr>
        <w:t xml:space="preserve">. </w:t>
      </w:r>
      <w:r>
        <w:rPr>
          <w:rFonts w:hint="eastAsia" w:ascii="仿宋" w:hAnsi="仿宋" w:eastAsia="仿宋"/>
          <w:highlight w:val="none"/>
        </w:rPr>
        <w:t>投标有效期</w:t>
      </w:r>
      <w:r>
        <w:tab/>
      </w:r>
      <w:r>
        <w:fldChar w:fldCharType="begin"/>
      </w:r>
      <w:r>
        <w:instrText xml:space="preserve"> PAGEREF _Toc29481 \h </w:instrText>
      </w:r>
      <w:r>
        <w:fldChar w:fldCharType="separate"/>
      </w:r>
      <w:r>
        <w:t>11</w:t>
      </w:r>
      <w:r>
        <w:fldChar w:fldCharType="end"/>
      </w:r>
      <w:r>
        <w:rPr>
          <w:rFonts w:ascii="宋体" w:hAnsi="宋体"/>
          <w:color w:val="000000" w:themeColor="text1"/>
          <w:szCs w:val="28"/>
          <w:highlight w:val="none"/>
          <w14:textFill>
            <w14:solidFill>
              <w14:schemeClr w14:val="tx1"/>
            </w14:solidFill>
          </w14:textFill>
        </w:rPr>
        <w:fldChar w:fldCharType="end"/>
      </w:r>
    </w:p>
    <w:p w14:paraId="255DBAFB">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_Toc22552 </w:instrText>
      </w:r>
      <w:r>
        <w:rPr>
          <w:rFonts w:ascii="宋体" w:hAnsi="宋体"/>
          <w:szCs w:val="28"/>
          <w:highlight w:val="none"/>
        </w:rPr>
        <w:fldChar w:fldCharType="separate"/>
      </w:r>
      <w:r>
        <w:rPr>
          <w:rFonts w:hint="eastAsia" w:ascii="仿宋" w:hAnsi="仿宋" w:eastAsia="仿宋"/>
          <w:highlight w:val="none"/>
        </w:rPr>
        <w:t>12. 投标保证金</w:t>
      </w:r>
      <w:r>
        <w:tab/>
      </w:r>
      <w:r>
        <w:fldChar w:fldCharType="begin"/>
      </w:r>
      <w:r>
        <w:instrText xml:space="preserve"> PAGEREF _Toc22552 \h </w:instrText>
      </w:r>
      <w:r>
        <w:fldChar w:fldCharType="separate"/>
      </w:r>
      <w:r>
        <w:t>12</w:t>
      </w:r>
      <w:r>
        <w:fldChar w:fldCharType="end"/>
      </w:r>
      <w:r>
        <w:rPr>
          <w:rFonts w:ascii="宋体" w:hAnsi="宋体"/>
          <w:color w:val="000000" w:themeColor="text1"/>
          <w:szCs w:val="28"/>
          <w:highlight w:val="none"/>
          <w14:textFill>
            <w14:solidFill>
              <w14:schemeClr w14:val="tx1"/>
            </w14:solidFill>
          </w14:textFill>
        </w:rPr>
        <w:fldChar w:fldCharType="end"/>
      </w:r>
    </w:p>
    <w:p w14:paraId="2F2B6C75">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_Toc137 </w:instrText>
      </w:r>
      <w:r>
        <w:rPr>
          <w:rFonts w:ascii="宋体" w:hAnsi="宋体"/>
          <w:szCs w:val="28"/>
          <w:highlight w:val="none"/>
        </w:rPr>
        <w:fldChar w:fldCharType="separate"/>
      </w:r>
      <w:r>
        <w:rPr>
          <w:rFonts w:hint="eastAsia" w:ascii="仿宋" w:hAnsi="仿宋" w:eastAsia="仿宋"/>
          <w:highlight w:val="none"/>
        </w:rPr>
        <w:t>13</w:t>
      </w:r>
      <w:r>
        <w:rPr>
          <w:rFonts w:ascii="仿宋" w:hAnsi="仿宋" w:eastAsia="仿宋"/>
          <w:highlight w:val="none"/>
        </w:rPr>
        <w:t xml:space="preserve">. </w:t>
      </w:r>
      <w:r>
        <w:rPr>
          <w:rFonts w:hint="eastAsia" w:ascii="仿宋" w:hAnsi="仿宋" w:eastAsia="仿宋"/>
          <w:highlight w:val="none"/>
        </w:rPr>
        <w:t>投标文件的格式</w:t>
      </w:r>
      <w:r>
        <w:tab/>
      </w:r>
      <w:r>
        <w:fldChar w:fldCharType="begin"/>
      </w:r>
      <w:r>
        <w:instrText xml:space="preserve"> PAGEREF _Toc137 \h </w:instrText>
      </w:r>
      <w:r>
        <w:fldChar w:fldCharType="separate"/>
      </w:r>
      <w:r>
        <w:t>13</w:t>
      </w:r>
      <w:r>
        <w:fldChar w:fldCharType="end"/>
      </w:r>
      <w:r>
        <w:rPr>
          <w:rFonts w:ascii="宋体" w:hAnsi="宋体"/>
          <w:color w:val="000000" w:themeColor="text1"/>
          <w:szCs w:val="28"/>
          <w:highlight w:val="none"/>
          <w14:textFill>
            <w14:solidFill>
              <w14:schemeClr w14:val="tx1"/>
            </w14:solidFill>
          </w14:textFill>
        </w:rPr>
        <w:fldChar w:fldCharType="end"/>
      </w:r>
    </w:p>
    <w:p w14:paraId="3B7E4FD2">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_Toc29100 </w:instrText>
      </w:r>
      <w:r>
        <w:rPr>
          <w:rFonts w:ascii="宋体" w:hAnsi="宋体"/>
          <w:szCs w:val="28"/>
          <w:highlight w:val="none"/>
        </w:rPr>
        <w:fldChar w:fldCharType="separate"/>
      </w:r>
      <w:r>
        <w:rPr>
          <w:rFonts w:hint="eastAsia" w:ascii="仿宋" w:hAnsi="仿宋" w:eastAsia="仿宋"/>
          <w:highlight w:val="none"/>
        </w:rPr>
        <w:t>第四节  投标文件的提交</w:t>
      </w:r>
      <w:r>
        <w:tab/>
      </w:r>
      <w:r>
        <w:fldChar w:fldCharType="begin"/>
      </w:r>
      <w:r>
        <w:instrText xml:space="preserve"> PAGEREF _Toc29100 \h </w:instrText>
      </w:r>
      <w:r>
        <w:fldChar w:fldCharType="separate"/>
      </w:r>
      <w:r>
        <w:t>14</w:t>
      </w:r>
      <w:r>
        <w:fldChar w:fldCharType="end"/>
      </w:r>
      <w:r>
        <w:rPr>
          <w:rFonts w:ascii="宋体" w:hAnsi="宋体"/>
          <w:color w:val="000000" w:themeColor="text1"/>
          <w:szCs w:val="28"/>
          <w:highlight w:val="none"/>
          <w14:textFill>
            <w14:solidFill>
              <w14:schemeClr w14:val="tx1"/>
            </w14:solidFill>
          </w14:textFill>
        </w:rPr>
        <w:fldChar w:fldCharType="end"/>
      </w:r>
    </w:p>
    <w:p w14:paraId="62B18360">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_Toc20050 </w:instrText>
      </w:r>
      <w:r>
        <w:rPr>
          <w:rFonts w:ascii="宋体" w:hAnsi="宋体"/>
          <w:szCs w:val="28"/>
          <w:highlight w:val="none"/>
        </w:rPr>
        <w:fldChar w:fldCharType="separate"/>
      </w:r>
      <w:r>
        <w:rPr>
          <w:rFonts w:hint="eastAsia" w:ascii="仿宋" w:hAnsi="仿宋" w:eastAsia="仿宋"/>
          <w:highlight w:val="none"/>
        </w:rPr>
        <w:t>14. 投标文件的密封、标记和递交</w:t>
      </w:r>
      <w:r>
        <w:tab/>
      </w:r>
      <w:r>
        <w:fldChar w:fldCharType="begin"/>
      </w:r>
      <w:r>
        <w:instrText xml:space="preserve"> PAGEREF _Toc20050 \h </w:instrText>
      </w:r>
      <w:r>
        <w:fldChar w:fldCharType="separate"/>
      </w:r>
      <w:r>
        <w:t>14</w:t>
      </w:r>
      <w:r>
        <w:fldChar w:fldCharType="end"/>
      </w:r>
      <w:r>
        <w:rPr>
          <w:rFonts w:ascii="宋体" w:hAnsi="宋体"/>
          <w:color w:val="000000" w:themeColor="text1"/>
          <w:szCs w:val="28"/>
          <w:highlight w:val="none"/>
          <w14:textFill>
            <w14:solidFill>
              <w14:schemeClr w14:val="tx1"/>
            </w14:solidFill>
          </w14:textFill>
        </w:rPr>
        <w:fldChar w:fldCharType="end"/>
      </w:r>
    </w:p>
    <w:p w14:paraId="672C7A60">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_Toc6622 </w:instrText>
      </w:r>
      <w:r>
        <w:rPr>
          <w:rFonts w:ascii="宋体" w:hAnsi="宋体"/>
          <w:szCs w:val="28"/>
          <w:highlight w:val="none"/>
        </w:rPr>
        <w:fldChar w:fldCharType="separate"/>
      </w:r>
      <w:r>
        <w:rPr>
          <w:rFonts w:hint="eastAsia" w:ascii="仿宋" w:hAnsi="仿宋" w:eastAsia="仿宋"/>
          <w:highlight w:val="none"/>
        </w:rPr>
        <w:t>第五节</w:t>
      </w:r>
      <w:r>
        <w:rPr>
          <w:rFonts w:hint="eastAsia" w:ascii="仿宋" w:hAnsi="仿宋" w:eastAsia="仿宋"/>
          <w:highlight w:val="none"/>
          <w:lang w:val="en-US" w:eastAsia="zh-CN"/>
        </w:rPr>
        <w:t xml:space="preserve"> </w:t>
      </w:r>
      <w:r>
        <w:rPr>
          <w:rFonts w:hint="eastAsia" w:ascii="仿宋" w:hAnsi="仿宋" w:eastAsia="仿宋"/>
          <w:highlight w:val="none"/>
        </w:rPr>
        <w:t>投标文件的评估和比较</w:t>
      </w:r>
      <w:r>
        <w:tab/>
      </w:r>
      <w:r>
        <w:fldChar w:fldCharType="begin"/>
      </w:r>
      <w:r>
        <w:instrText xml:space="preserve"> PAGEREF _Toc6622 \h </w:instrText>
      </w:r>
      <w:r>
        <w:fldChar w:fldCharType="separate"/>
      </w:r>
      <w:r>
        <w:t>14</w:t>
      </w:r>
      <w:r>
        <w:fldChar w:fldCharType="end"/>
      </w:r>
      <w:r>
        <w:rPr>
          <w:rFonts w:ascii="宋体" w:hAnsi="宋体"/>
          <w:color w:val="000000" w:themeColor="text1"/>
          <w:szCs w:val="28"/>
          <w:highlight w:val="none"/>
          <w14:textFill>
            <w14:solidFill>
              <w14:schemeClr w14:val="tx1"/>
            </w14:solidFill>
          </w14:textFill>
        </w:rPr>
        <w:fldChar w:fldCharType="end"/>
      </w:r>
    </w:p>
    <w:p w14:paraId="79515AC9">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_Toc32176 </w:instrText>
      </w:r>
      <w:r>
        <w:rPr>
          <w:rFonts w:ascii="宋体" w:hAnsi="宋体"/>
          <w:szCs w:val="28"/>
          <w:highlight w:val="none"/>
        </w:rPr>
        <w:fldChar w:fldCharType="separate"/>
      </w:r>
      <w:r>
        <w:rPr>
          <w:rFonts w:hint="eastAsia" w:ascii="仿宋" w:hAnsi="仿宋" w:eastAsia="仿宋"/>
          <w:highlight w:val="none"/>
        </w:rPr>
        <w:t>15．开标、评标时间</w:t>
      </w:r>
      <w:r>
        <w:tab/>
      </w:r>
      <w:r>
        <w:fldChar w:fldCharType="begin"/>
      </w:r>
      <w:r>
        <w:instrText xml:space="preserve"> PAGEREF _Toc32176 \h </w:instrText>
      </w:r>
      <w:r>
        <w:fldChar w:fldCharType="separate"/>
      </w:r>
      <w:r>
        <w:t>14</w:t>
      </w:r>
      <w:r>
        <w:fldChar w:fldCharType="end"/>
      </w:r>
      <w:r>
        <w:rPr>
          <w:rFonts w:ascii="宋体" w:hAnsi="宋体"/>
          <w:color w:val="000000" w:themeColor="text1"/>
          <w:szCs w:val="28"/>
          <w:highlight w:val="none"/>
          <w14:textFill>
            <w14:solidFill>
              <w14:schemeClr w14:val="tx1"/>
            </w14:solidFill>
          </w14:textFill>
        </w:rPr>
        <w:fldChar w:fldCharType="end"/>
      </w:r>
    </w:p>
    <w:p w14:paraId="3C2F551D">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_Toc32265 </w:instrText>
      </w:r>
      <w:r>
        <w:rPr>
          <w:rFonts w:ascii="宋体" w:hAnsi="宋体"/>
          <w:szCs w:val="28"/>
          <w:highlight w:val="none"/>
        </w:rPr>
        <w:fldChar w:fldCharType="separate"/>
      </w:r>
      <w:r>
        <w:rPr>
          <w:rFonts w:hint="eastAsia" w:ascii="仿宋" w:hAnsi="仿宋" w:eastAsia="仿宋"/>
          <w:highlight w:val="none"/>
        </w:rPr>
        <w:t>16．评标委员会</w:t>
      </w:r>
      <w:r>
        <w:tab/>
      </w:r>
      <w:r>
        <w:fldChar w:fldCharType="begin"/>
      </w:r>
      <w:r>
        <w:instrText xml:space="preserve"> PAGEREF _Toc32265 \h </w:instrText>
      </w:r>
      <w:r>
        <w:fldChar w:fldCharType="separate"/>
      </w:r>
      <w:r>
        <w:t>15</w:t>
      </w:r>
      <w:r>
        <w:fldChar w:fldCharType="end"/>
      </w:r>
      <w:r>
        <w:rPr>
          <w:rFonts w:ascii="宋体" w:hAnsi="宋体"/>
          <w:color w:val="000000" w:themeColor="text1"/>
          <w:szCs w:val="28"/>
          <w:highlight w:val="none"/>
          <w14:textFill>
            <w14:solidFill>
              <w14:schemeClr w14:val="tx1"/>
            </w14:solidFill>
          </w14:textFill>
        </w:rPr>
        <w:fldChar w:fldCharType="end"/>
      </w:r>
    </w:p>
    <w:p w14:paraId="39A6063F">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_Toc15363 </w:instrText>
      </w:r>
      <w:r>
        <w:rPr>
          <w:rFonts w:ascii="宋体" w:hAnsi="宋体"/>
          <w:szCs w:val="28"/>
          <w:highlight w:val="none"/>
        </w:rPr>
        <w:fldChar w:fldCharType="separate"/>
      </w:r>
      <w:r>
        <w:rPr>
          <w:rFonts w:hint="eastAsia" w:ascii="仿宋" w:hAnsi="仿宋" w:eastAsia="仿宋"/>
          <w:highlight w:val="none"/>
        </w:rPr>
        <w:t>17</w:t>
      </w:r>
      <w:r>
        <w:rPr>
          <w:rFonts w:ascii="仿宋" w:hAnsi="仿宋" w:eastAsia="仿宋"/>
          <w:highlight w:val="none"/>
        </w:rPr>
        <w:t xml:space="preserve">. </w:t>
      </w:r>
      <w:r>
        <w:rPr>
          <w:rFonts w:hint="eastAsia" w:ascii="仿宋" w:hAnsi="仿宋" w:eastAsia="仿宋"/>
          <w:highlight w:val="none"/>
        </w:rPr>
        <w:t>投标文件的初审</w:t>
      </w:r>
      <w:r>
        <w:tab/>
      </w:r>
      <w:r>
        <w:fldChar w:fldCharType="begin"/>
      </w:r>
      <w:r>
        <w:instrText xml:space="preserve"> PAGEREF _Toc15363 \h </w:instrText>
      </w:r>
      <w:r>
        <w:fldChar w:fldCharType="separate"/>
      </w:r>
      <w:r>
        <w:t>15</w:t>
      </w:r>
      <w:r>
        <w:fldChar w:fldCharType="end"/>
      </w:r>
      <w:r>
        <w:rPr>
          <w:rFonts w:ascii="宋体" w:hAnsi="宋体"/>
          <w:color w:val="000000" w:themeColor="text1"/>
          <w:szCs w:val="28"/>
          <w:highlight w:val="none"/>
          <w14:textFill>
            <w14:solidFill>
              <w14:schemeClr w14:val="tx1"/>
            </w14:solidFill>
          </w14:textFill>
        </w:rPr>
        <w:fldChar w:fldCharType="end"/>
      </w:r>
    </w:p>
    <w:p w14:paraId="37516788">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_Toc15793 </w:instrText>
      </w:r>
      <w:r>
        <w:rPr>
          <w:rFonts w:ascii="宋体" w:hAnsi="宋体"/>
          <w:szCs w:val="28"/>
          <w:highlight w:val="none"/>
        </w:rPr>
        <w:fldChar w:fldCharType="separate"/>
      </w:r>
      <w:r>
        <w:rPr>
          <w:rFonts w:hint="eastAsia" w:ascii="仿宋" w:hAnsi="仿宋" w:eastAsia="仿宋"/>
          <w:highlight w:val="none"/>
          <w:lang w:val="en-US" w:eastAsia="zh-CN"/>
        </w:rPr>
        <w:t xml:space="preserve">18. </w:t>
      </w:r>
      <w:r>
        <w:rPr>
          <w:rFonts w:hint="eastAsia" w:ascii="仿宋" w:hAnsi="仿宋" w:eastAsia="仿宋"/>
          <w:highlight w:val="none"/>
        </w:rPr>
        <w:t>评标办法</w:t>
      </w:r>
      <w:r>
        <w:tab/>
      </w:r>
      <w:r>
        <w:fldChar w:fldCharType="begin"/>
      </w:r>
      <w:r>
        <w:instrText xml:space="preserve"> PAGEREF _Toc15793 \h </w:instrText>
      </w:r>
      <w:r>
        <w:fldChar w:fldCharType="separate"/>
      </w:r>
      <w:r>
        <w:t>18</w:t>
      </w:r>
      <w:r>
        <w:fldChar w:fldCharType="end"/>
      </w:r>
      <w:r>
        <w:rPr>
          <w:rFonts w:ascii="宋体" w:hAnsi="宋体"/>
          <w:color w:val="000000" w:themeColor="text1"/>
          <w:szCs w:val="28"/>
          <w:highlight w:val="none"/>
          <w14:textFill>
            <w14:solidFill>
              <w14:schemeClr w14:val="tx1"/>
            </w14:solidFill>
          </w14:textFill>
        </w:rPr>
        <w:fldChar w:fldCharType="end"/>
      </w:r>
    </w:p>
    <w:p w14:paraId="3AD0CBDC">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_Toc23490 </w:instrText>
      </w:r>
      <w:r>
        <w:rPr>
          <w:rFonts w:ascii="宋体" w:hAnsi="宋体"/>
          <w:szCs w:val="28"/>
          <w:highlight w:val="none"/>
        </w:rPr>
        <w:fldChar w:fldCharType="separate"/>
      </w:r>
      <w:r>
        <w:rPr>
          <w:rFonts w:hint="eastAsia" w:ascii="仿宋" w:hAnsi="仿宋" w:eastAsia="仿宋"/>
          <w:highlight w:val="none"/>
        </w:rPr>
        <w:t>19. 投标文件的澄清</w:t>
      </w:r>
      <w:r>
        <w:tab/>
      </w:r>
      <w:r>
        <w:fldChar w:fldCharType="begin"/>
      </w:r>
      <w:r>
        <w:instrText xml:space="preserve"> PAGEREF _Toc23490 \h </w:instrText>
      </w:r>
      <w:r>
        <w:fldChar w:fldCharType="separate"/>
      </w:r>
      <w:r>
        <w:t>27</w:t>
      </w:r>
      <w:r>
        <w:fldChar w:fldCharType="end"/>
      </w:r>
      <w:r>
        <w:rPr>
          <w:rFonts w:ascii="宋体" w:hAnsi="宋体"/>
          <w:color w:val="000000" w:themeColor="text1"/>
          <w:szCs w:val="28"/>
          <w:highlight w:val="none"/>
          <w14:textFill>
            <w14:solidFill>
              <w14:schemeClr w14:val="tx1"/>
            </w14:solidFill>
          </w14:textFill>
        </w:rPr>
        <w:fldChar w:fldCharType="end"/>
      </w:r>
    </w:p>
    <w:p w14:paraId="5A21D3BF">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_Toc22129 </w:instrText>
      </w:r>
      <w:r>
        <w:rPr>
          <w:rFonts w:ascii="宋体" w:hAnsi="宋体"/>
          <w:szCs w:val="28"/>
          <w:highlight w:val="none"/>
        </w:rPr>
        <w:fldChar w:fldCharType="separate"/>
      </w:r>
      <w:r>
        <w:rPr>
          <w:rFonts w:hint="eastAsia" w:ascii="仿宋" w:hAnsi="仿宋" w:eastAsia="仿宋"/>
          <w:highlight w:val="none"/>
        </w:rPr>
        <w:t>20. 比较与评价</w:t>
      </w:r>
      <w:r>
        <w:tab/>
      </w:r>
      <w:r>
        <w:fldChar w:fldCharType="begin"/>
      </w:r>
      <w:r>
        <w:instrText xml:space="preserve"> PAGEREF _Toc22129 \h </w:instrText>
      </w:r>
      <w:r>
        <w:fldChar w:fldCharType="separate"/>
      </w:r>
      <w:r>
        <w:t>27</w:t>
      </w:r>
      <w:r>
        <w:fldChar w:fldCharType="end"/>
      </w:r>
      <w:r>
        <w:rPr>
          <w:rFonts w:ascii="宋体" w:hAnsi="宋体"/>
          <w:color w:val="000000" w:themeColor="text1"/>
          <w:szCs w:val="28"/>
          <w:highlight w:val="none"/>
          <w14:textFill>
            <w14:solidFill>
              <w14:schemeClr w14:val="tx1"/>
            </w14:solidFill>
          </w14:textFill>
        </w:rPr>
        <w:fldChar w:fldCharType="end"/>
      </w:r>
    </w:p>
    <w:p w14:paraId="21903B73">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_Toc27949 </w:instrText>
      </w:r>
      <w:r>
        <w:rPr>
          <w:rFonts w:ascii="宋体" w:hAnsi="宋体"/>
          <w:szCs w:val="28"/>
          <w:highlight w:val="none"/>
        </w:rPr>
        <w:fldChar w:fldCharType="separate"/>
      </w:r>
      <w:r>
        <w:rPr>
          <w:rFonts w:hint="eastAsia" w:ascii="仿宋" w:hAnsi="仿宋" w:eastAsia="仿宋"/>
          <w:highlight w:val="none"/>
        </w:rPr>
        <w:t>第六节 定标与签订合同</w:t>
      </w:r>
      <w:r>
        <w:tab/>
      </w:r>
      <w:r>
        <w:fldChar w:fldCharType="begin"/>
      </w:r>
      <w:r>
        <w:instrText xml:space="preserve"> PAGEREF _Toc27949 \h </w:instrText>
      </w:r>
      <w:r>
        <w:fldChar w:fldCharType="separate"/>
      </w:r>
      <w:r>
        <w:t>28</w:t>
      </w:r>
      <w:r>
        <w:fldChar w:fldCharType="end"/>
      </w:r>
      <w:r>
        <w:rPr>
          <w:rFonts w:ascii="宋体" w:hAnsi="宋体"/>
          <w:color w:val="000000" w:themeColor="text1"/>
          <w:szCs w:val="28"/>
          <w:highlight w:val="none"/>
          <w14:textFill>
            <w14:solidFill>
              <w14:schemeClr w14:val="tx1"/>
            </w14:solidFill>
          </w14:textFill>
        </w:rPr>
        <w:fldChar w:fldCharType="end"/>
      </w:r>
    </w:p>
    <w:p w14:paraId="61E92EDF">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_Toc17489 </w:instrText>
      </w:r>
      <w:r>
        <w:rPr>
          <w:rFonts w:ascii="宋体" w:hAnsi="宋体"/>
          <w:szCs w:val="28"/>
          <w:highlight w:val="none"/>
        </w:rPr>
        <w:fldChar w:fldCharType="separate"/>
      </w:r>
      <w:r>
        <w:rPr>
          <w:rFonts w:hint="eastAsia" w:ascii="仿宋" w:hAnsi="仿宋" w:eastAsia="仿宋"/>
          <w:highlight w:val="none"/>
        </w:rPr>
        <w:t>21</w:t>
      </w:r>
      <w:r>
        <w:rPr>
          <w:rFonts w:ascii="仿宋" w:hAnsi="仿宋" w:eastAsia="仿宋"/>
          <w:highlight w:val="none"/>
        </w:rPr>
        <w:t>.</w:t>
      </w:r>
      <w:r>
        <w:rPr>
          <w:rFonts w:hint="eastAsia" w:ascii="仿宋" w:hAnsi="仿宋" w:eastAsia="仿宋"/>
          <w:highlight w:val="none"/>
        </w:rPr>
        <w:t xml:space="preserve"> 定标准则</w:t>
      </w:r>
      <w:r>
        <w:tab/>
      </w:r>
      <w:r>
        <w:fldChar w:fldCharType="begin"/>
      </w:r>
      <w:r>
        <w:instrText xml:space="preserve"> PAGEREF _Toc17489 \h </w:instrText>
      </w:r>
      <w:r>
        <w:fldChar w:fldCharType="separate"/>
      </w:r>
      <w:r>
        <w:t>28</w:t>
      </w:r>
      <w:r>
        <w:fldChar w:fldCharType="end"/>
      </w:r>
      <w:r>
        <w:rPr>
          <w:rFonts w:ascii="宋体" w:hAnsi="宋体"/>
          <w:color w:val="000000" w:themeColor="text1"/>
          <w:szCs w:val="28"/>
          <w:highlight w:val="none"/>
          <w14:textFill>
            <w14:solidFill>
              <w14:schemeClr w14:val="tx1"/>
            </w14:solidFill>
          </w14:textFill>
        </w:rPr>
        <w:fldChar w:fldCharType="end"/>
      </w:r>
    </w:p>
    <w:p w14:paraId="1ECCAF84">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_Toc7629 </w:instrText>
      </w:r>
      <w:r>
        <w:rPr>
          <w:rFonts w:ascii="宋体" w:hAnsi="宋体"/>
          <w:szCs w:val="28"/>
          <w:highlight w:val="none"/>
        </w:rPr>
        <w:fldChar w:fldCharType="separate"/>
      </w:r>
      <w:r>
        <w:rPr>
          <w:rFonts w:hint="eastAsia" w:ascii="仿宋" w:hAnsi="仿宋" w:eastAsia="仿宋"/>
          <w:highlight w:val="none"/>
        </w:rPr>
        <w:t>22</w:t>
      </w:r>
      <w:r>
        <w:rPr>
          <w:rFonts w:ascii="仿宋" w:hAnsi="仿宋" w:eastAsia="仿宋"/>
          <w:highlight w:val="none"/>
        </w:rPr>
        <w:t xml:space="preserve">. </w:t>
      </w:r>
      <w:r>
        <w:rPr>
          <w:rFonts w:hint="eastAsia" w:ascii="仿宋" w:hAnsi="仿宋" w:eastAsia="仿宋"/>
          <w:highlight w:val="none"/>
        </w:rPr>
        <w:t>中标通知</w:t>
      </w:r>
      <w:r>
        <w:tab/>
      </w:r>
      <w:r>
        <w:fldChar w:fldCharType="begin"/>
      </w:r>
      <w:r>
        <w:instrText xml:space="preserve"> PAGEREF _Toc7629 \h </w:instrText>
      </w:r>
      <w:r>
        <w:fldChar w:fldCharType="separate"/>
      </w:r>
      <w:r>
        <w:t>28</w:t>
      </w:r>
      <w:r>
        <w:fldChar w:fldCharType="end"/>
      </w:r>
      <w:r>
        <w:rPr>
          <w:rFonts w:ascii="宋体" w:hAnsi="宋体"/>
          <w:color w:val="000000" w:themeColor="text1"/>
          <w:szCs w:val="28"/>
          <w:highlight w:val="none"/>
          <w14:textFill>
            <w14:solidFill>
              <w14:schemeClr w14:val="tx1"/>
            </w14:solidFill>
          </w14:textFill>
        </w:rPr>
        <w:fldChar w:fldCharType="end"/>
      </w:r>
    </w:p>
    <w:p w14:paraId="2F227403">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_Toc8654 </w:instrText>
      </w:r>
      <w:r>
        <w:rPr>
          <w:rFonts w:ascii="宋体" w:hAnsi="宋体"/>
          <w:szCs w:val="28"/>
          <w:highlight w:val="none"/>
        </w:rPr>
        <w:fldChar w:fldCharType="separate"/>
      </w:r>
      <w:r>
        <w:rPr>
          <w:rFonts w:hint="eastAsia" w:ascii="仿宋" w:hAnsi="仿宋" w:eastAsia="仿宋"/>
          <w:highlight w:val="none"/>
        </w:rPr>
        <w:t>23. 签订合同</w:t>
      </w:r>
      <w:r>
        <w:tab/>
      </w:r>
      <w:r>
        <w:fldChar w:fldCharType="begin"/>
      </w:r>
      <w:r>
        <w:instrText xml:space="preserve"> PAGEREF _Toc8654 \h </w:instrText>
      </w:r>
      <w:r>
        <w:fldChar w:fldCharType="separate"/>
      </w:r>
      <w:r>
        <w:t>28</w:t>
      </w:r>
      <w:r>
        <w:fldChar w:fldCharType="end"/>
      </w:r>
      <w:r>
        <w:rPr>
          <w:rFonts w:ascii="宋体" w:hAnsi="宋体"/>
          <w:color w:val="000000" w:themeColor="text1"/>
          <w:szCs w:val="28"/>
          <w:highlight w:val="none"/>
          <w14:textFill>
            <w14:solidFill>
              <w14:schemeClr w14:val="tx1"/>
            </w14:solidFill>
          </w14:textFill>
        </w:rPr>
        <w:fldChar w:fldCharType="end"/>
      </w:r>
    </w:p>
    <w:p w14:paraId="19C227F7">
      <w:pPr>
        <w:pStyle w:val="2"/>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_Toc7393 </w:instrText>
      </w:r>
      <w:r>
        <w:rPr>
          <w:rFonts w:ascii="宋体" w:hAnsi="宋体"/>
          <w:szCs w:val="28"/>
          <w:highlight w:val="none"/>
        </w:rPr>
        <w:fldChar w:fldCharType="separate"/>
      </w:r>
      <w:r>
        <w:rPr>
          <w:rFonts w:hint="eastAsia" w:ascii="仿宋" w:hAnsi="仿宋" w:eastAsia="仿宋"/>
          <w:szCs w:val="32"/>
          <w:highlight w:val="none"/>
        </w:rPr>
        <w:t>第三章　招标内容及要求</w:t>
      </w:r>
      <w:r>
        <w:tab/>
      </w:r>
      <w:r>
        <w:fldChar w:fldCharType="begin"/>
      </w:r>
      <w:r>
        <w:instrText xml:space="preserve"> PAGEREF _Toc7393 \h </w:instrText>
      </w:r>
      <w:r>
        <w:fldChar w:fldCharType="separate"/>
      </w:r>
      <w:r>
        <w:t>30</w:t>
      </w:r>
      <w:r>
        <w:fldChar w:fldCharType="end"/>
      </w:r>
      <w:r>
        <w:rPr>
          <w:rFonts w:ascii="宋体" w:hAnsi="宋体"/>
          <w:color w:val="000000" w:themeColor="text1"/>
          <w:szCs w:val="28"/>
          <w:highlight w:val="none"/>
          <w14:textFill>
            <w14:solidFill>
              <w14:schemeClr w14:val="tx1"/>
            </w14:solidFill>
          </w14:textFill>
        </w:rPr>
        <w:fldChar w:fldCharType="end"/>
      </w:r>
    </w:p>
    <w:p w14:paraId="164A1724">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_Toc11543 </w:instrText>
      </w:r>
      <w:r>
        <w:rPr>
          <w:rFonts w:ascii="宋体" w:hAnsi="宋体"/>
          <w:szCs w:val="28"/>
          <w:highlight w:val="none"/>
        </w:rPr>
        <w:fldChar w:fldCharType="separate"/>
      </w:r>
      <w:r>
        <w:rPr>
          <w:rFonts w:hint="eastAsia" w:ascii="仿宋" w:hAnsi="仿宋" w:eastAsia="仿宋"/>
          <w:highlight w:val="none"/>
        </w:rPr>
        <w:t>第一节 项目需求</w:t>
      </w:r>
      <w:r>
        <w:tab/>
      </w:r>
      <w:r>
        <w:fldChar w:fldCharType="begin"/>
      </w:r>
      <w:r>
        <w:instrText xml:space="preserve"> PAGEREF _Toc11543 \h </w:instrText>
      </w:r>
      <w:r>
        <w:fldChar w:fldCharType="separate"/>
      </w:r>
      <w:r>
        <w:t>30</w:t>
      </w:r>
      <w:r>
        <w:fldChar w:fldCharType="end"/>
      </w:r>
      <w:r>
        <w:rPr>
          <w:rFonts w:ascii="宋体" w:hAnsi="宋体"/>
          <w:color w:val="000000" w:themeColor="text1"/>
          <w:szCs w:val="28"/>
          <w:highlight w:val="none"/>
          <w14:textFill>
            <w14:solidFill>
              <w14:schemeClr w14:val="tx1"/>
            </w14:solidFill>
          </w14:textFill>
        </w:rPr>
        <w:fldChar w:fldCharType="end"/>
      </w:r>
    </w:p>
    <w:p w14:paraId="0381EFE3">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_Toc29721 </w:instrText>
      </w:r>
      <w:r>
        <w:rPr>
          <w:rFonts w:ascii="宋体" w:hAnsi="宋体"/>
          <w:szCs w:val="28"/>
          <w:highlight w:val="none"/>
        </w:rPr>
        <w:fldChar w:fldCharType="separate"/>
      </w:r>
      <w:r>
        <w:rPr>
          <w:rFonts w:hint="eastAsia" w:ascii="仿宋" w:hAnsi="仿宋" w:eastAsia="仿宋"/>
          <w:highlight w:val="none"/>
        </w:rPr>
        <w:t>第二节 商务技术响应要求</w:t>
      </w:r>
      <w:r>
        <w:tab/>
      </w:r>
      <w:r>
        <w:fldChar w:fldCharType="begin"/>
      </w:r>
      <w:r>
        <w:instrText xml:space="preserve"> PAGEREF _Toc29721 \h </w:instrText>
      </w:r>
      <w:r>
        <w:fldChar w:fldCharType="separate"/>
      </w:r>
      <w:r>
        <w:t>35</w:t>
      </w:r>
      <w:r>
        <w:fldChar w:fldCharType="end"/>
      </w:r>
      <w:r>
        <w:rPr>
          <w:rFonts w:ascii="宋体" w:hAnsi="宋体"/>
          <w:color w:val="000000" w:themeColor="text1"/>
          <w:szCs w:val="28"/>
          <w:highlight w:val="none"/>
          <w14:textFill>
            <w14:solidFill>
              <w14:schemeClr w14:val="tx1"/>
            </w14:solidFill>
          </w14:textFill>
        </w:rPr>
        <w:fldChar w:fldCharType="end"/>
      </w:r>
    </w:p>
    <w:p w14:paraId="68F5823E">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_Toc1105 </w:instrText>
      </w:r>
      <w:r>
        <w:rPr>
          <w:rFonts w:ascii="宋体" w:hAnsi="宋体"/>
          <w:szCs w:val="28"/>
          <w:highlight w:val="none"/>
        </w:rPr>
        <w:fldChar w:fldCharType="separate"/>
      </w:r>
      <w:r>
        <w:rPr>
          <w:rFonts w:hint="eastAsia" w:ascii="仿宋" w:hAnsi="仿宋" w:eastAsia="仿宋"/>
          <w:highlight w:val="none"/>
        </w:rPr>
        <w:t>第三节 报价要求</w:t>
      </w:r>
      <w:r>
        <w:tab/>
      </w:r>
      <w:r>
        <w:fldChar w:fldCharType="begin"/>
      </w:r>
      <w:r>
        <w:instrText xml:space="preserve"> PAGEREF _Toc1105 \h </w:instrText>
      </w:r>
      <w:r>
        <w:fldChar w:fldCharType="separate"/>
      </w:r>
      <w:r>
        <w:t>37</w:t>
      </w:r>
      <w:r>
        <w:fldChar w:fldCharType="end"/>
      </w:r>
      <w:r>
        <w:rPr>
          <w:rFonts w:ascii="宋体" w:hAnsi="宋体"/>
          <w:color w:val="000000" w:themeColor="text1"/>
          <w:szCs w:val="28"/>
          <w:highlight w:val="none"/>
          <w14:textFill>
            <w14:solidFill>
              <w14:schemeClr w14:val="tx1"/>
            </w14:solidFill>
          </w14:textFill>
        </w:rPr>
        <w:fldChar w:fldCharType="end"/>
      </w:r>
    </w:p>
    <w:p w14:paraId="4237A883">
      <w:pPr>
        <w:pStyle w:val="2"/>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_Toc32601 </w:instrText>
      </w:r>
      <w:r>
        <w:rPr>
          <w:rFonts w:ascii="宋体" w:hAnsi="宋体"/>
          <w:szCs w:val="28"/>
          <w:highlight w:val="none"/>
        </w:rPr>
        <w:fldChar w:fldCharType="separate"/>
      </w:r>
      <w:r>
        <w:rPr>
          <w:rFonts w:hint="eastAsia" w:ascii="仿宋" w:hAnsi="仿宋" w:eastAsia="仿宋" w:cs="Times New Roman"/>
          <w:szCs w:val="44"/>
        </w:rPr>
        <w:t xml:space="preserve">第四章 </w:t>
      </w:r>
      <w:r>
        <w:rPr>
          <w:rFonts w:hint="eastAsia" w:ascii="仿宋" w:hAnsi="仿宋" w:eastAsia="仿宋" w:cs="Times New Roman"/>
          <w:szCs w:val="44"/>
          <w:highlight w:val="none"/>
        </w:rPr>
        <w:t>合同条款及格式</w:t>
      </w:r>
      <w:r>
        <w:tab/>
      </w:r>
      <w:r>
        <w:fldChar w:fldCharType="begin"/>
      </w:r>
      <w:r>
        <w:instrText xml:space="preserve"> PAGEREF _Toc32601 \h </w:instrText>
      </w:r>
      <w:r>
        <w:fldChar w:fldCharType="separate"/>
      </w:r>
      <w:r>
        <w:t>38</w:t>
      </w:r>
      <w:r>
        <w:fldChar w:fldCharType="end"/>
      </w:r>
      <w:r>
        <w:rPr>
          <w:rFonts w:ascii="宋体" w:hAnsi="宋体"/>
          <w:color w:val="000000" w:themeColor="text1"/>
          <w:szCs w:val="28"/>
          <w:highlight w:val="none"/>
          <w14:textFill>
            <w14:solidFill>
              <w14:schemeClr w14:val="tx1"/>
            </w14:solidFill>
          </w14:textFill>
        </w:rPr>
        <w:fldChar w:fldCharType="end"/>
      </w:r>
    </w:p>
    <w:p w14:paraId="765B35B9">
      <w:pPr>
        <w:pStyle w:val="2"/>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_Toc14563 </w:instrText>
      </w:r>
      <w:r>
        <w:rPr>
          <w:rFonts w:ascii="宋体" w:hAnsi="宋体"/>
          <w:szCs w:val="28"/>
          <w:highlight w:val="none"/>
        </w:rPr>
        <w:fldChar w:fldCharType="separate"/>
      </w:r>
      <w:r>
        <w:rPr>
          <w:rFonts w:hint="eastAsia" w:ascii="仿宋" w:hAnsi="仿宋" w:eastAsia="仿宋"/>
          <w:highlight w:val="none"/>
        </w:rPr>
        <w:t>第</w:t>
      </w:r>
      <w:r>
        <w:rPr>
          <w:rFonts w:hint="eastAsia" w:ascii="仿宋" w:hAnsi="仿宋" w:eastAsia="仿宋"/>
          <w:highlight w:val="none"/>
          <w:lang w:val="en-US" w:eastAsia="zh-CN"/>
        </w:rPr>
        <w:t>五</w:t>
      </w:r>
      <w:r>
        <w:rPr>
          <w:rFonts w:hint="eastAsia" w:ascii="仿宋" w:hAnsi="仿宋" w:eastAsia="仿宋"/>
          <w:highlight w:val="none"/>
        </w:rPr>
        <w:t>章  投标文件格式</w:t>
      </w:r>
      <w:r>
        <w:tab/>
      </w:r>
      <w:r>
        <w:fldChar w:fldCharType="begin"/>
      </w:r>
      <w:r>
        <w:instrText xml:space="preserve"> PAGEREF _Toc14563 \h </w:instrText>
      </w:r>
      <w:r>
        <w:fldChar w:fldCharType="separate"/>
      </w:r>
      <w:r>
        <w:t>62</w:t>
      </w:r>
      <w:r>
        <w:fldChar w:fldCharType="end"/>
      </w:r>
      <w:r>
        <w:rPr>
          <w:rFonts w:ascii="宋体" w:hAnsi="宋体"/>
          <w:color w:val="000000" w:themeColor="text1"/>
          <w:szCs w:val="28"/>
          <w:highlight w:val="none"/>
          <w14:textFill>
            <w14:solidFill>
              <w14:schemeClr w14:val="tx1"/>
            </w14:solidFill>
          </w14:textFill>
        </w:rPr>
        <w:fldChar w:fldCharType="end"/>
      </w:r>
    </w:p>
    <w:p w14:paraId="3A4BD4E4">
      <w:pPr>
        <w:pStyle w:val="2"/>
        <w:tabs>
          <w:tab w:val="right" w:leader="dot" w:pos="9061"/>
        </w:tabs>
        <w:spacing w:before="0" w:after="0" w:line="400" w:lineRule="exact"/>
        <w:rPr>
          <w:color w:val="000000" w:themeColor="text1"/>
          <w:sz w:val="48"/>
          <w:szCs w:val="4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bookmarkStart w:id="8" w:name="_Toc51489303"/>
    </w:p>
    <w:p w14:paraId="01E123FA">
      <w:pPr>
        <w:pStyle w:val="3"/>
        <w:keepNext w:val="0"/>
        <w:keepLines w:val="0"/>
        <w:spacing w:before="120" w:beforeLines="50" w:after="240" w:afterLines="100" w:line="580" w:lineRule="exact"/>
        <w:jc w:val="center"/>
        <w:rPr>
          <w:color w:val="000000" w:themeColor="text1"/>
          <w:szCs w:val="32"/>
          <w:highlight w:val="none"/>
          <w14:textFill>
            <w14:solidFill>
              <w14:schemeClr w14:val="tx1"/>
            </w14:solidFill>
          </w14:textFill>
        </w:rPr>
      </w:pPr>
      <w:r>
        <w:rPr>
          <w:color w:val="000000" w:themeColor="text1"/>
          <w:sz w:val="52"/>
          <w:szCs w:val="52"/>
          <w:highlight w:val="none"/>
          <w14:textFill>
            <w14:solidFill>
              <w14:schemeClr w14:val="tx1"/>
            </w14:solidFill>
          </w14:textFill>
        </w:rPr>
        <w:br w:type="page"/>
      </w:r>
      <w:bookmarkStart w:id="9" w:name="_Toc3098"/>
      <w:bookmarkStart w:id="10" w:name="_Toc9817"/>
      <w:bookmarkStart w:id="11" w:name="_Toc3314"/>
      <w:bookmarkStart w:id="12" w:name="_Toc19682"/>
      <w:bookmarkStart w:id="13" w:name="_Toc8935"/>
      <w:bookmarkStart w:id="14" w:name="_Toc24407"/>
      <w:r>
        <w:rPr>
          <w:rFonts w:hint="eastAsia" w:ascii="仿宋" w:hAnsi="仿宋" w:eastAsia="仿宋" w:cs="仿宋"/>
          <w:bCs w:val="0"/>
          <w:color w:val="000000" w:themeColor="text1"/>
          <w:kern w:val="0"/>
          <w:szCs w:val="32"/>
          <w:highlight w:val="none"/>
          <w14:textFill>
            <w14:solidFill>
              <w14:schemeClr w14:val="tx1"/>
            </w14:solidFill>
          </w14:textFill>
        </w:rPr>
        <w:t>第一章　招标公告</w:t>
      </w:r>
      <w:bookmarkEnd w:id="9"/>
      <w:bookmarkEnd w:id="10"/>
      <w:bookmarkEnd w:id="11"/>
      <w:bookmarkEnd w:id="12"/>
      <w:bookmarkEnd w:id="13"/>
      <w:bookmarkEnd w:id="14"/>
    </w:p>
    <w:p w14:paraId="05B3761A">
      <w:pPr>
        <w:spacing w:line="500" w:lineRule="exact"/>
        <w:ind w:firstLine="640" w:firstLineChars="200"/>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上海贸城物业服务有限公司为保障管辖项目北京瑨上雅园的小区安全稳定，规范小区出入管理、秩序维护、公共安全巡查及应急处置工作，提升项目整体安全管理水平，现对本项目维序服务进行公开招标，</w:t>
      </w:r>
      <w:r>
        <w:rPr>
          <w:rFonts w:hint="eastAsia" w:ascii="仿宋" w:hAnsi="仿宋" w:eastAsia="仿宋" w:cs="仿宋"/>
          <w:color w:val="000000" w:themeColor="text1"/>
          <w:kern w:val="0"/>
          <w:sz w:val="32"/>
          <w:szCs w:val="32"/>
          <w:highlight w:val="none"/>
          <w14:textFill>
            <w14:solidFill>
              <w14:schemeClr w14:val="tx1"/>
            </w14:solidFill>
          </w14:textFill>
        </w:rPr>
        <w:t>欢迎符合资格、专业的公司参加投标</w:t>
      </w:r>
      <w:r>
        <w:rPr>
          <w:rFonts w:hint="eastAsia" w:ascii="仿宋" w:hAnsi="仿宋" w:eastAsia="仿宋" w:cs="Arial"/>
          <w:color w:val="000000" w:themeColor="text1"/>
          <w:sz w:val="32"/>
          <w:szCs w:val="32"/>
          <w:highlight w:val="none"/>
          <w14:textFill>
            <w14:solidFill>
              <w14:schemeClr w14:val="tx1"/>
            </w14:solidFill>
          </w14:textFill>
        </w:rPr>
        <w:t>。</w:t>
      </w:r>
    </w:p>
    <w:p w14:paraId="4AADF348">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若有意参加此次招标，请自行在本网站</w:t>
      </w:r>
      <w:r>
        <w:rPr>
          <w:rFonts w:ascii="仿宋" w:hAnsi="仿宋" w:eastAsia="仿宋" w:cs="仿宋"/>
          <w:color w:val="000000" w:themeColor="text1"/>
          <w:kern w:val="0"/>
          <w:sz w:val="32"/>
          <w:szCs w:val="32"/>
          <w:highlight w:val="none"/>
          <w14:textFill>
            <w14:solidFill>
              <w14:schemeClr w14:val="tx1"/>
            </w14:solidFill>
          </w14:textFill>
        </w:rPr>
        <w:t>下载</w:t>
      </w:r>
      <w:r>
        <w:rPr>
          <w:rFonts w:hint="eastAsia" w:ascii="仿宋" w:hAnsi="仿宋" w:eastAsia="仿宋" w:cs="仿宋"/>
          <w:color w:val="000000" w:themeColor="text1"/>
          <w:kern w:val="0"/>
          <w:sz w:val="32"/>
          <w:szCs w:val="32"/>
          <w:highlight w:val="none"/>
          <w14:textFill>
            <w14:solidFill>
              <w14:schemeClr w14:val="tx1"/>
            </w14:solidFill>
          </w14:textFill>
        </w:rPr>
        <w:t>招标文件，此次招标的截标时间为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2026</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17</w:t>
      </w:r>
      <w:r>
        <w:rPr>
          <w:rFonts w:ascii="仿宋" w:hAnsi="仿宋" w:eastAsia="仿宋" w:cs="仿宋"/>
          <w:color w:val="000000" w:themeColor="text1"/>
          <w:kern w:val="0"/>
          <w:sz w:val="32"/>
          <w:szCs w:val="32"/>
          <w:highlight w:val="none"/>
          <w14:textFill>
            <w14:solidFill>
              <w14:schemeClr w14:val="tx1"/>
            </w14:solidFill>
          </w14:textFill>
        </w:rPr>
        <w:t>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30分</w:t>
      </w:r>
      <w:r>
        <w:rPr>
          <w:rFonts w:ascii="仿宋" w:hAnsi="仿宋" w:eastAsia="仿宋" w:cs="仿宋"/>
          <w:color w:val="000000" w:themeColor="text1"/>
          <w:kern w:val="0"/>
          <w:sz w:val="32"/>
          <w:szCs w:val="32"/>
          <w:highlight w:val="none"/>
          <w14:textFill>
            <w14:solidFill>
              <w14:schemeClr w14:val="tx1"/>
            </w14:solidFill>
          </w14:textFill>
        </w:rPr>
        <w:t>，投标人需在</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2026</w:t>
      </w:r>
      <w:bookmarkStart w:id="370" w:name="_GoBack"/>
      <w:bookmarkEnd w:id="370"/>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17</w:t>
      </w:r>
      <w:r>
        <w:rPr>
          <w:rFonts w:ascii="仿宋" w:hAnsi="仿宋" w:eastAsia="仿宋" w:cs="仿宋"/>
          <w:color w:val="000000" w:themeColor="text1"/>
          <w:kern w:val="0"/>
          <w:sz w:val="32"/>
          <w:szCs w:val="32"/>
          <w:highlight w:val="none"/>
          <w14:textFill>
            <w14:solidFill>
              <w14:schemeClr w14:val="tx1"/>
            </w14:solidFill>
          </w14:textFill>
        </w:rPr>
        <w:t>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30分</w:t>
      </w:r>
      <w:r>
        <w:rPr>
          <w:rFonts w:hint="eastAsia" w:ascii="仿宋" w:hAnsi="仿宋" w:eastAsia="仿宋" w:cs="仿宋"/>
          <w:color w:val="000000" w:themeColor="text1"/>
          <w:kern w:val="0"/>
          <w:sz w:val="32"/>
          <w:szCs w:val="32"/>
          <w:highlight w:val="none"/>
          <w14:textFill>
            <w14:solidFill>
              <w14:schemeClr w14:val="tx1"/>
            </w14:solidFill>
          </w14:textFill>
        </w:rPr>
        <w:t>前将投标</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文件</w:t>
      </w:r>
      <w:r>
        <w:rPr>
          <w:rFonts w:hint="eastAsia" w:ascii="仿宋" w:hAnsi="仿宋" w:eastAsia="仿宋" w:cs="仿宋"/>
          <w:color w:val="000000" w:themeColor="text1"/>
          <w:kern w:val="0"/>
          <w:sz w:val="32"/>
          <w:szCs w:val="32"/>
          <w:highlight w:val="none"/>
          <w14:textFill>
            <w14:solidFill>
              <w14:schemeClr w14:val="tx1"/>
            </w14:solidFill>
          </w14:textFill>
        </w:rPr>
        <w:t>正本</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份，副本</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份，电子版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份（U盘介质）提交到招标人处，在此时点之后送达的投标文件恕不接受。</w:t>
      </w:r>
    </w:p>
    <w:p w14:paraId="3CE863ED">
      <w:pPr>
        <w:spacing w:line="500" w:lineRule="exact"/>
        <w:ind w:firstLine="640" w:firstLineChars="20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p>
    <w:p w14:paraId="50E4D01B">
      <w:pPr>
        <w:spacing w:line="500" w:lineRule="exact"/>
        <w:ind w:firstLine="640" w:firstLineChars="20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招标人：</w:t>
      </w:r>
      <w:bookmarkStart w:id="15" w:name="OLE_LINK8"/>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上海贸城物业服务有限公司</w:t>
      </w:r>
    </w:p>
    <w:bookmarkEnd w:id="15"/>
    <w:p w14:paraId="2C560A32">
      <w:pPr>
        <w:spacing w:line="500" w:lineRule="exact"/>
        <w:ind w:firstLine="640" w:firstLineChars="200"/>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联系地址：厦门市思明区体育路</w:t>
      </w:r>
      <w:r>
        <w:rPr>
          <w:rFonts w:ascii="仿宋" w:hAnsi="仿宋" w:eastAsia="仿宋" w:cs="仿宋"/>
          <w:color w:val="000000" w:themeColor="text1"/>
          <w:kern w:val="0"/>
          <w:sz w:val="32"/>
          <w:szCs w:val="32"/>
          <w:highlight w:val="none"/>
          <w14:textFill>
            <w14:solidFill>
              <w14:schemeClr w14:val="tx1"/>
            </w14:solidFill>
          </w14:textFill>
        </w:rPr>
        <w:t>41</w:t>
      </w:r>
      <w:r>
        <w:rPr>
          <w:rFonts w:hint="eastAsia" w:ascii="仿宋" w:hAnsi="仿宋" w:eastAsia="仿宋" w:cs="仿宋"/>
          <w:color w:val="000000" w:themeColor="text1"/>
          <w:kern w:val="0"/>
          <w:sz w:val="32"/>
          <w:szCs w:val="32"/>
          <w:highlight w:val="none"/>
          <w14:textFill>
            <w14:solidFill>
              <w14:schemeClr w14:val="tx1"/>
            </w14:solidFill>
          </w14:textFill>
        </w:rPr>
        <w:t>号顺承大厦6楼</w:t>
      </w:r>
    </w:p>
    <w:p w14:paraId="0444A82A">
      <w:pPr>
        <w:spacing w:line="500" w:lineRule="exact"/>
        <w:ind w:firstLine="640" w:firstLineChars="200"/>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林女士</w:t>
      </w:r>
    </w:p>
    <w:p w14:paraId="273EA444">
      <w:pPr>
        <w:spacing w:line="500" w:lineRule="exact"/>
        <w:ind w:firstLine="640" w:firstLineChars="200"/>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联系电话：</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0592-2990161</w:t>
      </w:r>
    </w:p>
    <w:p w14:paraId="76731AEA">
      <w:pPr>
        <w:spacing w:line="50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账户名称：</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上海贸城物业服务有限公司</w:t>
      </w:r>
    </w:p>
    <w:p w14:paraId="30092409">
      <w:pPr>
        <w:spacing w:line="500" w:lineRule="exact"/>
        <w:ind w:firstLine="640" w:firstLineChars="20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账</w:t>
      </w:r>
      <w:r>
        <w:rPr>
          <w:rFonts w:hint="eastAsia" w:ascii="仿宋" w:hAnsi="仿宋" w:eastAsia="仿宋" w:cs="仿宋"/>
          <w:color w:val="000000" w:themeColor="text1"/>
          <w:kern w:val="0"/>
          <w:sz w:val="32"/>
          <w:szCs w:val="32"/>
          <w:highlight w:val="none"/>
          <w14:textFill>
            <w14:solidFill>
              <w14:schemeClr w14:val="tx1"/>
            </w14:solidFill>
          </w14:textFill>
        </w:rPr>
        <w:t xml:space="preserve">    号：</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 xml:space="preserve">446883592935 </w:t>
      </w:r>
    </w:p>
    <w:p w14:paraId="3CBE9966">
      <w:pPr>
        <w:spacing w:line="500" w:lineRule="exact"/>
        <w:ind w:firstLine="640" w:firstLineChars="20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开户银行：</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中国银行股份有限公司上海古北支行</w:t>
      </w:r>
    </w:p>
    <w:p w14:paraId="3EA72C72">
      <w:pPr>
        <w:spacing w:line="500" w:lineRule="exact"/>
        <w:ind w:right="920"/>
        <w:rPr>
          <w:rFonts w:ascii="仿宋" w:hAnsi="仿宋" w:eastAsia="仿宋" w:cs="仿宋"/>
          <w:color w:val="000000" w:themeColor="text1"/>
          <w:kern w:val="0"/>
          <w:sz w:val="32"/>
          <w:szCs w:val="32"/>
          <w:highlight w:val="none"/>
          <w14:textFill>
            <w14:solidFill>
              <w14:schemeClr w14:val="tx1"/>
            </w14:solidFill>
          </w14:textFill>
        </w:rPr>
      </w:pPr>
    </w:p>
    <w:p w14:paraId="79BCF323">
      <w:pPr>
        <w:spacing w:line="500" w:lineRule="exact"/>
        <w:ind w:firstLine="5120" w:firstLineChars="160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上海贸城物业服务有限公司</w:t>
      </w:r>
    </w:p>
    <w:p w14:paraId="0183AB2B">
      <w:pPr>
        <w:spacing w:line="500" w:lineRule="exact"/>
        <w:ind w:right="280" w:firstLine="640" w:firstLineChars="200"/>
        <w:jc w:val="righ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2026</w:t>
      </w:r>
      <w:r>
        <w:rPr>
          <w:rFonts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27</w:t>
      </w:r>
      <w:r>
        <w:rPr>
          <w:rFonts w:hint="eastAsia" w:ascii="仿宋" w:hAnsi="仿宋" w:eastAsia="仿宋" w:cs="仿宋"/>
          <w:color w:val="000000" w:themeColor="text1"/>
          <w:kern w:val="0"/>
          <w:sz w:val="32"/>
          <w:szCs w:val="32"/>
          <w:highlight w:val="none"/>
          <w14:textFill>
            <w14:solidFill>
              <w14:schemeClr w14:val="tx1"/>
            </w14:solidFill>
          </w14:textFill>
        </w:rPr>
        <w:t>日</w:t>
      </w:r>
    </w:p>
    <w:p w14:paraId="02FABFBF">
      <w:pPr>
        <w:bidi w:val="0"/>
        <w:rPr>
          <w:color w:val="000000" w:themeColor="text1"/>
          <w:highlight w:val="none"/>
          <w14:textFill>
            <w14:solidFill>
              <w14:schemeClr w14:val="tx1"/>
            </w14:solidFill>
          </w14:textFill>
        </w:rPr>
      </w:pPr>
    </w:p>
    <w:p w14:paraId="5832F8A7">
      <w:pPr>
        <w:bidi w:val="0"/>
        <w:rPr>
          <w:color w:val="000000" w:themeColor="text1"/>
          <w:highlight w:val="none"/>
          <w14:textFill>
            <w14:solidFill>
              <w14:schemeClr w14:val="tx1"/>
            </w14:solidFill>
          </w14:textFill>
        </w:rPr>
      </w:pPr>
    </w:p>
    <w:p w14:paraId="34F9095E">
      <w:pPr>
        <w:bidi w:val="0"/>
        <w:rPr>
          <w:color w:val="000000" w:themeColor="text1"/>
          <w:highlight w:val="none"/>
          <w14:textFill>
            <w14:solidFill>
              <w14:schemeClr w14:val="tx1"/>
            </w14:solidFill>
          </w14:textFill>
        </w:rPr>
      </w:pPr>
    </w:p>
    <w:p w14:paraId="45EFEA29">
      <w:pPr>
        <w:bidi w:val="0"/>
        <w:rPr>
          <w:color w:val="000000" w:themeColor="text1"/>
          <w:highlight w:val="none"/>
          <w14:textFill>
            <w14:solidFill>
              <w14:schemeClr w14:val="tx1"/>
            </w14:solidFill>
          </w14:textFill>
        </w:rPr>
      </w:pPr>
    </w:p>
    <w:p w14:paraId="311F5E62">
      <w:pPr>
        <w:bidi w:val="0"/>
        <w:rPr>
          <w:color w:val="000000" w:themeColor="text1"/>
          <w:highlight w:val="none"/>
          <w14:textFill>
            <w14:solidFill>
              <w14:schemeClr w14:val="tx1"/>
            </w14:solidFill>
          </w14:textFill>
        </w:rPr>
      </w:pPr>
    </w:p>
    <w:p w14:paraId="593CF03A">
      <w:pPr>
        <w:bidi w:val="0"/>
        <w:rPr>
          <w:color w:val="000000" w:themeColor="text1"/>
          <w:highlight w:val="none"/>
          <w14:textFill>
            <w14:solidFill>
              <w14:schemeClr w14:val="tx1"/>
            </w14:solidFill>
          </w14:textFill>
        </w:rPr>
      </w:pPr>
    </w:p>
    <w:p w14:paraId="1ED5607B">
      <w:pPr>
        <w:bidi w:val="0"/>
        <w:rPr>
          <w:color w:val="000000" w:themeColor="text1"/>
          <w:highlight w:val="none"/>
          <w14:textFill>
            <w14:solidFill>
              <w14:schemeClr w14:val="tx1"/>
            </w14:solidFill>
          </w14:textFill>
        </w:rPr>
      </w:pPr>
    </w:p>
    <w:p w14:paraId="68B27C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987F824">
      <w:pPr>
        <w:bidi w:val="0"/>
        <w:rPr>
          <w:color w:val="000000" w:themeColor="text1"/>
          <w:highlight w:val="none"/>
          <w14:textFill>
            <w14:solidFill>
              <w14:schemeClr w14:val="tx1"/>
            </w14:solidFill>
          </w14:textFill>
        </w:rPr>
      </w:pPr>
    </w:p>
    <w:p w14:paraId="10200243">
      <w:pPr>
        <w:rPr>
          <w:color w:val="000000" w:themeColor="text1"/>
          <w:highlight w:val="none"/>
          <w14:textFill>
            <w14:solidFill>
              <w14:schemeClr w14:val="tx1"/>
            </w14:solidFill>
          </w14:textFill>
        </w:rPr>
      </w:pPr>
    </w:p>
    <w:p w14:paraId="7AF89082">
      <w:pPr>
        <w:pStyle w:val="3"/>
        <w:keepNext w:val="0"/>
        <w:keepLines w:val="0"/>
        <w:tabs>
          <w:tab w:val="center" w:pos="4535"/>
        </w:tabs>
        <w:spacing w:before="0" w:after="0" w:line="360" w:lineRule="auto"/>
        <w:jc w:val="left"/>
        <w:rPr>
          <w:rFonts w:ascii="仿宋" w:hAnsi="仿宋" w:eastAsia="仿宋"/>
          <w:color w:val="000000" w:themeColor="text1"/>
          <w:highlight w:val="none"/>
          <w14:textFill>
            <w14:solidFill>
              <w14:schemeClr w14:val="tx1"/>
            </w14:solidFill>
          </w14:textFill>
        </w:rPr>
      </w:pPr>
      <w:bookmarkStart w:id="16" w:name="_Toc4623"/>
      <w:bookmarkStart w:id="17" w:name="_Toc3125"/>
      <w:bookmarkStart w:id="18" w:name="_Toc11255"/>
      <w:bookmarkStart w:id="19" w:name="_Toc25975"/>
      <w:bookmarkStart w:id="20" w:name="_Toc19420"/>
      <w:bookmarkStart w:id="21" w:name="_Toc4584"/>
      <w:r>
        <w:rPr>
          <w:rFonts w:hint="eastAsia" w:ascii="仿宋" w:hAnsi="仿宋" w:eastAsia="仿宋"/>
          <w:color w:val="000000" w:themeColor="text1"/>
          <w:highlight w:val="none"/>
          <w14:textFill>
            <w14:solidFill>
              <w14:schemeClr w14:val="tx1"/>
            </w14:solidFill>
          </w14:textFill>
        </w:rPr>
        <w:t>附：招标项目一览表</w:t>
      </w:r>
      <w:bookmarkEnd w:id="16"/>
      <w:bookmarkEnd w:id="17"/>
      <w:bookmarkEnd w:id="18"/>
      <w:bookmarkEnd w:id="19"/>
      <w:bookmarkEnd w:id="20"/>
      <w:bookmarkEnd w:id="21"/>
    </w:p>
    <w:tbl>
      <w:tblPr>
        <w:tblStyle w:val="20"/>
        <w:tblW w:w="9214" w:type="dxa"/>
        <w:tblInd w:w="38"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1025"/>
        <w:gridCol w:w="1984"/>
        <w:gridCol w:w="1383"/>
        <w:gridCol w:w="1736"/>
        <w:gridCol w:w="1243"/>
        <w:gridCol w:w="1843"/>
      </w:tblGrid>
      <w:tr w14:paraId="1275EF8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1025" w:type="dxa"/>
            <w:vAlign w:val="center"/>
          </w:tcPr>
          <w:p w14:paraId="2BE3AC97">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序号</w:t>
            </w:r>
          </w:p>
        </w:tc>
        <w:tc>
          <w:tcPr>
            <w:tcW w:w="1984" w:type="dxa"/>
            <w:vAlign w:val="center"/>
          </w:tcPr>
          <w:p w14:paraId="3C24B134">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招标服务名称</w:t>
            </w:r>
          </w:p>
        </w:tc>
        <w:tc>
          <w:tcPr>
            <w:tcW w:w="1383" w:type="dxa"/>
            <w:vAlign w:val="center"/>
          </w:tcPr>
          <w:p w14:paraId="31AB9B69">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招标内容及要求</w:t>
            </w:r>
          </w:p>
        </w:tc>
        <w:tc>
          <w:tcPr>
            <w:tcW w:w="1736" w:type="dxa"/>
            <w:vAlign w:val="center"/>
          </w:tcPr>
          <w:p w14:paraId="550CA329">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服务地点</w:t>
            </w:r>
          </w:p>
        </w:tc>
        <w:tc>
          <w:tcPr>
            <w:tcW w:w="1243" w:type="dxa"/>
            <w:vAlign w:val="center"/>
          </w:tcPr>
          <w:p w14:paraId="40B035E6">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服务期</w:t>
            </w:r>
          </w:p>
        </w:tc>
        <w:tc>
          <w:tcPr>
            <w:tcW w:w="1843" w:type="dxa"/>
            <w:vAlign w:val="center"/>
          </w:tcPr>
          <w:p w14:paraId="6EBCE91A">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最高控制价</w:t>
            </w:r>
          </w:p>
        </w:tc>
      </w:tr>
      <w:tr w14:paraId="040E9C2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1025" w:type="dxa"/>
            <w:vAlign w:val="center"/>
          </w:tcPr>
          <w:p w14:paraId="760C8CE3">
            <w:pPr>
              <w:spacing w:line="360" w:lineRule="auto"/>
              <w:jc w:val="center"/>
              <w:rPr>
                <w:rFonts w:hint="eastAsia" w:ascii="宋体" w:hAnsi="宋体" w:eastAsia="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一</w:t>
            </w:r>
            <w:r>
              <w:rPr>
                <w:rFonts w:hint="eastAsia" w:ascii="宋体" w:hAnsi="宋体"/>
                <w:color w:val="000000" w:themeColor="text1"/>
                <w:kern w:val="0"/>
                <w:sz w:val="24"/>
                <w:highlight w:val="none"/>
                <w:lang w:val="en-US" w:eastAsia="zh-CN"/>
                <w14:textFill>
                  <w14:solidFill>
                    <w14:schemeClr w14:val="tx1"/>
                  </w14:solidFill>
                </w14:textFill>
              </w:rPr>
              <w:t>1</w:t>
            </w:r>
          </w:p>
        </w:tc>
        <w:tc>
          <w:tcPr>
            <w:tcW w:w="1984" w:type="dxa"/>
            <w:vAlign w:val="center"/>
          </w:tcPr>
          <w:p w14:paraId="3EA8FEFD">
            <w:pPr>
              <w:adjustRightInd w:val="0"/>
              <w:snapToGrid w:val="0"/>
              <w:jc w:val="center"/>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0"/>
                <w:sz w:val="24"/>
                <w:szCs w:val="24"/>
                <w:highlight w:val="none"/>
                <w:lang w:val="en-US" w:eastAsia="zh-CN"/>
                <w14:textFill>
                  <w14:solidFill>
                    <w14:schemeClr w14:val="tx1"/>
                  </w14:solidFill>
                </w14:textFill>
              </w:rPr>
              <w:t>北京</w:t>
            </w:r>
            <w:r>
              <w:rPr>
                <w:rFonts w:hint="eastAsia" w:ascii="宋体" w:hAnsi="宋体" w:eastAsia="宋体" w:cs="Times New Roman"/>
                <w:b w:val="0"/>
                <w:bCs w:val="0"/>
                <w:color w:val="000000" w:themeColor="text1"/>
                <w:kern w:val="0"/>
                <w:sz w:val="24"/>
                <w:szCs w:val="24"/>
                <w:highlight w:val="none"/>
                <w:lang w:val="en-US" w:eastAsia="zh-CN" w:bidi="ar-SA"/>
                <w14:textFill>
                  <w14:solidFill>
                    <w14:schemeClr w14:val="tx1"/>
                  </w14:solidFill>
                </w14:textFill>
              </w:rPr>
              <w:t>瑨上雅园项目维序服务</w:t>
            </w:r>
          </w:p>
        </w:tc>
        <w:tc>
          <w:tcPr>
            <w:tcW w:w="1383" w:type="dxa"/>
            <w:vAlign w:val="center"/>
          </w:tcPr>
          <w:p w14:paraId="1C2F2478">
            <w:pP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详见第三章</w:t>
            </w:r>
          </w:p>
        </w:tc>
        <w:tc>
          <w:tcPr>
            <w:tcW w:w="1736" w:type="dxa"/>
            <w:vAlign w:val="center"/>
          </w:tcPr>
          <w:p w14:paraId="7D9953E2">
            <w:pPr>
              <w:adjustRightInd w:val="0"/>
              <w:snapToGrid w:val="0"/>
              <w:spacing w:line="240" w:lineRule="auto"/>
              <w:jc w:val="center"/>
              <w:rPr>
                <w:rFonts w:hint="eastAsia" w:ascii="宋体" w:hAnsi="宋体" w:eastAsia="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 xml:space="preserve">北京市通州区宋庄镇徐宋路57号院59号院 </w:t>
            </w:r>
          </w:p>
        </w:tc>
        <w:tc>
          <w:tcPr>
            <w:tcW w:w="1243" w:type="dxa"/>
            <w:vAlign w:val="center"/>
          </w:tcPr>
          <w:p w14:paraId="12C29113">
            <w:pPr>
              <w:adjustRightInd w:val="0"/>
              <w:snapToGrid w:val="0"/>
              <w:spacing w:line="240" w:lineRule="auto"/>
              <w:jc w:val="center"/>
              <w:rPr>
                <w:rFonts w:hint="eastAsia" w:ascii="宋体" w:hAnsi="宋体" w:eastAsia="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1年</w:t>
            </w:r>
          </w:p>
        </w:tc>
        <w:tc>
          <w:tcPr>
            <w:tcW w:w="1843" w:type="dxa"/>
            <w:vAlign w:val="center"/>
          </w:tcPr>
          <w:p w14:paraId="43142F5E">
            <w:pPr>
              <w:adjustRightInd w:val="0"/>
              <w:snapToGrid w:val="0"/>
              <w:spacing w:line="240" w:lineRule="auto"/>
              <w:jc w:val="center"/>
              <w:rPr>
                <w:rFonts w:hint="eastAsia" w:ascii="宋体" w:hAnsi="宋体"/>
                <w:color w:val="000000" w:themeColor="text1"/>
                <w:kern w:val="0"/>
                <w:sz w:val="24"/>
                <w:highlight w:val="none"/>
                <w:lang w:val="en-US"/>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1266000元</w:t>
            </w:r>
          </w:p>
        </w:tc>
      </w:tr>
    </w:tbl>
    <w:p w14:paraId="3EC621CD">
      <w:pPr>
        <w:rPr>
          <w:color w:val="000000" w:themeColor="text1"/>
          <w:highlight w:val="none"/>
          <w14:textFill>
            <w14:solidFill>
              <w14:schemeClr w14:val="tx1"/>
            </w14:solidFill>
          </w14:textFill>
        </w:rPr>
      </w:pPr>
    </w:p>
    <w:p w14:paraId="20E85C35">
      <w:pPr>
        <w:spacing w:line="50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备注：</w:t>
      </w:r>
    </w:p>
    <w:p w14:paraId="26558E36">
      <w:pPr>
        <w:numPr>
          <w:ilvl w:val="0"/>
          <w:numId w:val="1"/>
        </w:numPr>
        <w:spacing w:line="50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服务期：服务期为1年，</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暂定）</w:t>
      </w:r>
      <w:r>
        <w:rPr>
          <w:rFonts w:hint="eastAsia" w:ascii="仿宋" w:hAnsi="仿宋" w:eastAsia="仿宋" w:cs="仿宋"/>
          <w:color w:val="000000" w:themeColor="text1"/>
          <w:kern w:val="0"/>
          <w:sz w:val="32"/>
          <w:szCs w:val="32"/>
          <w:highlight w:val="none"/>
          <w14:textFill>
            <w14:solidFill>
              <w14:schemeClr w14:val="tx1"/>
            </w14:solidFill>
          </w14:textFill>
        </w:rPr>
        <w:t>至</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7</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19</w:t>
      </w:r>
      <w:r>
        <w:rPr>
          <w:rFonts w:hint="eastAsia" w:ascii="仿宋" w:hAnsi="仿宋" w:eastAsia="仿宋" w:cs="仿宋"/>
          <w:color w:val="000000" w:themeColor="text1"/>
          <w:kern w:val="0"/>
          <w:sz w:val="32"/>
          <w:szCs w:val="32"/>
          <w:highlight w:val="none"/>
          <w14:textFill>
            <w14:solidFill>
              <w14:schemeClr w14:val="tx1"/>
            </w14:solidFill>
          </w14:textFill>
        </w:rPr>
        <w:t>日（具体服务期限起始时间以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签</w:t>
      </w:r>
      <w:r>
        <w:rPr>
          <w:rFonts w:hint="eastAsia" w:ascii="仿宋" w:hAnsi="仿宋" w:eastAsia="仿宋" w:cs="仿宋"/>
          <w:color w:val="000000" w:themeColor="text1"/>
          <w:kern w:val="0"/>
          <w:sz w:val="32"/>
          <w:szCs w:val="32"/>
          <w:highlight w:val="none"/>
          <w14:textFill>
            <w14:solidFill>
              <w14:schemeClr w14:val="tx1"/>
            </w14:solidFill>
          </w14:textFill>
        </w:rPr>
        <w:t>订的服务合同为准，服务期限起始时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间</w:t>
      </w:r>
      <w:r>
        <w:rPr>
          <w:rFonts w:hint="eastAsia" w:ascii="仿宋" w:hAnsi="仿宋" w:eastAsia="仿宋" w:cs="仿宋"/>
          <w:color w:val="000000" w:themeColor="text1"/>
          <w:kern w:val="0"/>
          <w:sz w:val="32"/>
          <w:szCs w:val="32"/>
          <w:highlight w:val="none"/>
          <w14:textFill>
            <w14:solidFill>
              <w14:schemeClr w14:val="tx1"/>
            </w14:solidFill>
          </w14:textFill>
        </w:rPr>
        <w:t>如有变更的,服务期限届满时间相应变更，但服务期限</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年不变）。</w:t>
      </w:r>
    </w:p>
    <w:p w14:paraId="1BBAFE79">
      <w:pPr>
        <w:numPr>
          <w:ilvl w:val="-1"/>
          <w:numId w:val="0"/>
        </w:numPr>
        <w:spacing w:line="50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2、</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本项目招标人为“</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上海贸城物业服务有限公司</w:t>
      </w:r>
      <w:r>
        <w:rPr>
          <w:rFonts w:hint="eastAsia" w:ascii="仿宋" w:hAnsi="仿宋" w:eastAsia="仿宋" w:cs="仿宋"/>
          <w:b w:val="0"/>
          <w:bCs w:val="0"/>
          <w:color w:val="000000" w:themeColor="text1"/>
          <w:kern w:val="0"/>
          <w:sz w:val="32"/>
          <w:szCs w:val="32"/>
          <w:highlight w:val="none"/>
          <w14:textFill>
            <w14:solidFill>
              <w14:schemeClr w14:val="tx1"/>
            </w14:solidFill>
          </w14:textFill>
        </w:rPr>
        <w:t>”，中标人需与“</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上海贸城物业服务有限公司北京分公司</w:t>
      </w:r>
      <w:r>
        <w:rPr>
          <w:rFonts w:hint="eastAsia" w:ascii="仿宋" w:hAnsi="仿宋" w:eastAsia="仿宋" w:cs="仿宋"/>
          <w:b w:val="0"/>
          <w:bCs w:val="0"/>
          <w:color w:val="000000" w:themeColor="text1"/>
          <w:kern w:val="0"/>
          <w:sz w:val="32"/>
          <w:szCs w:val="32"/>
          <w:highlight w:val="none"/>
          <w14:textFill>
            <w14:solidFill>
              <w14:schemeClr w14:val="tx1"/>
            </w14:solidFill>
          </w14:textFill>
        </w:rPr>
        <w:t>”签订相关合同。</w:t>
      </w:r>
    </w:p>
    <w:p w14:paraId="44F03DB9">
      <w:pPr>
        <w:spacing w:line="50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14:textFill>
            <w14:solidFill>
              <w14:schemeClr w14:val="tx1"/>
            </w14:solidFill>
          </w14:textFill>
        </w:rPr>
        <w:t>、投标人的投标报价不得超过本项目的控制价，否则将被视为无效投标响应。</w:t>
      </w:r>
    </w:p>
    <w:p w14:paraId="403A0DE2">
      <w:pPr>
        <w:spacing w:line="500" w:lineRule="exact"/>
        <w:ind w:firstLine="643"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lang w:val="en-US" w:eastAsia="zh-CN"/>
          <w14:textFill>
            <w14:solidFill>
              <w14:schemeClr w14:val="tx1"/>
            </w14:solidFill>
          </w14:textFill>
        </w:rPr>
        <w:t>4、</w:t>
      </w:r>
      <w:r>
        <w:rPr>
          <w:rFonts w:hint="eastAsia" w:ascii="仿宋" w:hAnsi="仿宋" w:eastAsia="仿宋"/>
          <w:b/>
          <w:bCs/>
          <w:color w:val="000000" w:themeColor="text1"/>
          <w:sz w:val="32"/>
          <w:szCs w:val="32"/>
          <w:highlight w:val="none"/>
          <w14:textFill>
            <w14:solidFill>
              <w14:schemeClr w14:val="tx1"/>
            </w14:solidFill>
          </w14:textFill>
        </w:rPr>
        <w:t>投标文件的正本一份，副本一份，电子版</w:t>
      </w:r>
      <w:r>
        <w:rPr>
          <w:rFonts w:hint="eastAsia" w:ascii="仿宋" w:hAnsi="仿宋" w:eastAsia="仿宋"/>
          <w:b/>
          <w:bCs/>
          <w:color w:val="000000" w:themeColor="text1"/>
          <w:sz w:val="32"/>
          <w:szCs w:val="32"/>
          <w:highlight w:val="none"/>
          <w:lang w:val="en-US" w:eastAsia="zh-CN"/>
          <w14:textFill>
            <w14:solidFill>
              <w14:schemeClr w14:val="tx1"/>
            </w14:solidFill>
          </w14:textFill>
        </w:rPr>
        <w:t>一份</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U盘</w:t>
      </w:r>
      <w:r>
        <w:rPr>
          <w:rFonts w:hint="eastAsia" w:ascii="仿宋" w:hAnsi="仿宋" w:eastAsia="仿宋"/>
          <w:b/>
          <w:bCs/>
          <w:color w:val="000000" w:themeColor="text1"/>
          <w:sz w:val="32"/>
          <w:szCs w:val="32"/>
          <w:highlight w:val="none"/>
          <w:lang w:val="en-US" w:eastAsia="zh-CN"/>
          <w14:textFill>
            <w14:solidFill>
              <w14:schemeClr w14:val="tx1"/>
            </w14:solidFill>
          </w14:textFill>
        </w:rPr>
        <w:t>介质）</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kern w:val="0"/>
          <w:sz w:val="32"/>
          <w:szCs w:val="32"/>
          <w:highlight w:val="none"/>
          <w14:textFill>
            <w14:solidFill>
              <w14:schemeClr w14:val="tx1"/>
            </w14:solidFill>
          </w14:textFill>
        </w:rPr>
        <w:t>密封提交</w:t>
      </w:r>
      <w:r>
        <w:rPr>
          <w:rFonts w:hint="eastAsia" w:ascii="仿宋" w:hAnsi="仿宋" w:eastAsia="仿宋"/>
          <w:b/>
          <w:bCs/>
          <w:color w:val="000000" w:themeColor="text1"/>
          <w:sz w:val="32"/>
          <w:szCs w:val="32"/>
          <w:highlight w:val="none"/>
          <w:lang w:eastAsia="zh-CN"/>
          <w14:textFill>
            <w14:solidFill>
              <w14:schemeClr w14:val="tx1"/>
            </w14:solidFill>
          </w14:textFill>
        </w:rPr>
        <w:t>。</w:t>
      </w:r>
    </w:p>
    <w:p w14:paraId="1A4E12BF">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08F9F6A9">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70D0CC99">
      <w:pPr>
        <w:pStyle w:val="3"/>
        <w:keepNext w:val="0"/>
        <w:keepLines w:val="0"/>
        <w:tabs>
          <w:tab w:val="center" w:pos="4535"/>
        </w:tabs>
        <w:spacing w:before="0" w:after="0" w:line="360" w:lineRule="auto"/>
        <w:jc w:val="center"/>
        <w:rPr>
          <w:rFonts w:hint="eastAsia"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kern w:val="0"/>
          <w:sz w:val="28"/>
          <w:szCs w:val="28"/>
          <w:highlight w:val="none"/>
          <w14:textFill>
            <w14:solidFill>
              <w14:schemeClr w14:val="tx1"/>
            </w14:solidFill>
          </w14:textFill>
        </w:rPr>
        <w:br w:type="page"/>
      </w:r>
      <w:bookmarkStart w:id="22" w:name="_Toc4110"/>
      <w:bookmarkStart w:id="23" w:name="_Toc29856"/>
      <w:bookmarkStart w:id="24" w:name="_Toc28134"/>
      <w:bookmarkStart w:id="25" w:name="_Toc29756"/>
      <w:bookmarkStart w:id="26" w:name="_Toc18141"/>
      <w:bookmarkStart w:id="27" w:name="_Toc9436"/>
      <w:r>
        <w:rPr>
          <w:rFonts w:hint="eastAsia" w:ascii="仿宋" w:hAnsi="仿宋" w:eastAsia="仿宋"/>
          <w:color w:val="000000" w:themeColor="text1"/>
          <w:highlight w:val="none"/>
          <w14:textFill>
            <w14:solidFill>
              <w14:schemeClr w14:val="tx1"/>
            </w14:solidFill>
          </w14:textFill>
        </w:rPr>
        <w:t>第二章　投标人须知</w:t>
      </w:r>
      <w:bookmarkEnd w:id="22"/>
      <w:bookmarkEnd w:id="23"/>
      <w:bookmarkEnd w:id="24"/>
      <w:bookmarkEnd w:id="25"/>
      <w:bookmarkEnd w:id="26"/>
      <w:bookmarkEnd w:id="27"/>
    </w:p>
    <w:p w14:paraId="56EB758E">
      <w:pPr>
        <w:pStyle w:val="3"/>
        <w:keepNext w:val="0"/>
        <w:keepLines w:val="0"/>
        <w:tabs>
          <w:tab w:val="center" w:pos="4535"/>
        </w:tabs>
        <w:spacing w:before="0" w:after="0" w:line="360" w:lineRule="auto"/>
        <w:jc w:val="center"/>
        <w:rPr>
          <w:rFonts w:hint="eastAsia" w:ascii="仿宋" w:hAnsi="仿宋" w:eastAsia="仿宋"/>
          <w:color w:val="000000" w:themeColor="text1"/>
          <w:highlight w:val="none"/>
          <w14:textFill>
            <w14:solidFill>
              <w14:schemeClr w14:val="tx1"/>
            </w14:solidFill>
          </w14:textFill>
        </w:rPr>
      </w:pPr>
      <w:bookmarkStart w:id="28" w:name="_Toc2606"/>
      <w:bookmarkStart w:id="29" w:name="_Toc28842"/>
      <w:bookmarkStart w:id="30" w:name="_Toc4749"/>
      <w:bookmarkStart w:id="31" w:name="_Toc16166"/>
      <w:bookmarkStart w:id="32" w:name="_Toc9362"/>
      <w:r>
        <w:rPr>
          <w:rFonts w:hint="eastAsia" w:ascii="仿宋" w:hAnsi="仿宋" w:eastAsia="仿宋"/>
          <w:color w:val="000000" w:themeColor="text1"/>
          <w:highlight w:val="none"/>
          <w14:textFill>
            <w14:solidFill>
              <w14:schemeClr w14:val="tx1"/>
            </w14:solidFill>
          </w14:textFill>
        </w:rPr>
        <w:t>投标人须知前附表</w:t>
      </w:r>
      <w:bookmarkEnd w:id="28"/>
      <w:bookmarkEnd w:id="29"/>
      <w:bookmarkEnd w:id="30"/>
      <w:bookmarkEnd w:id="31"/>
      <w:bookmarkEnd w:id="32"/>
    </w:p>
    <w:p w14:paraId="25C0AB78">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本须知前附表的内容是与《投标人须知》中条款的内容对应的。如有矛盾，应以本须知前附表为准。</w:t>
      </w:r>
    </w:p>
    <w:tbl>
      <w:tblPr>
        <w:tblStyle w:val="20"/>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5A67C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6BBABB5A">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项号</w:t>
            </w:r>
          </w:p>
        </w:tc>
        <w:tc>
          <w:tcPr>
            <w:tcW w:w="9071" w:type="dxa"/>
            <w:vAlign w:val="center"/>
          </w:tcPr>
          <w:p w14:paraId="57C03CDC">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编列内容</w:t>
            </w:r>
          </w:p>
        </w:tc>
      </w:tr>
      <w:tr w14:paraId="245F4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724C3E98">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1</w:t>
            </w:r>
          </w:p>
        </w:tc>
        <w:tc>
          <w:tcPr>
            <w:tcW w:w="9071" w:type="dxa"/>
            <w:vAlign w:val="center"/>
          </w:tcPr>
          <w:p w14:paraId="2A5B03A0">
            <w:pPr>
              <w:spacing w:line="400" w:lineRule="exact"/>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s="Times New Roman"/>
                <w:b w:val="0"/>
                <w:bCs w:val="0"/>
                <w:color w:val="000000" w:themeColor="text1"/>
                <w:kern w:val="2"/>
                <w:sz w:val="28"/>
                <w:szCs w:val="28"/>
                <w:highlight w:val="none"/>
                <w:lang w:val="en-US" w:eastAsia="zh-CN"/>
                <w14:textFill>
                  <w14:solidFill>
                    <w14:schemeClr w14:val="tx1"/>
                  </w14:solidFill>
                </w14:textFill>
              </w:rPr>
              <w:t>北京</w:t>
            </w: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瑨上雅园项目维序服务</w:t>
            </w:r>
          </w:p>
          <w:p w14:paraId="6E9D497A">
            <w:pPr>
              <w:spacing w:line="400" w:lineRule="exact"/>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招标人：</w:t>
            </w:r>
            <w:r>
              <w:rPr>
                <w:rFonts w:hint="eastAsia" w:ascii="仿宋" w:hAnsi="仿宋" w:eastAsia="仿宋"/>
                <w:color w:val="000000" w:themeColor="text1"/>
                <w:sz w:val="28"/>
                <w:szCs w:val="28"/>
                <w:highlight w:val="none"/>
                <w:lang w:val="en-US" w:eastAsia="zh-CN"/>
                <w14:textFill>
                  <w14:solidFill>
                    <w14:schemeClr w14:val="tx1"/>
                  </w14:solidFill>
                </w14:textFill>
              </w:rPr>
              <w:t>上海贸城物业服务有限公司</w:t>
            </w:r>
          </w:p>
          <w:p w14:paraId="7BF877C9">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项目内容：见“招标项目一览表”</w:t>
            </w:r>
          </w:p>
          <w:p w14:paraId="21661E40">
            <w:pPr>
              <w:spacing w:line="400" w:lineRule="exact"/>
              <w:rPr>
                <w:rFonts w:hint="default" w:ascii="仿宋" w:hAnsi="仿宋" w:eastAsia="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项目编号：SHMC-2026-02</w:t>
            </w:r>
          </w:p>
        </w:tc>
      </w:tr>
      <w:tr w14:paraId="53DFB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5617B38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p>
        </w:tc>
        <w:tc>
          <w:tcPr>
            <w:tcW w:w="9071" w:type="dxa"/>
            <w:vAlign w:val="center"/>
          </w:tcPr>
          <w:p w14:paraId="3B572B26">
            <w:pPr>
              <w:tabs>
                <w:tab w:val="left" w:pos="-1260"/>
                <w:tab w:val="left" w:pos="10260"/>
              </w:tabs>
              <w:spacing w:line="400" w:lineRule="exact"/>
              <w:rPr>
                <w:rFonts w:ascii="仿宋" w:hAnsi="仿宋" w:eastAsia="仿宋"/>
                <w:color w:val="000000" w:themeColor="text1"/>
                <w:spacing w:val="-4"/>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资格标准：</w:t>
            </w:r>
            <w:r>
              <w:rPr>
                <w:rFonts w:hint="eastAsia" w:ascii="仿宋" w:hAnsi="仿宋" w:eastAsia="仿宋"/>
                <w:color w:val="000000" w:themeColor="text1"/>
                <w:spacing w:val="-4"/>
                <w:sz w:val="28"/>
                <w:szCs w:val="28"/>
                <w:highlight w:val="none"/>
                <w14:textFill>
                  <w14:solidFill>
                    <w14:schemeClr w14:val="tx1"/>
                  </w14:solidFill>
                </w14:textFill>
              </w:rPr>
              <w:t>详见</w:t>
            </w:r>
            <w:r>
              <w:rPr>
                <w:rFonts w:hint="eastAsia" w:ascii="仿宋" w:hAnsi="仿宋" w:eastAsia="仿宋" w:cs="Arial"/>
                <w:color w:val="000000" w:themeColor="text1"/>
                <w:sz w:val="28"/>
                <w:szCs w:val="28"/>
                <w:highlight w:val="none"/>
                <w14:textFill>
                  <w14:solidFill>
                    <w14:schemeClr w14:val="tx1"/>
                  </w14:solidFill>
                </w14:textFill>
              </w:rPr>
              <w:t xml:space="preserve"> “投标资格要求”</w:t>
            </w:r>
          </w:p>
        </w:tc>
      </w:tr>
      <w:tr w14:paraId="25AAC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0E2440AD">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3</w:t>
            </w:r>
          </w:p>
        </w:tc>
        <w:tc>
          <w:tcPr>
            <w:tcW w:w="9071" w:type="dxa"/>
            <w:vAlign w:val="center"/>
          </w:tcPr>
          <w:p w14:paraId="0C662D25">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投标有效期：</w:t>
            </w:r>
            <w:r>
              <w:rPr>
                <w:rFonts w:hint="eastAsia" w:ascii="仿宋" w:hAnsi="仿宋" w:eastAsia="仿宋" w:cs="宋体"/>
                <w:color w:val="000000" w:themeColor="text1"/>
                <w:kern w:val="0"/>
                <w:sz w:val="30"/>
                <w:szCs w:val="30"/>
                <w:highlight w:val="none"/>
                <w14:textFill>
                  <w14:solidFill>
                    <w14:schemeClr w14:val="tx1"/>
                  </w14:solidFill>
                </w14:textFill>
              </w:rPr>
              <w:t>投标截止期结束后90日历日。</w:t>
            </w:r>
            <w:r>
              <w:rPr>
                <w:rFonts w:hint="eastAsia" w:ascii="仿宋" w:hAnsi="仿宋" w:eastAsia="仿宋" w:cs="宋体"/>
                <w:color w:val="000000" w:themeColor="text1"/>
                <w:kern w:val="0"/>
                <w:sz w:val="30"/>
                <w:szCs w:val="30"/>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有效期不足</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将导致其投标</w:t>
            </w:r>
            <w:r>
              <w:rPr>
                <w:rFonts w:hint="eastAsia" w:ascii="仿宋" w:hAnsi="仿宋" w:eastAsia="仿宋"/>
                <w:color w:val="000000" w:themeColor="text1"/>
                <w:sz w:val="28"/>
                <w:szCs w:val="28"/>
                <w:highlight w:val="none"/>
                <w:lang w:val="en-US" w:eastAsia="zh-CN"/>
                <w14:textFill>
                  <w14:solidFill>
                    <w14:schemeClr w14:val="tx1"/>
                  </w14:solidFill>
                </w14:textFill>
              </w:rPr>
              <w:t>无效</w:t>
            </w:r>
            <w:r>
              <w:rPr>
                <w:rFonts w:hint="eastAsia" w:ascii="仿宋" w:hAnsi="仿宋" w:eastAsia="仿宋"/>
                <w:color w:val="000000" w:themeColor="text1"/>
                <w:sz w:val="28"/>
                <w:szCs w:val="28"/>
                <w:highlight w:val="none"/>
                <w14:textFill>
                  <w14:solidFill>
                    <w14:schemeClr w14:val="tx1"/>
                  </w14:solidFill>
                </w14:textFill>
              </w:rPr>
              <w:t>。</w:t>
            </w:r>
          </w:p>
        </w:tc>
      </w:tr>
      <w:tr w14:paraId="78552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205F7B7D">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4</w:t>
            </w:r>
          </w:p>
        </w:tc>
        <w:tc>
          <w:tcPr>
            <w:tcW w:w="9071" w:type="dxa"/>
            <w:vAlign w:val="center"/>
          </w:tcPr>
          <w:p w14:paraId="522B1115">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投标文件递交地址</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28"/>
                <w:szCs w:val="28"/>
                <w:highlight w:val="none"/>
                <w:u w:val="none"/>
                <w14:textFill>
                  <w14:solidFill>
                    <w14:schemeClr w14:val="tx1"/>
                  </w14:solidFill>
                </w14:textFill>
              </w:rPr>
              <w:t xml:space="preserve">厦门市思明区体育路41号顺承大厦6楼 </w:t>
            </w:r>
          </w:p>
          <w:p w14:paraId="2C096D60">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投标截止时间：见“第一章 招标公告”</w:t>
            </w:r>
          </w:p>
        </w:tc>
      </w:tr>
      <w:tr w14:paraId="404C2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78DC5DC9">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w:t>
            </w:r>
          </w:p>
        </w:tc>
        <w:tc>
          <w:tcPr>
            <w:tcW w:w="9071" w:type="dxa"/>
            <w:vAlign w:val="center"/>
          </w:tcPr>
          <w:p w14:paraId="7615CBF6">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★投标保证金</w:t>
            </w:r>
            <w:r>
              <w:rPr>
                <w:rFonts w:hint="eastAsia" w:ascii="仿宋" w:hAnsi="仿宋" w:eastAsia="仿宋"/>
                <w:color w:val="000000" w:themeColor="text1"/>
                <w:sz w:val="28"/>
                <w:szCs w:val="28"/>
                <w:highlight w:val="none"/>
                <w:lang w:val="en-US" w:eastAsia="zh-CN"/>
                <w14:textFill>
                  <w14:solidFill>
                    <w14:schemeClr w14:val="tx1"/>
                  </w14:solidFill>
                </w14:textFill>
              </w:rPr>
              <w:t>金额</w:t>
            </w:r>
            <w:r>
              <w:rPr>
                <w:rFonts w:hint="eastAsia" w:ascii="仿宋" w:hAnsi="仿宋" w:eastAsia="仿宋"/>
                <w:color w:val="000000" w:themeColor="text1"/>
                <w:sz w:val="28"/>
                <w:szCs w:val="28"/>
                <w:highlight w:val="none"/>
                <w14:textFill>
                  <w14:solidFill>
                    <w14:schemeClr w14:val="tx1"/>
                  </w14:solidFill>
                </w14:textFill>
              </w:rPr>
              <w:t>：人民币</w:t>
            </w:r>
            <w:r>
              <w:rPr>
                <w:rFonts w:hint="eastAsia" w:ascii="仿宋" w:hAnsi="仿宋" w:eastAsia="仿宋"/>
                <w:color w:val="000000" w:themeColor="text1"/>
                <w:sz w:val="28"/>
                <w:szCs w:val="28"/>
                <w:highlight w:val="none"/>
                <w:lang w:val="en-US" w:eastAsia="zh-CN"/>
                <w14:textFill>
                  <w14:solidFill>
                    <w14:schemeClr w14:val="tx1"/>
                  </w14:solidFill>
                </w14:textFill>
              </w:rPr>
              <w:t>20000</w:t>
            </w:r>
            <w:r>
              <w:rPr>
                <w:rFonts w:hint="eastAsia" w:ascii="仿宋" w:hAnsi="仿宋" w:eastAsia="仿宋"/>
                <w:color w:val="000000" w:themeColor="text1"/>
                <w:sz w:val="28"/>
                <w:szCs w:val="28"/>
                <w:highlight w:val="none"/>
                <w14:textFill>
                  <w14:solidFill>
                    <w14:schemeClr w14:val="tx1"/>
                  </w14:solidFill>
                </w14:textFill>
              </w:rPr>
              <w:t>元整。</w:t>
            </w:r>
          </w:p>
          <w:p w14:paraId="31E1CAAA">
            <w:pPr>
              <w:spacing w:line="400" w:lineRule="exact"/>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1、投标保证金以转账、电汇等形式提交</w:t>
            </w:r>
            <w:r>
              <w:rPr>
                <w:rFonts w:hint="eastAsia" w:ascii="仿宋" w:hAnsi="仿宋" w:eastAsia="仿宋"/>
                <w:b/>
                <w:color w:val="000000" w:themeColor="text1"/>
                <w:sz w:val="28"/>
                <w:szCs w:val="28"/>
                <w:highlight w:val="none"/>
                <w14:textFill>
                  <w14:solidFill>
                    <w14:schemeClr w14:val="tx1"/>
                  </w14:solidFill>
                </w14:textFill>
              </w:rPr>
              <w:t>（缴费时请备注：</w:t>
            </w:r>
            <w:r>
              <w:rPr>
                <w:rFonts w:hint="eastAsia" w:ascii="仿宋" w:hAnsi="仿宋" w:eastAsia="仿宋"/>
                <w:color w:val="000000" w:themeColor="text1"/>
                <w:sz w:val="28"/>
                <w:szCs w:val="28"/>
                <w:highlight w:val="none"/>
                <w14:textFill>
                  <w14:solidFill>
                    <w14:schemeClr w14:val="tx1"/>
                  </w14:solidFill>
                </w14:textFill>
              </w:rPr>
              <w:t>项目编号SHMC-2026-02</w:t>
            </w:r>
            <w:r>
              <w:rPr>
                <w:rFonts w:hint="eastAsia" w:ascii="仿宋" w:hAnsi="仿宋" w:eastAsia="仿宋"/>
                <w:b w:val="0"/>
                <w:color w:val="000000" w:themeColor="text1"/>
                <w:sz w:val="28"/>
                <w:szCs w:val="28"/>
                <w:highlight w:val="none"/>
                <w14:textFill>
                  <w14:solidFill>
                    <w14:schemeClr w14:val="tx1"/>
                  </w14:solidFill>
                </w14:textFill>
              </w:rPr>
              <w:t>投标保证金</w:t>
            </w: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，必须在投标截止时间前到达指定账户，不收取现金、现金支票，不接受任何个人名义的转账，否则作未提交投标保证金处理。</w:t>
            </w:r>
            <w:r>
              <w:rPr>
                <w:rFonts w:hint="eastAsia" w:ascii="仿宋" w:hAnsi="仿宋" w:eastAsia="仿宋"/>
                <w:b/>
                <w:color w:val="000000" w:themeColor="text1"/>
                <w:sz w:val="28"/>
                <w:szCs w:val="28"/>
                <w:highlight w:val="none"/>
                <w14:textFill>
                  <w14:solidFill>
                    <w14:schemeClr w14:val="tx1"/>
                  </w14:solidFill>
                </w14:textFill>
              </w:rPr>
              <w:t>投标文件中应体现投标保证金的缴交凭证。</w:t>
            </w:r>
          </w:p>
          <w:p w14:paraId="7A452BC0">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投标保证金金额为“0”的，视为不要求提交投标保证金。</w:t>
            </w:r>
          </w:p>
          <w:p w14:paraId="0D2E533E">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保证金的退还：</w:t>
            </w:r>
          </w:p>
          <w:p w14:paraId="7AAAE425">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w:t>
            </w:r>
            <w:r>
              <w:rPr>
                <w:rFonts w:hint="eastAsia" w:ascii="仿宋" w:hAnsi="仿宋" w:eastAsia="仿宋"/>
                <w:color w:val="000000" w:themeColor="text1"/>
                <w:sz w:val="28"/>
                <w:szCs w:val="28"/>
                <w:highlight w:val="none"/>
                <w14:textFill>
                  <w14:solidFill>
                    <w14:schemeClr w14:val="tx1"/>
                  </w14:solidFill>
                </w14:textFill>
              </w:rPr>
              <w:t>招标人将在《中标通知书》发出之日起20个工作日内予以原额无息退还未中标人的投标保证金。</w:t>
            </w:r>
          </w:p>
          <w:p w14:paraId="0088B58D">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w:t>
            </w:r>
            <w:r>
              <w:rPr>
                <w:rFonts w:hint="eastAsia" w:ascii="仿宋" w:hAnsi="仿宋" w:eastAsia="仿宋"/>
                <w:color w:val="000000" w:themeColor="text1"/>
                <w:sz w:val="28"/>
                <w:szCs w:val="28"/>
                <w:highlight w:val="none"/>
                <w14:textFill>
                  <w14:solidFill>
                    <w14:schemeClr w14:val="tx1"/>
                  </w14:solidFill>
                </w14:textFill>
              </w:rPr>
              <w:t>在中标人签订合同后20个工作日内，中标人凭合同原件或者合同复印件（加盖中标人公章）退还投标保证金。投标保证金退还系原额无息退返。</w:t>
            </w:r>
          </w:p>
        </w:tc>
      </w:tr>
      <w:tr w14:paraId="6C41B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333C0379">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w:t>
            </w:r>
          </w:p>
        </w:tc>
        <w:tc>
          <w:tcPr>
            <w:tcW w:w="9071" w:type="dxa"/>
            <w:vAlign w:val="center"/>
          </w:tcPr>
          <w:p w14:paraId="5819ABCB">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中标供应商在签订合同前，应向招标人</w:t>
            </w:r>
            <w:r>
              <w:rPr>
                <w:rFonts w:hint="eastAsia" w:ascii="仿宋" w:hAnsi="仿宋" w:eastAsia="仿宋"/>
                <w:color w:val="000000" w:themeColor="text1"/>
                <w:sz w:val="28"/>
                <w:szCs w:val="28"/>
                <w:highlight w:val="none"/>
                <w:lang w:val="en-US" w:eastAsia="zh-CN"/>
                <w14:textFill>
                  <w14:solidFill>
                    <w14:schemeClr w14:val="tx1"/>
                  </w14:solidFill>
                </w14:textFill>
              </w:rPr>
              <w:t>缴纳50000</w:t>
            </w:r>
            <w:r>
              <w:rPr>
                <w:rFonts w:hint="eastAsia" w:ascii="仿宋" w:hAnsi="仿宋" w:eastAsia="仿宋"/>
                <w:color w:val="000000" w:themeColor="text1"/>
                <w:sz w:val="28"/>
                <w:szCs w:val="28"/>
                <w:highlight w:val="none"/>
                <w14:textFill>
                  <w14:solidFill>
                    <w14:schemeClr w14:val="tx1"/>
                  </w14:solidFill>
                </w14:textFill>
              </w:rPr>
              <w:t>元履约保证金。</w:t>
            </w:r>
          </w:p>
          <w:p w14:paraId="28BBADEB">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履约保证金数额：</w:t>
            </w:r>
            <w:r>
              <w:rPr>
                <w:rFonts w:hint="eastAsia" w:ascii="仿宋" w:hAnsi="仿宋" w:eastAsia="仿宋"/>
                <w:color w:val="000000" w:themeColor="text1"/>
                <w:sz w:val="28"/>
                <w:szCs w:val="28"/>
                <w:highlight w:val="none"/>
                <w:lang w:val="en-US" w:eastAsia="zh-CN"/>
                <w14:textFill>
                  <w14:solidFill>
                    <w14:schemeClr w14:val="tx1"/>
                  </w14:solidFill>
                </w14:textFill>
              </w:rPr>
              <w:t>50000</w:t>
            </w:r>
            <w:r>
              <w:rPr>
                <w:rFonts w:hint="eastAsia" w:ascii="仿宋" w:hAnsi="仿宋" w:eastAsia="仿宋"/>
                <w:color w:val="000000" w:themeColor="text1"/>
                <w:sz w:val="28"/>
                <w:szCs w:val="28"/>
                <w:highlight w:val="none"/>
                <w14:textFill>
                  <w14:solidFill>
                    <w14:schemeClr w14:val="tx1"/>
                  </w14:solidFill>
                </w14:textFill>
              </w:rPr>
              <w:t>元（指人民币，下同）。</w:t>
            </w:r>
          </w:p>
          <w:p w14:paraId="05925100">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履约保证金形式：转账。</w:t>
            </w:r>
          </w:p>
          <w:p w14:paraId="690A4544">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中标人在收到中标通知书后签订合同。履约保证金在双方合同终止、交接清楚、质保期（或保修期）结束和债权债务等关系理顺后30日历天内无息返还。</w:t>
            </w:r>
          </w:p>
          <w:p w14:paraId="59B60FBE">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中标人如在服务期限内不能完成招投标文件和合同约定，招标人有权解除合同，履约保证金不予退还。 </w:t>
            </w:r>
          </w:p>
        </w:tc>
      </w:tr>
      <w:tr w14:paraId="12918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47FCF582">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w:t>
            </w:r>
          </w:p>
        </w:tc>
        <w:tc>
          <w:tcPr>
            <w:tcW w:w="9071" w:type="dxa"/>
            <w:vAlign w:val="center"/>
          </w:tcPr>
          <w:p w14:paraId="28EB8B24">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★招标预算价（即最高控制价）为：</w:t>
            </w:r>
            <w:r>
              <w:rPr>
                <w:rFonts w:hint="eastAsia" w:ascii="仿宋" w:hAnsi="仿宋" w:eastAsia="仿宋"/>
                <w:color w:val="000000" w:themeColor="text1"/>
                <w:sz w:val="28"/>
                <w:szCs w:val="28"/>
                <w:highlight w:val="none"/>
                <w:lang w:val="en-US" w:eastAsia="zh-CN"/>
                <w14:textFill>
                  <w14:solidFill>
                    <w14:schemeClr w14:val="tx1"/>
                  </w14:solidFill>
                </w14:textFill>
              </w:rPr>
              <w:t>1266000</w:t>
            </w:r>
            <w:r>
              <w:rPr>
                <w:rFonts w:hint="eastAsia" w:ascii="仿宋" w:hAnsi="仿宋" w:eastAsia="仿宋"/>
                <w:color w:val="000000" w:themeColor="text1"/>
                <w:sz w:val="28"/>
                <w:szCs w:val="28"/>
                <w:highlight w:val="none"/>
                <w14:textFill>
                  <w14:solidFill>
                    <w14:schemeClr w14:val="tx1"/>
                  </w14:solidFill>
                </w14:textFill>
              </w:rPr>
              <w:t>元</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含税）</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投标人投标报价超过预算价的投标为无效投标</w:t>
            </w:r>
            <w:r>
              <w:rPr>
                <w:rFonts w:hint="eastAsia" w:ascii="仿宋" w:hAnsi="仿宋" w:eastAsia="仿宋"/>
                <w:color w:val="000000" w:themeColor="text1"/>
                <w:sz w:val="28"/>
                <w:szCs w:val="28"/>
                <w:highlight w:val="none"/>
                <w14:textFill>
                  <w14:solidFill>
                    <w14:schemeClr w14:val="tx1"/>
                  </w14:solidFill>
                </w14:textFill>
              </w:rPr>
              <w:t>。</w:t>
            </w:r>
          </w:p>
        </w:tc>
      </w:tr>
      <w:tr w14:paraId="0C29E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250C9C8A">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w:t>
            </w:r>
          </w:p>
        </w:tc>
        <w:tc>
          <w:tcPr>
            <w:tcW w:w="9071" w:type="dxa"/>
            <w:vAlign w:val="center"/>
          </w:tcPr>
          <w:p w14:paraId="29AE2713">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0683A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465EC900">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w:t>
            </w:r>
          </w:p>
        </w:tc>
        <w:tc>
          <w:tcPr>
            <w:tcW w:w="9071" w:type="dxa"/>
            <w:vAlign w:val="center"/>
          </w:tcPr>
          <w:p w14:paraId="1BFB0198">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投标提醒：</w:t>
            </w:r>
          </w:p>
          <w:p w14:paraId="5301FD30">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1、投标保证金手续办理完毕后，请再次核对账号、收款单位是否正确，并确保在投标截止时间前到账。</w:t>
            </w:r>
          </w:p>
          <w:p w14:paraId="7CCA13AE">
            <w:pPr>
              <w:spacing w:line="40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2、为方便</w:t>
            </w:r>
            <w:r>
              <w:rPr>
                <w:rFonts w:hint="eastAsia" w:ascii="仿宋" w:hAnsi="仿宋" w:eastAsia="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保证金的收取工作，</w:t>
            </w:r>
            <w:r>
              <w:rPr>
                <w:rFonts w:hint="eastAsia" w:ascii="仿宋" w:hAnsi="仿宋" w:eastAsia="仿宋" w:cs="Arial"/>
                <w:b/>
                <w:color w:val="000000" w:themeColor="text1"/>
                <w:kern w:val="0"/>
                <w:sz w:val="28"/>
                <w:szCs w:val="28"/>
                <w:highlight w:val="none"/>
                <w:u w:val="single"/>
                <w14:textFill>
                  <w14:solidFill>
                    <w14:schemeClr w14:val="tx1"/>
                  </w14:solidFill>
                </w14:textFill>
              </w:rPr>
              <w:t>除投标文件中的缴交凭证外，</w:t>
            </w:r>
            <w:r>
              <w:rPr>
                <w:rFonts w:hint="eastAsia" w:ascii="仿宋" w:hAnsi="仿宋" w:eastAsia="仿宋"/>
                <w:b/>
                <w:color w:val="000000" w:themeColor="text1"/>
                <w:sz w:val="28"/>
                <w:szCs w:val="28"/>
                <w:highlight w:val="none"/>
                <w:u w:val="single"/>
                <w14:textFill>
                  <w14:solidFill>
                    <w14:schemeClr w14:val="tx1"/>
                  </w14:solidFill>
                </w14:textFill>
              </w:rPr>
              <w:t>投标人在递交投标文件时应单独提供保证金缴交证明复印件一份给招标人投标文件接收人员。</w:t>
            </w:r>
          </w:p>
          <w:p w14:paraId="70920B3A">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3、为确保在投标截止时间前递交投标文件，请务必考虑交通拥挤及路上不可预见的其他因素。</w:t>
            </w:r>
          </w:p>
          <w:p w14:paraId="4625310A">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4、本文件第四章的投标文件格式中要求投标人盖章、投标代表签字的均应按要求盖章、签字。</w:t>
            </w:r>
          </w:p>
        </w:tc>
      </w:tr>
      <w:tr w14:paraId="45F45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850" w:type="dxa"/>
            <w:vAlign w:val="center"/>
          </w:tcPr>
          <w:p w14:paraId="1E0E8FAF">
            <w:pPr>
              <w:spacing w:line="400" w:lineRule="exact"/>
              <w:jc w:val="center"/>
              <w:rPr>
                <w:rFonts w:hint="eastAsia" w:ascii="仿宋" w:hAnsi="仿宋" w:eastAsia="仿宋"/>
                <w:color w:val="000000" w:themeColor="text1"/>
                <w:sz w:val="28"/>
                <w:szCs w:val="28"/>
                <w:highlight w:val="none"/>
                <w14:textFill>
                  <w14:solidFill>
                    <w14:schemeClr w14:val="tx1"/>
                  </w14:solidFill>
                </w14:textFill>
              </w:rPr>
            </w:pPr>
          </w:p>
          <w:p w14:paraId="38081420">
            <w:pPr>
              <w:spacing w:line="400" w:lineRule="exact"/>
              <w:jc w:val="center"/>
              <w:rPr>
                <w:rFonts w:hint="eastAsia" w:ascii="仿宋" w:hAnsi="仿宋" w:eastAsia="仿宋"/>
                <w:color w:val="000000" w:themeColor="text1"/>
                <w:sz w:val="28"/>
                <w:szCs w:val="28"/>
                <w:highlight w:val="none"/>
                <w14:textFill>
                  <w14:solidFill>
                    <w14:schemeClr w14:val="tx1"/>
                  </w14:solidFill>
                </w14:textFill>
              </w:rPr>
            </w:pPr>
          </w:p>
          <w:p w14:paraId="6E1067F3">
            <w:pPr>
              <w:spacing w:line="400" w:lineRule="exact"/>
              <w:jc w:val="center"/>
              <w:rPr>
                <w:rFonts w:hint="eastAsia" w:ascii="仿宋" w:hAnsi="仿宋" w:eastAsia="仿宋"/>
                <w:color w:val="000000" w:themeColor="text1"/>
                <w:sz w:val="28"/>
                <w:szCs w:val="28"/>
                <w:highlight w:val="none"/>
                <w14:textFill>
                  <w14:solidFill>
                    <w14:schemeClr w14:val="tx1"/>
                  </w14:solidFill>
                </w14:textFill>
              </w:rPr>
            </w:pPr>
          </w:p>
          <w:p w14:paraId="37768E2E">
            <w:pPr>
              <w:spacing w:line="400" w:lineRule="exact"/>
              <w:jc w:val="center"/>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10</w:t>
            </w:r>
          </w:p>
          <w:p w14:paraId="0B13920A">
            <w:pPr>
              <w:spacing w:line="400" w:lineRule="exact"/>
              <w:jc w:val="center"/>
              <w:rPr>
                <w:rFonts w:hint="eastAsia" w:ascii="仿宋" w:hAnsi="仿宋" w:eastAsia="仿宋"/>
                <w:color w:val="000000" w:themeColor="text1"/>
                <w:sz w:val="28"/>
                <w:szCs w:val="28"/>
                <w:highlight w:val="none"/>
                <w14:textFill>
                  <w14:solidFill>
                    <w14:schemeClr w14:val="tx1"/>
                  </w14:solidFill>
                </w14:textFill>
              </w:rPr>
            </w:pPr>
          </w:p>
          <w:p w14:paraId="2689BA2B">
            <w:pPr>
              <w:spacing w:line="400" w:lineRule="exact"/>
              <w:jc w:val="center"/>
              <w:rPr>
                <w:rFonts w:hint="eastAsia" w:ascii="仿宋" w:hAnsi="仿宋" w:eastAsia="仿宋"/>
                <w:color w:val="000000" w:themeColor="text1"/>
                <w:sz w:val="28"/>
                <w:szCs w:val="28"/>
                <w:highlight w:val="none"/>
                <w14:textFill>
                  <w14:solidFill>
                    <w14:schemeClr w14:val="tx1"/>
                  </w14:solidFill>
                </w14:textFill>
              </w:rPr>
            </w:pPr>
          </w:p>
          <w:p w14:paraId="3C3BAD5A">
            <w:pPr>
              <w:spacing w:line="400" w:lineRule="exact"/>
              <w:jc w:val="center"/>
              <w:rPr>
                <w:rFonts w:hint="eastAsia" w:ascii="仿宋" w:hAnsi="仿宋" w:eastAsia="仿宋"/>
                <w:color w:val="000000" w:themeColor="text1"/>
                <w:sz w:val="28"/>
                <w:szCs w:val="28"/>
                <w:highlight w:val="none"/>
                <w14:textFill>
                  <w14:solidFill>
                    <w14:schemeClr w14:val="tx1"/>
                  </w14:solidFill>
                </w14:textFill>
              </w:rPr>
            </w:pPr>
          </w:p>
        </w:tc>
        <w:tc>
          <w:tcPr>
            <w:tcW w:w="9071" w:type="dxa"/>
            <w:vAlign w:val="center"/>
          </w:tcPr>
          <w:p w14:paraId="4E04DD1E">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投标资格要求与投标资格证明文件</w:t>
            </w:r>
          </w:p>
          <w:p w14:paraId="1841A10A">
            <w:pPr>
              <w:numPr>
                <w:ilvl w:val="0"/>
                <w:numId w:val="0"/>
              </w:numPr>
              <w:spacing w:line="400" w:lineRule="exact"/>
              <w:ind w:left="-9" w:leftChars="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1、</w:t>
            </w:r>
            <w:r>
              <w:rPr>
                <w:rFonts w:hint="eastAsia" w:ascii="仿宋" w:hAnsi="仿宋" w:eastAsia="仿宋"/>
                <w:b/>
                <w:color w:val="000000" w:themeColor="text1"/>
                <w:sz w:val="28"/>
                <w:szCs w:val="28"/>
                <w:highlight w:val="none"/>
                <w14:textFill>
                  <w14:solidFill>
                    <w14:schemeClr w14:val="tx1"/>
                  </w14:solidFill>
                </w14:textFill>
              </w:rPr>
              <w:t>投标人</w:t>
            </w:r>
            <w:r>
              <w:rPr>
                <w:rFonts w:hint="eastAsia" w:ascii="仿宋" w:hAnsi="仿宋" w:eastAsia="仿宋"/>
                <w:b/>
                <w:color w:val="000000" w:themeColor="text1"/>
                <w:sz w:val="28"/>
                <w:szCs w:val="28"/>
                <w:highlight w:val="none"/>
                <w:lang w:val="en-US" w:eastAsia="zh-CN"/>
                <w14:textFill>
                  <w14:solidFill>
                    <w14:schemeClr w14:val="tx1"/>
                  </w14:solidFill>
                </w14:textFill>
              </w:rPr>
              <w:t>应具有独立法人资格，</w:t>
            </w:r>
            <w:r>
              <w:rPr>
                <w:rFonts w:hint="eastAsia" w:ascii="仿宋" w:hAnsi="仿宋" w:eastAsia="仿宋"/>
                <w:b/>
                <w:color w:val="000000" w:themeColor="text1"/>
                <w:sz w:val="28"/>
                <w:szCs w:val="28"/>
                <w:highlight w:val="none"/>
                <w14:textFill>
                  <w14:solidFill>
                    <w14:schemeClr w14:val="tx1"/>
                  </w14:solidFill>
                </w14:textFill>
              </w:rPr>
              <w:t>具有独立承担民事责任的能力，并具备参加招投标、政府采购活动的合法条件。投标人必须提供</w:t>
            </w:r>
            <w:r>
              <w:rPr>
                <w:rFonts w:hint="eastAsia" w:ascii="仿宋" w:hAnsi="仿宋" w:eastAsia="仿宋"/>
                <w:b/>
                <w:color w:val="000000" w:themeColor="text1"/>
                <w:sz w:val="28"/>
                <w:szCs w:val="28"/>
                <w:highlight w:val="none"/>
                <w:lang w:val="en-US" w:eastAsia="zh-CN"/>
                <w14:textFill>
                  <w14:solidFill>
                    <w14:schemeClr w14:val="tx1"/>
                  </w14:solidFill>
                </w14:textFill>
              </w:rPr>
              <w:t>有效的</w:t>
            </w:r>
            <w:r>
              <w:rPr>
                <w:rFonts w:hint="eastAsia" w:ascii="仿宋" w:hAnsi="仿宋" w:eastAsia="仿宋"/>
                <w:b/>
                <w:color w:val="000000" w:themeColor="text1"/>
                <w:sz w:val="28"/>
                <w:szCs w:val="28"/>
                <w:highlight w:val="none"/>
                <w14:textFill>
                  <w14:solidFill>
                    <w14:schemeClr w14:val="tx1"/>
                  </w14:solidFill>
                </w14:textFill>
              </w:rPr>
              <w:t>企业法人营业执照复印件。</w:t>
            </w:r>
          </w:p>
          <w:p w14:paraId="6AC88D37">
            <w:pPr>
              <w:numPr>
                <w:ilvl w:val="0"/>
                <w:numId w:val="0"/>
              </w:numPr>
              <w:spacing w:line="400" w:lineRule="exact"/>
              <w:ind w:left="-9" w:leftChars="0"/>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2、</w:t>
            </w:r>
            <w:r>
              <w:rPr>
                <w:rFonts w:hint="eastAsia" w:ascii="仿宋" w:hAnsi="仿宋" w:eastAsia="仿宋"/>
                <w:b/>
                <w:color w:val="000000" w:themeColor="text1"/>
                <w:sz w:val="28"/>
                <w:szCs w:val="28"/>
                <w:highlight w:val="none"/>
                <w14:textFill>
                  <w14:solidFill>
                    <w14:schemeClr w14:val="tx1"/>
                  </w14:solidFill>
                </w14:textFill>
              </w:rPr>
              <w:t>投标人代表不是法定代表人的，应提供法定代表人授权书原件，以及投标人代表的身份证复印件。</w:t>
            </w:r>
          </w:p>
          <w:p w14:paraId="5F7236B4">
            <w:pPr>
              <w:numPr>
                <w:ilvl w:val="0"/>
                <w:numId w:val="0"/>
              </w:numPr>
              <w:spacing w:line="400" w:lineRule="exact"/>
              <w:ind w:left="-9" w:leftChars="0"/>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3、投标人应提供</w:t>
            </w:r>
            <w:bookmarkStart w:id="33" w:name="OLE_LINK3"/>
            <w:r>
              <w:rPr>
                <w:rFonts w:hint="eastAsia" w:ascii="仿宋" w:hAnsi="仿宋" w:eastAsia="仿宋"/>
                <w:b/>
                <w:color w:val="000000" w:themeColor="text1"/>
                <w:sz w:val="28"/>
                <w:szCs w:val="28"/>
                <w:highlight w:val="none"/>
                <w14:textFill>
                  <w14:solidFill>
                    <w14:schemeClr w14:val="tx1"/>
                  </w14:solidFill>
                </w14:textFill>
              </w:rPr>
              <w:t>参加采购活动前</w:t>
            </w:r>
            <w:r>
              <w:rPr>
                <w:rFonts w:hint="eastAsia" w:ascii="仿宋" w:hAnsi="仿宋" w:eastAsia="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b/>
                <w:color w:val="000000" w:themeColor="text1"/>
                <w:sz w:val="28"/>
                <w:szCs w:val="28"/>
                <w:highlight w:val="none"/>
                <w14:textFill>
                  <w14:solidFill>
                    <w14:schemeClr w14:val="tx1"/>
                  </w14:solidFill>
                </w14:textFill>
              </w:rPr>
              <w:t>年内在经营活动中没有重大违法记录的书面声明</w:t>
            </w:r>
            <w:bookmarkEnd w:id="33"/>
            <w:r>
              <w:rPr>
                <w:rFonts w:hint="eastAsia" w:ascii="仿宋" w:hAnsi="仿宋" w:eastAsia="仿宋"/>
                <w:b/>
                <w:color w:val="000000" w:themeColor="text1"/>
                <w:sz w:val="28"/>
                <w:szCs w:val="28"/>
                <w:highlight w:val="none"/>
                <w14:textFill>
                  <w14:solidFill>
                    <w14:schemeClr w14:val="tx1"/>
                  </w14:solidFill>
                </w14:textFill>
              </w:rPr>
              <w:t>。（“重大违法记录”指投标人因违法经营受到刑事处罚或责令停产停业、吊销许可证或执照、较大数额罚款等行政处罚。）</w:t>
            </w:r>
          </w:p>
          <w:p w14:paraId="35F5D209">
            <w:pPr>
              <w:numPr>
                <w:ilvl w:val="0"/>
                <w:numId w:val="0"/>
              </w:numPr>
              <w:spacing w:line="400" w:lineRule="exact"/>
              <w:ind w:left="-9" w:leftChars="0"/>
              <w:rPr>
                <w:rFonts w:hint="eastAsia" w:ascii="仿宋" w:hAnsi="仿宋" w:eastAsia="仿宋" w:cs="Times New Roman"/>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lang w:val="en-US" w:eastAsia="zh-CN"/>
                <w14:textFill>
                  <w14:solidFill>
                    <w14:schemeClr w14:val="tx1"/>
                  </w14:solidFill>
                </w14:textFill>
              </w:rPr>
              <w:t>4、</w:t>
            </w:r>
            <w:r>
              <w:rPr>
                <w:rFonts w:hint="eastAsia" w:ascii="仿宋" w:hAnsi="仿宋" w:eastAsia="仿宋" w:cs="Times New Roman"/>
                <w:b/>
                <w:color w:val="000000" w:themeColor="text1"/>
                <w:sz w:val="28"/>
                <w:szCs w:val="28"/>
                <w:highlight w:val="none"/>
                <w14:textFill>
                  <w14:solidFill>
                    <w14:schemeClr w14:val="tx1"/>
                  </w14:solidFill>
                </w14:textFill>
              </w:rPr>
              <w:t>投标人应具备独立的法人资格，营业执照注册资金应不低于300万人民币，并提供营业执照复印件(加盖投标人公章)。</w:t>
            </w:r>
          </w:p>
          <w:p w14:paraId="4E65C772">
            <w:pPr>
              <w:widowControl/>
              <w:numPr>
                <w:ilvl w:val="0"/>
                <w:numId w:val="0"/>
              </w:numPr>
              <w:spacing w:before="0" w:after="0" w:line="400" w:lineRule="exact"/>
              <w:ind w:left="-9"/>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cs="Times New Roman"/>
                <w:b/>
                <w:color w:val="000000" w:themeColor="text1"/>
                <w:sz w:val="28"/>
                <w:szCs w:val="28"/>
                <w:highlight w:val="none"/>
                <w:lang w:val="en-US" w:eastAsia="zh-CN"/>
                <w14:textFill>
                  <w14:solidFill>
                    <w14:schemeClr w14:val="tx1"/>
                  </w14:solidFill>
                </w14:textFill>
              </w:rPr>
              <w:t>5、</w:t>
            </w:r>
            <w:r>
              <w:rPr>
                <w:rFonts w:hint="eastAsia" w:ascii="仿宋" w:hAnsi="仿宋" w:eastAsia="仿宋" w:cs="Times New Roman"/>
                <w:b/>
                <w:color w:val="000000" w:themeColor="text1"/>
                <w:sz w:val="28"/>
                <w:szCs w:val="28"/>
                <w:highlight w:val="none"/>
                <w14:textFill>
                  <w14:solidFill>
                    <w14:schemeClr w14:val="tx1"/>
                  </w14:solidFill>
                </w14:textFill>
              </w:rPr>
              <w:t>投标人必须提供自2021年6月1日起至今不少于3个同等级或以上的住宅项目秩序服务类项目的经营业绩经验的有效证明文件（需提供合同或验收报告的复印件，原件备查）。</w:t>
            </w:r>
          </w:p>
          <w:p w14:paraId="5C5456AB">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6、信用记录要求：</w:t>
            </w:r>
          </w:p>
          <w:p w14:paraId="0BAB7629">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 xml:space="preserve">（1）信用信息查询渠道：通过“信用中国”网站（www.creditchina.gov.cn）、中国政府采购网（www.ccgp.gov.cn）查询所有投标人的信用信息。 </w:t>
            </w:r>
          </w:p>
          <w:p w14:paraId="426164DA">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（2）截止时点：查询本项目投标文件递交截止时间当天前三年内的信用信息。</w:t>
            </w:r>
          </w:p>
          <w:p w14:paraId="10FAFB31">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（3）信用信息的使用规则：</w:t>
            </w:r>
            <w:r>
              <w:rPr>
                <w:rFonts w:hint="default" w:ascii="仿宋" w:hAnsi="仿宋" w:eastAsia="仿宋"/>
                <w:b/>
                <w:color w:val="000000" w:themeColor="text1"/>
                <w:sz w:val="28"/>
                <w:szCs w:val="28"/>
                <w:highlight w:val="none"/>
                <w:lang w:val="en-US" w:eastAsia="zh-CN"/>
                <w14:textFill>
                  <w14:solidFill>
                    <w14:schemeClr w14:val="tx1"/>
                  </w14:solidFill>
                </w14:textFill>
              </w:rPr>
              <w:t>①</w:t>
            </w:r>
            <w:r>
              <w:rPr>
                <w:rFonts w:hint="eastAsia" w:ascii="仿宋" w:hAnsi="仿宋" w:eastAsia="仿宋"/>
                <w:b/>
                <w:color w:val="000000" w:themeColor="text1"/>
                <w:sz w:val="28"/>
                <w:szCs w:val="28"/>
                <w:highlight w:val="none"/>
                <w:lang w:val="en-US" w:eastAsia="zh-CN"/>
                <w14:textFill>
                  <w14:solidFill>
                    <w14:schemeClr w14:val="tx1"/>
                  </w14:solidFill>
                </w14:textFill>
              </w:rPr>
              <w:t>查询结果显示投标人存在不良信用记录（包含列入失信被执行人、重大税收违法失信主体、严重违法失信名单）的，其资格审查不合格。</w:t>
            </w:r>
            <w:r>
              <w:rPr>
                <w:rFonts w:hint="default" w:ascii="仿宋" w:hAnsi="仿宋" w:eastAsia="仿宋"/>
                <w:b/>
                <w:color w:val="000000" w:themeColor="text1"/>
                <w:sz w:val="28"/>
                <w:szCs w:val="28"/>
                <w:highlight w:val="none"/>
                <w:lang w:val="en-US" w:eastAsia="zh-CN"/>
                <w14:textFill>
                  <w14:solidFill>
                    <w14:schemeClr w14:val="tx1"/>
                  </w14:solidFill>
                </w14:textFill>
              </w:rPr>
              <w:t>②</w:t>
            </w:r>
            <w:r>
              <w:rPr>
                <w:rFonts w:hint="eastAsia" w:ascii="仿宋" w:hAnsi="仿宋" w:eastAsia="仿宋"/>
                <w:b/>
                <w:color w:val="000000" w:themeColor="text1"/>
                <w:sz w:val="28"/>
                <w:szCs w:val="28"/>
                <w:highlight w:val="none"/>
                <w:lang w:val="en-US" w:eastAsia="zh-CN"/>
                <w14:textFill>
                  <w14:solidFill>
                    <w14:schemeClr w14:val="tx1"/>
                  </w14:solidFill>
                </w14:textFill>
              </w:rPr>
              <w:t>因查询渠道网站原因导致查无投标人信息的，不认定投标人资格审查不合格；评审结束后，通过其他渠道发现投标人存在不良信用记录的，不认定为资格审查错误，将依照有关规定进行调查处理。</w:t>
            </w:r>
          </w:p>
          <w:p w14:paraId="04C73AC4">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（4）投标人无需提供信用信息查询结果（但投标人应在参加招标活动前查询并了解自身的信用记录情况）。若投标人自行提供查询结果的，仍以评标委员会查询结果为准。</w:t>
            </w:r>
          </w:p>
          <w:p w14:paraId="515CFB83">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注：以上资格证明文件为复印件的，须加盖投标人公章，且原件备查。投标人不满足上述规定的特定条件或提供证明文件不全的，其投标无效。</w:t>
            </w:r>
          </w:p>
        </w:tc>
      </w:tr>
    </w:tbl>
    <w:p w14:paraId="2E630B32">
      <w:pPr>
        <w:bidi w:val="0"/>
        <w:rPr>
          <w:color w:val="000000" w:themeColor="text1"/>
          <w:highlight w:val="none"/>
          <w14:textFill>
            <w14:solidFill>
              <w14:schemeClr w14:val="tx1"/>
            </w14:solidFill>
          </w14:textFill>
        </w:rPr>
      </w:pPr>
    </w:p>
    <w:p w14:paraId="688431FD">
      <w:pPr>
        <w:rPr>
          <w:rFonts w:ascii="仿宋" w:hAnsi="仿宋" w:eastAsia="仿宋"/>
          <w:color w:val="000000" w:themeColor="text1"/>
          <w:highlight w:val="none"/>
          <w14:textFill>
            <w14:solidFill>
              <w14:schemeClr w14:val="tx1"/>
            </w14:solidFill>
          </w14:textFill>
        </w:rPr>
      </w:pPr>
    </w:p>
    <w:p w14:paraId="6268FA84">
      <w:pPr>
        <w:rPr>
          <w:rFonts w:ascii="仿宋" w:hAnsi="仿宋" w:eastAsia="仿宋"/>
          <w:color w:val="000000" w:themeColor="text1"/>
          <w:highlight w:val="none"/>
          <w14:textFill>
            <w14:solidFill>
              <w14:schemeClr w14:val="tx1"/>
            </w14:solidFill>
          </w14:textFill>
        </w:rPr>
      </w:pPr>
    </w:p>
    <w:p w14:paraId="3A5ABD2C">
      <w:pPr>
        <w:rPr>
          <w:rFonts w:ascii="仿宋" w:hAnsi="仿宋" w:eastAsia="仿宋"/>
          <w:color w:val="000000" w:themeColor="text1"/>
          <w:highlight w:val="none"/>
          <w14:textFill>
            <w14:solidFill>
              <w14:schemeClr w14:val="tx1"/>
            </w14:solidFill>
          </w14:textFill>
        </w:rPr>
      </w:pPr>
    </w:p>
    <w:p w14:paraId="3D5F0606">
      <w:pPr>
        <w:rPr>
          <w:rFonts w:ascii="仿宋" w:hAnsi="仿宋" w:eastAsia="仿宋"/>
          <w:color w:val="000000" w:themeColor="text1"/>
          <w:highlight w:val="none"/>
          <w14:textFill>
            <w14:solidFill>
              <w14:schemeClr w14:val="tx1"/>
            </w14:solidFill>
          </w14:textFill>
        </w:rPr>
      </w:pPr>
    </w:p>
    <w:p w14:paraId="368ED01F">
      <w:pPr>
        <w:rPr>
          <w:rFonts w:ascii="仿宋" w:hAnsi="仿宋" w:eastAsia="仿宋"/>
          <w:color w:val="000000" w:themeColor="text1"/>
          <w:highlight w:val="none"/>
          <w14:textFill>
            <w14:solidFill>
              <w14:schemeClr w14:val="tx1"/>
            </w14:solidFill>
          </w14:textFill>
        </w:rPr>
      </w:pPr>
    </w:p>
    <w:p w14:paraId="6BD122B5">
      <w:pPr>
        <w:rPr>
          <w:rFonts w:ascii="仿宋" w:hAnsi="仿宋" w:eastAsia="仿宋"/>
          <w:color w:val="000000" w:themeColor="text1"/>
          <w:highlight w:val="none"/>
          <w14:textFill>
            <w14:solidFill>
              <w14:schemeClr w14:val="tx1"/>
            </w14:solidFill>
          </w14:textFill>
        </w:rPr>
      </w:pPr>
    </w:p>
    <w:p w14:paraId="4AEDBC2D">
      <w:pPr>
        <w:rPr>
          <w:rFonts w:ascii="仿宋" w:hAnsi="仿宋" w:eastAsia="仿宋"/>
          <w:color w:val="000000" w:themeColor="text1"/>
          <w:highlight w:val="none"/>
          <w14:textFill>
            <w14:solidFill>
              <w14:schemeClr w14:val="tx1"/>
            </w14:solidFill>
          </w14:textFill>
        </w:rPr>
      </w:pPr>
    </w:p>
    <w:p w14:paraId="15EED3C4">
      <w:pPr>
        <w:rPr>
          <w:rFonts w:ascii="仿宋" w:hAnsi="仿宋" w:eastAsia="仿宋"/>
          <w:color w:val="000000" w:themeColor="text1"/>
          <w:highlight w:val="none"/>
          <w14:textFill>
            <w14:solidFill>
              <w14:schemeClr w14:val="tx1"/>
            </w14:solidFill>
          </w14:textFill>
        </w:rPr>
      </w:pPr>
    </w:p>
    <w:p w14:paraId="5AACA8FB">
      <w:pPr>
        <w:rPr>
          <w:rFonts w:ascii="仿宋" w:hAnsi="仿宋" w:eastAsia="仿宋"/>
          <w:color w:val="000000" w:themeColor="text1"/>
          <w:highlight w:val="none"/>
          <w14:textFill>
            <w14:solidFill>
              <w14:schemeClr w14:val="tx1"/>
            </w14:solidFill>
          </w14:textFill>
        </w:rPr>
      </w:pPr>
    </w:p>
    <w:p w14:paraId="7FB11A81">
      <w:pPr>
        <w:rPr>
          <w:rFonts w:ascii="仿宋" w:hAnsi="仿宋" w:eastAsia="仿宋"/>
          <w:color w:val="000000" w:themeColor="text1"/>
          <w:highlight w:val="none"/>
          <w14:textFill>
            <w14:solidFill>
              <w14:schemeClr w14:val="tx1"/>
            </w14:solidFill>
          </w14:textFill>
        </w:rPr>
      </w:pPr>
    </w:p>
    <w:p w14:paraId="380DC9F3">
      <w:pPr>
        <w:rPr>
          <w:rFonts w:ascii="仿宋" w:hAnsi="仿宋" w:eastAsia="仿宋"/>
          <w:color w:val="000000" w:themeColor="text1"/>
          <w:highlight w:val="none"/>
          <w14:textFill>
            <w14:solidFill>
              <w14:schemeClr w14:val="tx1"/>
            </w14:solidFill>
          </w14:textFill>
        </w:rPr>
      </w:pPr>
    </w:p>
    <w:p w14:paraId="3113AE12">
      <w:pPr>
        <w:rPr>
          <w:rFonts w:ascii="仿宋" w:hAnsi="仿宋" w:eastAsia="仿宋"/>
          <w:color w:val="000000" w:themeColor="text1"/>
          <w:highlight w:val="none"/>
          <w14:textFill>
            <w14:solidFill>
              <w14:schemeClr w14:val="tx1"/>
            </w14:solidFill>
          </w14:textFill>
        </w:rPr>
      </w:pPr>
    </w:p>
    <w:p w14:paraId="1B6D2581">
      <w:pPr>
        <w:rPr>
          <w:rFonts w:ascii="仿宋" w:hAnsi="仿宋" w:eastAsia="仿宋"/>
          <w:color w:val="000000" w:themeColor="text1"/>
          <w:highlight w:val="none"/>
          <w14:textFill>
            <w14:solidFill>
              <w14:schemeClr w14:val="tx1"/>
            </w14:solidFill>
          </w14:textFill>
        </w:rPr>
      </w:pPr>
    </w:p>
    <w:p w14:paraId="0D2D3899">
      <w:pPr>
        <w:rPr>
          <w:rFonts w:ascii="仿宋" w:hAnsi="仿宋" w:eastAsia="仿宋"/>
          <w:color w:val="000000" w:themeColor="text1"/>
          <w:highlight w:val="none"/>
          <w14:textFill>
            <w14:solidFill>
              <w14:schemeClr w14:val="tx1"/>
            </w14:solidFill>
          </w14:textFill>
        </w:rPr>
      </w:pPr>
    </w:p>
    <w:p w14:paraId="46728547">
      <w:pPr>
        <w:rPr>
          <w:rFonts w:ascii="仿宋" w:hAnsi="仿宋" w:eastAsia="仿宋"/>
          <w:color w:val="000000" w:themeColor="text1"/>
          <w:highlight w:val="none"/>
          <w14:textFill>
            <w14:solidFill>
              <w14:schemeClr w14:val="tx1"/>
            </w14:solidFill>
          </w14:textFill>
        </w:rPr>
      </w:pPr>
    </w:p>
    <w:p w14:paraId="7C95D89D">
      <w:pPr>
        <w:rPr>
          <w:rFonts w:ascii="仿宋" w:hAnsi="仿宋" w:eastAsia="仿宋"/>
          <w:color w:val="000000" w:themeColor="text1"/>
          <w:highlight w:val="none"/>
          <w14:textFill>
            <w14:solidFill>
              <w14:schemeClr w14:val="tx1"/>
            </w14:solidFill>
          </w14:textFill>
        </w:rPr>
      </w:pPr>
    </w:p>
    <w:p w14:paraId="5387012D">
      <w:pPr>
        <w:rPr>
          <w:rFonts w:ascii="仿宋" w:hAnsi="仿宋" w:eastAsia="仿宋"/>
          <w:color w:val="000000" w:themeColor="text1"/>
          <w:highlight w:val="none"/>
          <w14:textFill>
            <w14:solidFill>
              <w14:schemeClr w14:val="tx1"/>
            </w14:solidFill>
          </w14:textFill>
        </w:rPr>
      </w:pPr>
    </w:p>
    <w:p w14:paraId="428758BA">
      <w:pPr>
        <w:rPr>
          <w:rFonts w:ascii="仿宋" w:hAnsi="仿宋" w:eastAsia="仿宋"/>
          <w:color w:val="000000" w:themeColor="text1"/>
          <w:highlight w:val="none"/>
          <w14:textFill>
            <w14:solidFill>
              <w14:schemeClr w14:val="tx1"/>
            </w14:solidFill>
          </w14:textFill>
        </w:rPr>
      </w:pPr>
    </w:p>
    <w:p w14:paraId="7ECB4D57">
      <w:pPr>
        <w:rPr>
          <w:rFonts w:ascii="仿宋" w:hAnsi="仿宋" w:eastAsia="仿宋"/>
          <w:color w:val="000000" w:themeColor="text1"/>
          <w:highlight w:val="none"/>
          <w14:textFill>
            <w14:solidFill>
              <w14:schemeClr w14:val="tx1"/>
            </w14:solidFill>
          </w14:textFill>
        </w:rPr>
      </w:pPr>
    </w:p>
    <w:p w14:paraId="7B76588D">
      <w:pPr>
        <w:rPr>
          <w:rFonts w:ascii="仿宋" w:hAnsi="仿宋" w:eastAsia="仿宋"/>
          <w:color w:val="000000" w:themeColor="text1"/>
          <w:highlight w:val="none"/>
          <w14:textFill>
            <w14:solidFill>
              <w14:schemeClr w14:val="tx1"/>
            </w14:solidFill>
          </w14:textFill>
        </w:rPr>
      </w:pPr>
    </w:p>
    <w:p w14:paraId="51CE5F15">
      <w:pPr>
        <w:rPr>
          <w:rFonts w:ascii="仿宋" w:hAnsi="仿宋" w:eastAsia="仿宋"/>
          <w:color w:val="000000" w:themeColor="text1"/>
          <w:highlight w:val="none"/>
          <w14:textFill>
            <w14:solidFill>
              <w14:schemeClr w14:val="tx1"/>
            </w14:solidFill>
          </w14:textFill>
        </w:rPr>
      </w:pPr>
    </w:p>
    <w:p w14:paraId="1ACC1316">
      <w:pPr>
        <w:rPr>
          <w:rFonts w:ascii="仿宋" w:hAnsi="仿宋" w:eastAsia="仿宋"/>
          <w:color w:val="000000" w:themeColor="text1"/>
          <w:highlight w:val="none"/>
          <w14:textFill>
            <w14:solidFill>
              <w14:schemeClr w14:val="tx1"/>
            </w14:solidFill>
          </w14:textFill>
        </w:rPr>
      </w:pPr>
    </w:p>
    <w:p w14:paraId="180E0811">
      <w:pPr>
        <w:rPr>
          <w:rFonts w:ascii="仿宋" w:hAnsi="仿宋" w:eastAsia="仿宋"/>
          <w:color w:val="000000" w:themeColor="text1"/>
          <w:highlight w:val="none"/>
          <w14:textFill>
            <w14:solidFill>
              <w14:schemeClr w14:val="tx1"/>
            </w14:solidFill>
          </w14:textFill>
        </w:rPr>
      </w:pPr>
    </w:p>
    <w:p w14:paraId="774708EB">
      <w:pPr>
        <w:rPr>
          <w:rFonts w:ascii="仿宋" w:hAnsi="仿宋" w:eastAsia="仿宋"/>
          <w:color w:val="000000" w:themeColor="text1"/>
          <w:highlight w:val="none"/>
          <w14:textFill>
            <w14:solidFill>
              <w14:schemeClr w14:val="tx1"/>
            </w14:solidFill>
          </w14:textFill>
        </w:rPr>
      </w:pPr>
    </w:p>
    <w:p w14:paraId="7B6B2464">
      <w:pPr>
        <w:rPr>
          <w:rFonts w:ascii="仿宋" w:hAnsi="仿宋" w:eastAsia="仿宋"/>
          <w:color w:val="000000" w:themeColor="text1"/>
          <w:highlight w:val="none"/>
          <w14:textFill>
            <w14:solidFill>
              <w14:schemeClr w14:val="tx1"/>
            </w14:solidFill>
          </w14:textFill>
        </w:rPr>
      </w:pPr>
    </w:p>
    <w:p w14:paraId="798A7F1A">
      <w:pPr>
        <w:rPr>
          <w:rFonts w:ascii="仿宋" w:hAnsi="仿宋" w:eastAsia="仿宋"/>
          <w:color w:val="000000" w:themeColor="text1"/>
          <w:highlight w:val="none"/>
          <w14:textFill>
            <w14:solidFill>
              <w14:schemeClr w14:val="tx1"/>
            </w14:solidFill>
          </w14:textFill>
        </w:rPr>
      </w:pPr>
    </w:p>
    <w:p w14:paraId="0A04350F">
      <w:pPr>
        <w:rPr>
          <w:rFonts w:ascii="仿宋" w:hAnsi="仿宋" w:eastAsia="仿宋"/>
          <w:color w:val="000000" w:themeColor="text1"/>
          <w:highlight w:val="none"/>
          <w14:textFill>
            <w14:solidFill>
              <w14:schemeClr w14:val="tx1"/>
            </w14:solidFill>
          </w14:textFill>
        </w:rPr>
      </w:pPr>
    </w:p>
    <w:p w14:paraId="7679851D">
      <w:pPr>
        <w:rPr>
          <w:rFonts w:ascii="仿宋" w:hAnsi="仿宋" w:eastAsia="仿宋"/>
          <w:color w:val="000000" w:themeColor="text1"/>
          <w:highlight w:val="none"/>
          <w14:textFill>
            <w14:solidFill>
              <w14:schemeClr w14:val="tx1"/>
            </w14:solidFill>
          </w14:textFill>
        </w:rPr>
      </w:pPr>
    </w:p>
    <w:p w14:paraId="3D586286">
      <w:pPr>
        <w:rPr>
          <w:rFonts w:ascii="仿宋" w:hAnsi="仿宋" w:eastAsia="仿宋"/>
          <w:color w:val="000000" w:themeColor="text1"/>
          <w:highlight w:val="none"/>
          <w14:textFill>
            <w14:solidFill>
              <w14:schemeClr w14:val="tx1"/>
            </w14:solidFill>
          </w14:textFill>
        </w:rPr>
      </w:pPr>
    </w:p>
    <w:p w14:paraId="5EE5B643">
      <w:pPr>
        <w:rPr>
          <w:rFonts w:ascii="仿宋" w:hAnsi="仿宋" w:eastAsia="仿宋"/>
          <w:color w:val="000000" w:themeColor="text1"/>
          <w:highlight w:val="none"/>
          <w14:textFill>
            <w14:solidFill>
              <w14:schemeClr w14:val="tx1"/>
            </w14:solidFill>
          </w14:textFill>
        </w:rPr>
      </w:pPr>
    </w:p>
    <w:p w14:paraId="5757EE5B">
      <w:pPr>
        <w:rPr>
          <w:rFonts w:ascii="仿宋" w:hAnsi="仿宋" w:eastAsia="仿宋"/>
          <w:color w:val="000000" w:themeColor="text1"/>
          <w:highlight w:val="none"/>
          <w14:textFill>
            <w14:solidFill>
              <w14:schemeClr w14:val="tx1"/>
            </w14:solidFill>
          </w14:textFill>
        </w:rPr>
      </w:pPr>
    </w:p>
    <w:p w14:paraId="73C9027B">
      <w:pPr>
        <w:rPr>
          <w:rFonts w:ascii="仿宋" w:hAnsi="仿宋" w:eastAsia="仿宋"/>
          <w:color w:val="000000" w:themeColor="text1"/>
          <w:highlight w:val="none"/>
          <w14:textFill>
            <w14:solidFill>
              <w14:schemeClr w14:val="tx1"/>
            </w14:solidFill>
          </w14:textFill>
        </w:rPr>
      </w:pPr>
    </w:p>
    <w:p w14:paraId="267B3A7D">
      <w:pPr>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p>
    <w:p w14:paraId="110AC815">
      <w:pPr>
        <w:pStyle w:val="4"/>
        <w:keepNext w:val="0"/>
        <w:keepLines w:val="0"/>
        <w:spacing w:before="0" w:after="0" w:line="360" w:lineRule="auto"/>
        <w:jc w:val="center"/>
        <w:rPr>
          <w:rFonts w:hint="eastAsia" w:ascii="仿宋" w:hAnsi="仿宋" w:eastAsia="仿宋"/>
          <w:color w:val="000000" w:themeColor="text1"/>
          <w:highlight w:val="none"/>
          <w:lang w:val="en-US" w:eastAsia="zh-CN"/>
          <w14:textFill>
            <w14:solidFill>
              <w14:schemeClr w14:val="tx1"/>
            </w14:solidFill>
          </w14:textFill>
        </w:rPr>
      </w:pPr>
      <w:bookmarkStart w:id="34" w:name="_Toc30763"/>
      <w:bookmarkStart w:id="35" w:name="_Toc7639"/>
      <w:bookmarkStart w:id="36" w:name="_Toc13334"/>
      <w:bookmarkStart w:id="37" w:name="_Toc24160"/>
      <w:bookmarkStart w:id="38" w:name="_Toc16168"/>
      <w:bookmarkStart w:id="39" w:name="_Toc24634"/>
      <w:bookmarkStart w:id="40" w:name="_Toc11121"/>
      <w:bookmarkStart w:id="41" w:name="_Toc14884"/>
      <w:bookmarkStart w:id="42" w:name="_Toc22994"/>
      <w:bookmarkStart w:id="43" w:name="_Toc23129"/>
      <w:bookmarkStart w:id="44" w:name="_Toc16957"/>
      <w:bookmarkStart w:id="45" w:name="_Toc15400"/>
      <w:bookmarkStart w:id="46" w:name="_Toc7736"/>
      <w:bookmarkStart w:id="47" w:name="_Toc2205"/>
      <w:bookmarkStart w:id="48" w:name="_Toc9018"/>
      <w:r>
        <w:rPr>
          <w:rFonts w:hint="eastAsia" w:ascii="仿宋" w:hAnsi="仿宋" w:eastAsia="仿宋" w:cs="仿宋"/>
          <w:b/>
          <w:i w:val="0"/>
          <w:strike w:val="0"/>
          <w:color w:val="000000" w:themeColor="text1"/>
          <w:spacing w:val="0"/>
          <w:sz w:val="28"/>
          <w:highlight w:val="none"/>
          <w:u w:val="none"/>
          <w:lang w:val="en-US" w:eastAsia="zh-CN"/>
          <w14:textFill>
            <w14:solidFill>
              <w14:schemeClr w14:val="tx1"/>
            </w14:solidFill>
          </w14:textFill>
        </w:rPr>
        <w:t>带</w:t>
      </w:r>
      <w:r>
        <w:rPr>
          <w:rFonts w:hint="eastAsia" w:ascii="仿宋" w:hAnsi="仿宋" w:eastAsia="仿宋" w:cs="仿宋"/>
          <w:b/>
          <w:i w:val="0"/>
          <w:strike w:val="0"/>
          <w:color w:val="000000" w:themeColor="text1"/>
          <w:spacing w:val="0"/>
          <w:sz w:val="28"/>
          <w:highlight w:val="none"/>
          <w:u w:val="none"/>
          <w:lang w:eastAsia="zh-CN"/>
          <w14:textFill>
            <w14:solidFill>
              <w14:schemeClr w14:val="tx1"/>
            </w14:solidFill>
          </w14:textFill>
        </w:rPr>
        <w:t>“</w:t>
      </w:r>
      <w:r>
        <w:rPr>
          <w:rFonts w:ascii="仿宋" w:hAnsi="仿宋" w:eastAsia="仿宋" w:cs="仿宋"/>
          <w:b/>
          <w:i w:val="0"/>
          <w:strike w:val="0"/>
          <w:color w:val="000000" w:themeColor="text1"/>
          <w:spacing w:val="0"/>
          <w:sz w:val="28"/>
          <w:highlight w:val="none"/>
          <w:u w:val="none"/>
          <w14:textFill>
            <w14:solidFill>
              <w14:schemeClr w14:val="tx1"/>
            </w14:solidFill>
          </w14:textFill>
        </w:rPr>
        <w:t>★</w:t>
      </w:r>
      <w:r>
        <w:rPr>
          <w:rFonts w:hint="eastAsia" w:ascii="仿宋" w:hAnsi="仿宋" w:eastAsia="仿宋" w:cs="仿宋"/>
          <w:b/>
          <w:i w:val="0"/>
          <w:strike w:val="0"/>
          <w:color w:val="000000" w:themeColor="text1"/>
          <w:spacing w:val="0"/>
          <w:sz w:val="28"/>
          <w:highlight w:val="none"/>
          <w:u w:val="none"/>
          <w:lang w:eastAsia="zh-CN"/>
          <w14:textFill>
            <w14:solidFill>
              <w14:schemeClr w14:val="tx1"/>
            </w14:solidFill>
          </w14:textFill>
        </w:rPr>
        <w:t>”</w:t>
      </w:r>
      <w:r>
        <w:rPr>
          <w:rFonts w:hint="eastAsia" w:ascii="仿宋" w:hAnsi="仿宋" w:eastAsia="仿宋" w:cs="仿宋"/>
          <w:b/>
          <w:i w:val="0"/>
          <w:strike w:val="0"/>
          <w:color w:val="000000" w:themeColor="text1"/>
          <w:spacing w:val="0"/>
          <w:sz w:val="28"/>
          <w:highlight w:val="none"/>
          <w:u w:val="none"/>
          <w:lang w:val="en-US" w:eastAsia="zh-CN"/>
          <w14:textFill>
            <w14:solidFill>
              <w14:schemeClr w14:val="tx1"/>
            </w14:solidFill>
          </w14:textFill>
        </w:rPr>
        <w:t>号</w:t>
      </w:r>
      <w:r>
        <w:rPr>
          <w:rFonts w:hint="eastAsia" w:ascii="仿宋" w:hAnsi="仿宋" w:eastAsia="仿宋"/>
          <w:color w:val="000000" w:themeColor="text1"/>
          <w:highlight w:val="none"/>
          <w:lang w:val="en-US" w:eastAsia="zh-CN"/>
          <w14:textFill>
            <w14:solidFill>
              <w14:schemeClr w14:val="tx1"/>
            </w14:solidFill>
          </w14:textFill>
        </w:rPr>
        <w:t>条款汇总表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Style w:val="21"/>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14:paraId="58E9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9770" w:type="dxa"/>
          </w:tcPr>
          <w:p w14:paraId="44E0ABC3">
            <w:pPr>
              <w:widowControl/>
              <w:snapToGrid/>
              <w:spacing w:before="0" w:after="0" w:line="500" w:lineRule="exact"/>
              <w:ind w:right="0" w:firstLine="0" w:firstLineChars="0"/>
              <w:jc w:val="left"/>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pPr>
          </w:p>
          <w:p w14:paraId="4BB8556E">
            <w:pPr>
              <w:widowControl/>
              <w:numPr>
                <w:ilvl w:val="-1"/>
                <w:numId w:val="0"/>
              </w:numPr>
              <w:spacing w:line="500" w:lineRule="exact"/>
              <w:ind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投标保证金金额：人民币20000元整</w:t>
            </w:r>
          </w:p>
          <w:p w14:paraId="113D9130">
            <w:pPr>
              <w:widowControl/>
              <w:spacing w:line="500" w:lineRule="exact"/>
              <w:ind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招标预算价（即最高控制价）为：</w:t>
            </w:r>
            <w:r>
              <w:rPr>
                <w:rFonts w:hint="eastAsia" w:ascii="仿宋" w:hAnsi="仿宋" w:eastAsia="仿宋" w:cs="仿宋"/>
                <w:color w:val="000000" w:themeColor="text1"/>
                <w:sz w:val="28"/>
                <w:szCs w:val="28"/>
                <w:highlight w:val="none"/>
                <w:lang w:val="en-US" w:eastAsia="zh-CN"/>
                <w14:textFill>
                  <w14:solidFill>
                    <w14:schemeClr w14:val="tx1"/>
                  </w14:solidFill>
                </w14:textFill>
              </w:rPr>
              <w:t>1266000</w:t>
            </w:r>
            <w:r>
              <w:rPr>
                <w:rFonts w:hint="eastAsia" w:ascii="仿宋" w:hAnsi="仿宋" w:eastAsia="仿宋" w:cs="仿宋"/>
                <w:color w:val="000000" w:themeColor="text1"/>
                <w:sz w:val="28"/>
                <w:szCs w:val="28"/>
                <w:highlight w:val="none"/>
                <w14:textFill>
                  <w14:solidFill>
                    <w14:schemeClr w14:val="tx1"/>
                  </w14:solidFill>
                </w14:textFill>
              </w:rPr>
              <w:t>元</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含税）</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color w:val="000000" w:themeColor="text1"/>
                <w:sz w:val="28"/>
                <w:szCs w:val="28"/>
                <w:highlight w:val="none"/>
                <w14:textFill>
                  <w14:solidFill>
                    <w14:schemeClr w14:val="tx1"/>
                  </w14:solidFill>
                </w14:textFill>
              </w:rPr>
              <w:t>投标人投标报价超过预算价的投标为无效投标</w:t>
            </w:r>
            <w:r>
              <w:rPr>
                <w:rFonts w:hint="eastAsia" w:ascii="仿宋" w:hAnsi="仿宋" w:eastAsia="仿宋" w:cs="仿宋"/>
                <w:color w:val="000000" w:themeColor="text1"/>
                <w:sz w:val="28"/>
                <w:szCs w:val="28"/>
                <w:highlight w:val="none"/>
                <w14:textFill>
                  <w14:solidFill>
                    <w14:schemeClr w14:val="tx1"/>
                  </w14:solidFill>
                </w14:textFill>
              </w:rPr>
              <w:t>。</w:t>
            </w:r>
          </w:p>
          <w:p w14:paraId="657A896E">
            <w:pPr>
              <w:widowControl/>
              <w:adjustRightInd/>
              <w:snapToGrid/>
              <w:spacing w:before="0" w:beforeLines="-2147483648" w:after="0" w:afterLines="-2147483648" w:line="500" w:lineRule="exact"/>
              <w:ind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w:t>
            </w:r>
            <w:bookmarkStart w:id="49" w:name="OLE_LINK23"/>
            <w:r>
              <w:rPr>
                <w:rFonts w:hint="eastAsia" w:ascii="仿宋" w:hAnsi="仿宋" w:eastAsia="仿宋" w:cs="仿宋"/>
                <w:color w:val="000000" w:themeColor="text1"/>
                <w:sz w:val="28"/>
                <w:szCs w:val="28"/>
                <w:highlight w:val="none"/>
                <w14:textFill>
                  <w14:solidFill>
                    <w14:schemeClr w14:val="tx1"/>
                  </w14:solidFill>
                </w14:textFill>
              </w:rPr>
              <w:t>投标人应具备独立的法人资格，营业执照注册资金应不低于300万人民币，并提供营业执照复印件(加盖投标人公章)。</w:t>
            </w:r>
            <w:bookmarkEnd w:id="49"/>
          </w:p>
          <w:p w14:paraId="3CE483CE">
            <w:pPr>
              <w:widowControl/>
              <w:adjustRightInd/>
              <w:snapToGrid/>
              <w:spacing w:before="0" w:beforeLines="-2147483648" w:after="0" w:afterLines="-2147483648" w:line="500" w:lineRule="exact"/>
              <w:ind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投标人授权代表若不是企业法定代表人，应提供法人授权书原件，并提供被授权代表身份证复印件。</w:t>
            </w:r>
          </w:p>
          <w:p w14:paraId="77A585F4">
            <w:pPr>
              <w:widowControl/>
              <w:adjustRightInd/>
              <w:snapToGrid/>
              <w:spacing w:before="0" w:beforeLines="-2147483648" w:after="0" w:afterLines="-2147483648" w:line="500" w:lineRule="exact"/>
              <w:ind w:firstLine="0" w:firstLineChars="0"/>
              <w:rPr>
                <w:rFonts w:hint="eastAsia" w:ascii="仿宋" w:hAnsi="仿宋" w:eastAsia="仿宋" w:cs="仿宋"/>
                <w:color w:val="000000" w:themeColor="text1"/>
                <w:sz w:val="28"/>
                <w:szCs w:val="28"/>
                <w:highlight w:val="none"/>
                <w14:textFill>
                  <w14:solidFill>
                    <w14:schemeClr w14:val="tx1"/>
                  </w14:solidFill>
                </w14:textFill>
              </w:rPr>
            </w:pPr>
            <w:bookmarkStart w:id="50" w:name="OLE_LINK24"/>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投标人必须提供自2021年6月1日起至今不少于3个同等级或以上的住宅项目秩序服务类项目的经营业绩经验的有效证明文件（需提供合同或验收报告的复印件，原件备查）。</w:t>
            </w:r>
          </w:p>
          <w:p w14:paraId="45D28AD6">
            <w:pPr>
              <w:widowControl/>
              <w:spacing w:line="500" w:lineRule="exact"/>
              <w:ind w:firstLine="0" w:firstLineChars="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投标人应根据本项目的特点，承诺其工作计划将根据招标人的实际需要进行完善和补充，在工作内容不改变的情况下不得追加任何费用，投标人在投标文件中应做出书面承诺。</w:t>
            </w:r>
            <w:bookmarkEnd w:id="50"/>
          </w:p>
        </w:tc>
      </w:tr>
    </w:tbl>
    <w:p w14:paraId="743242F4">
      <w:pPr>
        <w:rPr>
          <w:rFonts w:ascii="仿宋" w:hAnsi="仿宋" w:eastAsia="仿宋"/>
          <w:color w:val="000000" w:themeColor="text1"/>
          <w:sz w:val="32"/>
          <w:highlight w:val="none"/>
          <w14:textFill>
            <w14:solidFill>
              <w14:schemeClr w14:val="tx1"/>
            </w14:solidFill>
          </w14:textFill>
        </w:rPr>
      </w:pPr>
    </w:p>
    <w:p w14:paraId="26F77B7A">
      <w:pPr>
        <w:rPr>
          <w:rFonts w:ascii="仿宋" w:hAnsi="仿宋" w:eastAsia="仿宋"/>
          <w:color w:val="000000" w:themeColor="text1"/>
          <w:sz w:val="32"/>
          <w:highlight w:val="none"/>
          <w14:textFill>
            <w14:solidFill>
              <w14:schemeClr w14:val="tx1"/>
            </w14:solidFill>
          </w14:textFill>
        </w:rPr>
      </w:pPr>
    </w:p>
    <w:p w14:paraId="6673410E">
      <w:pPr>
        <w:rPr>
          <w:rFonts w:ascii="仿宋" w:hAnsi="仿宋" w:eastAsia="仿宋"/>
          <w:color w:val="000000" w:themeColor="text1"/>
          <w:sz w:val="32"/>
          <w:highlight w:val="none"/>
          <w14:textFill>
            <w14:solidFill>
              <w14:schemeClr w14:val="tx1"/>
            </w14:solidFill>
          </w14:textFill>
        </w:rPr>
      </w:pPr>
    </w:p>
    <w:p w14:paraId="3E6A10D1">
      <w:pPr>
        <w:rPr>
          <w:rFonts w:ascii="仿宋" w:hAnsi="仿宋" w:eastAsia="仿宋"/>
          <w:color w:val="000000" w:themeColor="text1"/>
          <w:sz w:val="32"/>
          <w:highlight w:val="none"/>
          <w14:textFill>
            <w14:solidFill>
              <w14:schemeClr w14:val="tx1"/>
            </w14:solidFill>
          </w14:textFill>
        </w:rPr>
      </w:pPr>
    </w:p>
    <w:p w14:paraId="34B3FC99">
      <w:pPr>
        <w:rPr>
          <w:rFonts w:ascii="仿宋" w:hAnsi="仿宋" w:eastAsia="仿宋"/>
          <w:color w:val="000000" w:themeColor="text1"/>
          <w:sz w:val="32"/>
          <w:highlight w:val="none"/>
          <w14:textFill>
            <w14:solidFill>
              <w14:schemeClr w14:val="tx1"/>
            </w14:solidFill>
          </w14:textFill>
        </w:rPr>
      </w:pPr>
    </w:p>
    <w:p w14:paraId="6505A946">
      <w:pPr>
        <w:rPr>
          <w:rFonts w:ascii="仿宋" w:hAnsi="仿宋" w:eastAsia="仿宋"/>
          <w:color w:val="000000" w:themeColor="text1"/>
          <w:sz w:val="32"/>
          <w:highlight w:val="none"/>
          <w14:textFill>
            <w14:solidFill>
              <w14:schemeClr w14:val="tx1"/>
            </w14:solidFill>
          </w14:textFill>
        </w:rPr>
      </w:pPr>
    </w:p>
    <w:p w14:paraId="46ED3C78">
      <w:pPr>
        <w:rPr>
          <w:rFonts w:ascii="仿宋" w:hAnsi="仿宋" w:eastAsia="仿宋"/>
          <w:color w:val="000000" w:themeColor="text1"/>
          <w:sz w:val="32"/>
          <w:highlight w:val="none"/>
          <w14:textFill>
            <w14:solidFill>
              <w14:schemeClr w14:val="tx1"/>
            </w14:solidFill>
          </w14:textFill>
        </w:rPr>
      </w:pPr>
    </w:p>
    <w:p w14:paraId="7B5658A7">
      <w:pPr>
        <w:rPr>
          <w:rFonts w:ascii="仿宋" w:hAnsi="仿宋" w:eastAsia="仿宋"/>
          <w:color w:val="000000" w:themeColor="text1"/>
          <w:sz w:val="32"/>
          <w:highlight w:val="none"/>
          <w14:textFill>
            <w14:solidFill>
              <w14:schemeClr w14:val="tx1"/>
            </w14:solidFill>
          </w14:textFill>
        </w:rPr>
      </w:pPr>
    </w:p>
    <w:p w14:paraId="194C4FAC">
      <w:pPr>
        <w:rPr>
          <w:rFonts w:ascii="仿宋" w:hAnsi="仿宋" w:eastAsia="仿宋"/>
          <w:color w:val="000000" w:themeColor="text1"/>
          <w:sz w:val="32"/>
          <w:highlight w:val="none"/>
          <w14:textFill>
            <w14:solidFill>
              <w14:schemeClr w14:val="tx1"/>
            </w14:solidFill>
          </w14:textFill>
        </w:rPr>
      </w:pPr>
    </w:p>
    <w:p w14:paraId="3B000DF4">
      <w:pPr>
        <w:rPr>
          <w:rFonts w:ascii="仿宋" w:hAnsi="仿宋" w:eastAsia="仿宋"/>
          <w:color w:val="000000" w:themeColor="text1"/>
          <w:sz w:val="32"/>
          <w:highlight w:val="none"/>
          <w14:textFill>
            <w14:solidFill>
              <w14:schemeClr w14:val="tx1"/>
            </w14:solidFill>
          </w14:textFill>
        </w:rPr>
      </w:pPr>
    </w:p>
    <w:p w14:paraId="04F4D52A">
      <w:pPr>
        <w:rPr>
          <w:rFonts w:ascii="仿宋" w:hAnsi="仿宋" w:eastAsia="仿宋"/>
          <w:color w:val="000000" w:themeColor="text1"/>
          <w:sz w:val="32"/>
          <w:highlight w:val="none"/>
          <w14:textFill>
            <w14:solidFill>
              <w14:schemeClr w14:val="tx1"/>
            </w14:solidFill>
          </w14:textFill>
        </w:rPr>
      </w:pPr>
    </w:p>
    <w:p w14:paraId="7D76886A">
      <w:pPr>
        <w:rPr>
          <w:rFonts w:ascii="仿宋" w:hAnsi="仿宋" w:eastAsia="仿宋"/>
          <w:color w:val="000000" w:themeColor="text1"/>
          <w:sz w:val="32"/>
          <w:highlight w:val="none"/>
          <w14:textFill>
            <w14:solidFill>
              <w14:schemeClr w14:val="tx1"/>
            </w14:solidFill>
          </w14:textFill>
        </w:rPr>
      </w:pPr>
    </w:p>
    <w:p w14:paraId="02998687">
      <w:pPr>
        <w:rPr>
          <w:rFonts w:ascii="仿宋" w:hAnsi="仿宋" w:eastAsia="仿宋"/>
          <w:color w:val="000000" w:themeColor="text1"/>
          <w:sz w:val="32"/>
          <w:highlight w:val="none"/>
          <w14:textFill>
            <w14:solidFill>
              <w14:schemeClr w14:val="tx1"/>
            </w14:solidFill>
          </w14:textFill>
        </w:rPr>
      </w:pPr>
    </w:p>
    <w:p w14:paraId="515869C4">
      <w:pPr>
        <w:pStyle w:val="2"/>
        <w:rPr>
          <w:color w:val="000000" w:themeColor="text1"/>
          <w14:textFill>
            <w14:solidFill>
              <w14:schemeClr w14:val="tx1"/>
            </w14:solidFill>
          </w14:textFill>
        </w:rPr>
      </w:pPr>
    </w:p>
    <w:p w14:paraId="585DE72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F1B7C64">
      <w:pPr>
        <w:pStyle w:val="4"/>
        <w:keepNext w:val="0"/>
        <w:keepLines w:val="0"/>
        <w:spacing w:before="0" w:after="0" w:line="500" w:lineRule="exact"/>
        <w:jc w:val="center"/>
        <w:rPr>
          <w:rFonts w:hint="eastAsia" w:ascii="仿宋" w:hAnsi="仿宋" w:eastAsia="仿宋"/>
          <w:color w:val="000000" w:themeColor="text1"/>
          <w:sz w:val="32"/>
          <w:highlight w:val="none"/>
          <w14:textFill>
            <w14:solidFill>
              <w14:schemeClr w14:val="tx1"/>
            </w14:solidFill>
          </w14:textFill>
        </w:rPr>
      </w:pPr>
      <w:bookmarkStart w:id="51" w:name="_Toc25519"/>
      <w:bookmarkStart w:id="52" w:name="_Toc14966"/>
      <w:bookmarkStart w:id="53" w:name="_Toc3046"/>
      <w:bookmarkStart w:id="54" w:name="_Toc15984"/>
      <w:bookmarkStart w:id="55" w:name="_Toc16765"/>
      <w:bookmarkStart w:id="56" w:name="_Toc26286"/>
      <w:r>
        <w:rPr>
          <w:rFonts w:hint="eastAsia" w:ascii="仿宋" w:hAnsi="仿宋" w:eastAsia="仿宋"/>
          <w:color w:val="000000" w:themeColor="text1"/>
          <w:sz w:val="32"/>
          <w:highlight w:val="none"/>
          <w14:textFill>
            <w14:solidFill>
              <w14:schemeClr w14:val="tx1"/>
            </w14:solidFill>
          </w14:textFill>
        </w:rPr>
        <w:t>第一节  说  明</w:t>
      </w:r>
      <w:bookmarkEnd w:id="51"/>
      <w:bookmarkEnd w:id="52"/>
      <w:bookmarkEnd w:id="53"/>
      <w:bookmarkEnd w:id="54"/>
      <w:bookmarkEnd w:id="55"/>
      <w:bookmarkEnd w:id="56"/>
    </w:p>
    <w:p w14:paraId="7974883A">
      <w:pPr>
        <w:rPr>
          <w:color w:val="000000" w:themeColor="text1"/>
          <w14:textFill>
            <w14:solidFill>
              <w14:schemeClr w14:val="tx1"/>
            </w14:solidFill>
          </w14:textFill>
        </w:rPr>
      </w:pPr>
    </w:p>
    <w:p w14:paraId="7DEF4AE8">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57" w:name="_Toc191892300"/>
      <w:bookmarkStart w:id="58" w:name="_Toc192925648"/>
      <w:bookmarkStart w:id="59" w:name="_Toc24865"/>
      <w:bookmarkStart w:id="60" w:name="_Toc16172"/>
      <w:bookmarkStart w:id="61" w:name="_Toc21965"/>
      <w:bookmarkStart w:id="62" w:name="_Toc30526"/>
      <w:bookmarkStart w:id="63" w:name="_Toc849"/>
      <w:bookmarkStart w:id="64" w:name="_Toc27807"/>
      <w:r>
        <w:rPr>
          <w:rFonts w:ascii="仿宋" w:hAnsi="仿宋" w:eastAsia="仿宋"/>
          <w:color w:val="000000" w:themeColor="text1"/>
          <w:sz w:val="32"/>
          <w:highlight w:val="none"/>
          <w14:textFill>
            <w14:solidFill>
              <w14:schemeClr w14:val="tx1"/>
            </w14:solidFill>
          </w14:textFill>
        </w:rPr>
        <w:t xml:space="preserve">1. </w:t>
      </w:r>
      <w:r>
        <w:rPr>
          <w:rFonts w:hint="eastAsia" w:ascii="仿宋" w:hAnsi="仿宋" w:eastAsia="仿宋"/>
          <w:color w:val="000000" w:themeColor="text1"/>
          <w:sz w:val="32"/>
          <w:highlight w:val="none"/>
          <w14:textFill>
            <w14:solidFill>
              <w14:schemeClr w14:val="tx1"/>
            </w14:solidFill>
          </w14:textFill>
        </w:rPr>
        <w:t>适用范围</w:t>
      </w:r>
      <w:bookmarkEnd w:id="57"/>
      <w:bookmarkEnd w:id="58"/>
      <w:bookmarkEnd w:id="59"/>
      <w:bookmarkEnd w:id="60"/>
      <w:bookmarkEnd w:id="61"/>
      <w:bookmarkEnd w:id="62"/>
      <w:bookmarkEnd w:id="63"/>
      <w:bookmarkEnd w:id="64"/>
    </w:p>
    <w:p w14:paraId="020B5A5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本招标文件仅适用于</w:t>
      </w:r>
      <w:r>
        <w:rPr>
          <w:rFonts w:hint="eastAsia" w:ascii="仿宋" w:hAnsi="仿宋" w:eastAsia="仿宋" w:cs="Times New Roman"/>
          <w:color w:val="000000" w:themeColor="text1"/>
          <w:sz w:val="32"/>
          <w:szCs w:val="32"/>
          <w:highlight w:val="none"/>
          <w:u w:val="single"/>
          <w14:textFill>
            <w14:solidFill>
              <w14:schemeClr w14:val="tx1"/>
            </w14:solidFill>
          </w14:textFill>
        </w:rPr>
        <w:t xml:space="preserve">  </w:t>
      </w:r>
      <w:r>
        <w:rPr>
          <w:rFonts w:hint="eastAsia" w:ascii="仿宋" w:hAnsi="仿宋" w:eastAsia="仿宋" w:cs="Times New Roman"/>
          <w:b w:val="0"/>
          <w:bCs w:val="0"/>
          <w:color w:val="000000" w:themeColor="text1"/>
          <w:sz w:val="32"/>
          <w:szCs w:val="32"/>
          <w:highlight w:val="none"/>
          <w:u w:val="single"/>
          <w:lang w:val="en-US" w:eastAsia="zh-CN"/>
          <w14:textFill>
            <w14:solidFill>
              <w14:schemeClr w14:val="tx1"/>
            </w14:solidFill>
          </w14:textFill>
        </w:rPr>
        <w:t>北京</w:t>
      </w:r>
      <w:r>
        <w:rPr>
          <w:rFonts w:hint="eastAsia" w:ascii="仿宋" w:hAnsi="仿宋" w:eastAsia="仿宋" w:cs="Times New Roman"/>
          <w:b w:val="0"/>
          <w:bCs w:val="0"/>
          <w:color w:val="000000" w:themeColor="text1"/>
          <w:kern w:val="2"/>
          <w:sz w:val="32"/>
          <w:szCs w:val="32"/>
          <w:highlight w:val="none"/>
          <w:u w:val="single"/>
          <w:lang w:val="en-US" w:eastAsia="zh-CN" w:bidi="ar-SA"/>
          <w14:textFill>
            <w14:solidFill>
              <w14:schemeClr w14:val="tx1"/>
            </w14:solidFill>
          </w14:textFill>
        </w:rPr>
        <w:t>瑨上雅园项目维序服务</w:t>
      </w:r>
      <w:r>
        <w:rPr>
          <w:rFonts w:hint="eastAsia" w:ascii="仿宋" w:hAnsi="仿宋" w:eastAsia="仿宋" w:cs="Times New Roman"/>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w:t>
      </w:r>
    </w:p>
    <w:p w14:paraId="53C67187">
      <w:pPr>
        <w:pStyle w:val="5"/>
        <w:keepNext w:val="0"/>
        <w:keepLines w:val="0"/>
        <w:spacing w:before="0" w:after="0" w:line="500" w:lineRule="exact"/>
        <w:ind w:firstLine="643" w:firstLineChars="200"/>
        <w:rPr>
          <w:rFonts w:hint="eastAsia" w:ascii="仿宋" w:hAnsi="仿宋" w:eastAsia="仿宋"/>
          <w:color w:val="000000" w:themeColor="text1"/>
          <w:sz w:val="32"/>
          <w:highlight w:val="none"/>
          <w:lang w:val="en-US" w:eastAsia="zh-CN"/>
          <w14:textFill>
            <w14:solidFill>
              <w14:schemeClr w14:val="tx1"/>
            </w14:solidFill>
          </w14:textFill>
        </w:rPr>
      </w:pPr>
      <w:bookmarkStart w:id="65" w:name="_Toc191892301"/>
      <w:bookmarkStart w:id="66" w:name="_Toc27542"/>
      <w:bookmarkStart w:id="67" w:name="_Toc2896"/>
      <w:bookmarkStart w:id="68" w:name="_Toc17662"/>
      <w:bookmarkStart w:id="69" w:name="_Toc29598"/>
      <w:bookmarkStart w:id="70" w:name="_Toc192925649"/>
      <w:bookmarkStart w:id="71" w:name="_Toc3126"/>
      <w:bookmarkStart w:id="72" w:name="_Toc13223"/>
      <w:r>
        <w:rPr>
          <w:rFonts w:ascii="仿宋" w:hAnsi="仿宋" w:eastAsia="仿宋"/>
          <w:color w:val="000000" w:themeColor="text1"/>
          <w:sz w:val="32"/>
          <w:highlight w:val="none"/>
          <w14:textFill>
            <w14:solidFill>
              <w14:schemeClr w14:val="tx1"/>
            </w14:solidFill>
          </w14:textFill>
        </w:rPr>
        <w:t xml:space="preserve">2. </w:t>
      </w:r>
      <w:r>
        <w:rPr>
          <w:rFonts w:hint="eastAsia" w:ascii="仿宋" w:hAnsi="仿宋" w:eastAsia="仿宋"/>
          <w:color w:val="000000" w:themeColor="text1"/>
          <w:sz w:val="32"/>
          <w:highlight w:val="none"/>
          <w14:textFill>
            <w14:solidFill>
              <w14:schemeClr w14:val="tx1"/>
            </w14:solidFill>
          </w14:textFill>
        </w:rPr>
        <w:t>定义</w:t>
      </w:r>
      <w:bookmarkEnd w:id="65"/>
      <w:bookmarkEnd w:id="66"/>
      <w:bookmarkEnd w:id="67"/>
      <w:bookmarkEnd w:id="68"/>
      <w:bookmarkEnd w:id="69"/>
      <w:bookmarkEnd w:id="70"/>
      <w:bookmarkEnd w:id="71"/>
      <w:bookmarkEnd w:id="72"/>
      <w:r>
        <w:rPr>
          <w:rFonts w:hint="eastAsia" w:ascii="仿宋" w:hAnsi="仿宋" w:eastAsia="仿宋"/>
          <w:color w:val="000000" w:themeColor="text1"/>
          <w:sz w:val="32"/>
          <w:highlight w:val="none"/>
          <w:lang w:val="en-US" w:eastAsia="zh-CN"/>
          <w14:textFill>
            <w14:solidFill>
              <w14:schemeClr w14:val="tx1"/>
            </w14:solidFill>
          </w14:textFill>
        </w:rPr>
        <w:tab/>
      </w:r>
    </w:p>
    <w:p w14:paraId="07467512">
      <w:pPr>
        <w:spacing w:line="500" w:lineRule="exact"/>
        <w:ind w:firstLine="640" w:firstLineChars="200"/>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 xml:space="preserve"> “招标人”系指</w:t>
      </w:r>
      <w:r>
        <w:rPr>
          <w:rFonts w:hint="eastAsia" w:ascii="仿宋" w:hAnsi="仿宋" w:eastAsia="仿宋"/>
          <w:color w:val="000000" w:themeColor="text1"/>
          <w:sz w:val="32"/>
          <w:szCs w:val="32"/>
          <w:highlight w:val="none"/>
          <w:lang w:val="en-US" w:eastAsia="zh-CN"/>
          <w14:textFill>
            <w14:solidFill>
              <w14:schemeClr w14:val="tx1"/>
            </w14:solidFill>
          </w14:textFill>
        </w:rPr>
        <w:t>上海贸城物业服务有限公司</w:t>
      </w:r>
      <w:r>
        <w:rPr>
          <w:rFonts w:hint="eastAsia" w:ascii="仿宋" w:hAnsi="仿宋" w:eastAsia="仿宋"/>
          <w:color w:val="000000" w:themeColor="text1"/>
          <w:sz w:val="32"/>
          <w:szCs w:val="32"/>
          <w:highlight w:val="none"/>
          <w14:textFill>
            <w14:solidFill>
              <w14:schemeClr w14:val="tx1"/>
            </w14:solidFill>
          </w14:textFill>
        </w:rPr>
        <w:t>。</w:t>
      </w:r>
    </w:p>
    <w:p w14:paraId="6259237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2“投标人”系指获取了本招标文件，且已经提交或者准备提交本次投标文件的制造商或供货商。</w:t>
      </w:r>
    </w:p>
    <w:p w14:paraId="6CAF914A">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73" w:name="_Toc192925650"/>
      <w:bookmarkStart w:id="74" w:name="_Toc191892302"/>
      <w:bookmarkStart w:id="75" w:name="_Toc5886"/>
      <w:bookmarkStart w:id="76" w:name="_Toc27578"/>
      <w:bookmarkStart w:id="77" w:name="_Toc17113"/>
      <w:bookmarkStart w:id="78" w:name="_Toc26061"/>
      <w:bookmarkStart w:id="79" w:name="_Toc9283"/>
      <w:bookmarkStart w:id="80" w:name="_Toc5025"/>
      <w:r>
        <w:rPr>
          <w:rFonts w:ascii="仿宋" w:hAnsi="仿宋" w:eastAsia="仿宋"/>
          <w:color w:val="000000" w:themeColor="text1"/>
          <w:sz w:val="32"/>
          <w:highlight w:val="none"/>
          <w14:textFill>
            <w14:solidFill>
              <w14:schemeClr w14:val="tx1"/>
            </w14:solidFill>
          </w14:textFill>
        </w:rPr>
        <w:t xml:space="preserve">3. </w:t>
      </w:r>
      <w:r>
        <w:rPr>
          <w:rFonts w:hint="eastAsia" w:ascii="仿宋" w:hAnsi="仿宋" w:eastAsia="仿宋"/>
          <w:color w:val="000000" w:themeColor="text1"/>
          <w:sz w:val="32"/>
          <w:highlight w:val="none"/>
          <w14:textFill>
            <w14:solidFill>
              <w14:schemeClr w14:val="tx1"/>
            </w14:solidFill>
          </w14:textFill>
        </w:rPr>
        <w:t>合格的投标人</w:t>
      </w:r>
      <w:bookmarkEnd w:id="73"/>
      <w:bookmarkEnd w:id="74"/>
      <w:bookmarkEnd w:id="75"/>
      <w:bookmarkEnd w:id="76"/>
      <w:bookmarkEnd w:id="77"/>
      <w:bookmarkEnd w:id="78"/>
      <w:bookmarkEnd w:id="79"/>
      <w:bookmarkEnd w:id="80"/>
    </w:p>
    <w:p w14:paraId="6CAB812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3.1</w:t>
      </w:r>
      <w:r>
        <w:rPr>
          <w:rFonts w:hint="eastAsia" w:ascii="仿宋" w:hAnsi="仿宋" w:eastAsia="仿宋"/>
          <w:color w:val="000000" w:themeColor="text1"/>
          <w:sz w:val="32"/>
          <w:szCs w:val="32"/>
          <w:highlight w:val="none"/>
          <w14:textFill>
            <w14:solidFill>
              <w14:schemeClr w14:val="tx1"/>
            </w14:solidFill>
          </w14:textFill>
        </w:rPr>
        <w:t>凡有能力提供本招标文件所述货物及服务的，符合本招标文件规定资格要求（具体要求见 “投标资格要求与投标资格证明文件”），符合</w:t>
      </w:r>
      <w:bookmarkStart w:id="81" w:name="OLE_LINK2"/>
      <w:r>
        <w:rPr>
          <w:rFonts w:hint="eastAsia" w:ascii="仿宋" w:hAnsi="仿宋" w:eastAsia="仿宋"/>
          <w:color w:val="000000" w:themeColor="text1"/>
          <w:sz w:val="32"/>
          <w:szCs w:val="32"/>
          <w:highlight w:val="none"/>
          <w14:textFill>
            <w14:solidFill>
              <w14:schemeClr w14:val="tx1"/>
            </w14:solidFill>
          </w14:textFill>
        </w:rPr>
        <w:t>政府采购法</w:t>
      </w:r>
      <w:bookmarkEnd w:id="81"/>
      <w:r>
        <w:rPr>
          <w:rFonts w:hint="eastAsia" w:ascii="仿宋" w:hAnsi="仿宋" w:eastAsia="仿宋"/>
          <w:color w:val="000000" w:themeColor="text1"/>
          <w:sz w:val="32"/>
          <w:szCs w:val="32"/>
          <w:highlight w:val="none"/>
          <w14:textFill>
            <w14:solidFill>
              <w14:schemeClr w14:val="tx1"/>
            </w14:solidFill>
          </w14:textFill>
        </w:rPr>
        <w:t>第二十二条的规定的均可能成为合格的投标人。</w:t>
      </w:r>
    </w:p>
    <w:p w14:paraId="0401068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3.2</w:t>
      </w:r>
      <w:r>
        <w:rPr>
          <w:rFonts w:hint="eastAsia" w:ascii="仿宋" w:hAnsi="仿宋" w:eastAsia="仿宋"/>
          <w:color w:val="000000" w:themeColor="text1"/>
          <w:sz w:val="32"/>
          <w:szCs w:val="32"/>
          <w:highlight w:val="none"/>
          <w14:textFill>
            <w14:solidFill>
              <w14:schemeClr w14:val="tx1"/>
            </w14:solidFill>
          </w14:textFill>
        </w:rPr>
        <w:t xml:space="preserve"> 投标人应遵守中国的有关法律、法规和规章的规定</w:t>
      </w:r>
      <w:r>
        <w:rPr>
          <w:rFonts w:hint="eastAsia" w:ascii="仿宋" w:hAnsi="仿宋" w:eastAsia="仿宋"/>
          <w:bCs/>
          <w:color w:val="000000" w:themeColor="text1"/>
          <w:sz w:val="32"/>
          <w:szCs w:val="32"/>
          <w:highlight w:val="none"/>
          <w14:textFill>
            <w14:solidFill>
              <w14:schemeClr w14:val="tx1"/>
            </w14:solidFill>
          </w14:textFill>
        </w:rPr>
        <w:t>。</w:t>
      </w:r>
    </w:p>
    <w:p w14:paraId="3EB1D6F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3.3 一个投标人对同一个合同包只能提交一个投标文件。如果投标人之间存在下列互为关联关系的情形之一的，不得同时参加本项目投标：</w:t>
      </w:r>
    </w:p>
    <w:p w14:paraId="61BC604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法定代表人为同一人的两个及两个以上法人；</w:t>
      </w:r>
    </w:p>
    <w:p w14:paraId="58AC04E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母公司、直接或间接持股50％及以上的被投资公司;</w:t>
      </w:r>
    </w:p>
    <w:p w14:paraId="797ED48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均为同一家母公司直接或间接持股50％及以上的被投资公司。</w:t>
      </w:r>
    </w:p>
    <w:p w14:paraId="1EE9D86A">
      <w:pPr>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3.4 本项目不接受联合体形式投标。</w:t>
      </w:r>
    </w:p>
    <w:p w14:paraId="113CE0F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3.5 投标代理人在同一个合同包中只能接受一个投标人的委托参加投标。</w:t>
      </w:r>
    </w:p>
    <w:p w14:paraId="7133EC42">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82" w:name="_Toc27788"/>
      <w:bookmarkStart w:id="83" w:name="_Toc17393"/>
      <w:bookmarkStart w:id="84" w:name="_Toc192925651"/>
      <w:bookmarkStart w:id="85" w:name="_Toc23687"/>
      <w:bookmarkStart w:id="86" w:name="_Toc26994"/>
      <w:bookmarkStart w:id="87" w:name="_Toc22478"/>
      <w:bookmarkStart w:id="88" w:name="_Toc1154"/>
      <w:bookmarkStart w:id="89" w:name="_Toc191892303"/>
      <w:r>
        <w:rPr>
          <w:rFonts w:hint="eastAsia" w:ascii="仿宋" w:hAnsi="仿宋" w:eastAsia="仿宋"/>
          <w:color w:val="000000" w:themeColor="text1"/>
          <w:sz w:val="32"/>
          <w:highlight w:val="none"/>
          <w14:textFill>
            <w14:solidFill>
              <w14:schemeClr w14:val="tx1"/>
            </w14:solidFill>
          </w14:textFill>
        </w:rPr>
        <w:t>4</w:t>
      </w:r>
      <w:r>
        <w:rPr>
          <w:rFonts w:ascii="仿宋" w:hAnsi="仿宋" w:eastAsia="仿宋"/>
          <w:color w:val="000000" w:themeColor="text1"/>
          <w:sz w:val="32"/>
          <w:highlight w:val="none"/>
          <w14:textFill>
            <w14:solidFill>
              <w14:schemeClr w14:val="tx1"/>
            </w14:solidFill>
          </w14:textFill>
        </w:rPr>
        <w:t>.</w:t>
      </w:r>
      <w:r>
        <w:rPr>
          <w:rFonts w:hint="eastAsia" w:ascii="仿宋" w:hAnsi="仿宋" w:eastAsia="仿宋"/>
          <w:color w:val="000000" w:themeColor="text1"/>
          <w:sz w:val="32"/>
          <w:highlight w:val="none"/>
          <w14:textFill>
            <w14:solidFill>
              <w14:schemeClr w14:val="tx1"/>
            </w14:solidFill>
          </w14:textFill>
        </w:rPr>
        <w:t xml:space="preserve"> 投标费用</w:t>
      </w:r>
      <w:bookmarkEnd w:id="82"/>
      <w:bookmarkEnd w:id="83"/>
      <w:bookmarkEnd w:id="84"/>
      <w:bookmarkEnd w:id="85"/>
      <w:bookmarkEnd w:id="86"/>
      <w:bookmarkEnd w:id="87"/>
      <w:bookmarkEnd w:id="88"/>
      <w:bookmarkEnd w:id="89"/>
    </w:p>
    <w:p w14:paraId="06929F3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投标人自行承担其参加投标所涉及的一切费用。</w:t>
      </w:r>
    </w:p>
    <w:p w14:paraId="5D523856">
      <w:pPr>
        <w:spacing w:line="500" w:lineRule="exact"/>
        <w:rPr>
          <w:rFonts w:ascii="仿宋" w:hAnsi="仿宋" w:eastAsia="仿宋"/>
          <w:color w:val="000000" w:themeColor="text1"/>
          <w:sz w:val="32"/>
          <w:szCs w:val="32"/>
          <w:highlight w:val="none"/>
          <w14:textFill>
            <w14:solidFill>
              <w14:schemeClr w14:val="tx1"/>
            </w14:solidFill>
          </w14:textFill>
        </w:rPr>
      </w:pPr>
      <w:bookmarkStart w:id="90" w:name="_Toc192925652"/>
      <w:bookmarkStart w:id="91" w:name="_Toc191892304"/>
    </w:p>
    <w:p w14:paraId="65BD1A7E">
      <w:pPr>
        <w:pStyle w:val="4"/>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92" w:name="_Toc3891"/>
      <w:bookmarkStart w:id="93" w:name="_Toc26695"/>
      <w:bookmarkStart w:id="94" w:name="_Toc27821"/>
      <w:bookmarkStart w:id="95" w:name="_Toc30865"/>
      <w:bookmarkStart w:id="96" w:name="_Toc26381"/>
      <w:bookmarkStart w:id="97" w:name="_Toc520"/>
      <w:r>
        <w:rPr>
          <w:rFonts w:hint="eastAsia" w:ascii="仿宋" w:hAnsi="仿宋" w:eastAsia="仿宋"/>
          <w:color w:val="000000" w:themeColor="text1"/>
          <w:sz w:val="32"/>
          <w:highlight w:val="none"/>
          <w14:textFill>
            <w14:solidFill>
              <w14:schemeClr w14:val="tx1"/>
            </w14:solidFill>
          </w14:textFill>
        </w:rPr>
        <w:t>第二节  招标文件说明</w:t>
      </w:r>
      <w:bookmarkEnd w:id="90"/>
      <w:bookmarkEnd w:id="91"/>
      <w:bookmarkEnd w:id="92"/>
      <w:bookmarkEnd w:id="93"/>
      <w:bookmarkEnd w:id="94"/>
      <w:bookmarkEnd w:id="95"/>
      <w:bookmarkEnd w:id="96"/>
      <w:bookmarkEnd w:id="97"/>
    </w:p>
    <w:p w14:paraId="619F6762">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98" w:name="_Toc17999"/>
      <w:bookmarkStart w:id="99" w:name="_Toc1404"/>
      <w:bookmarkStart w:id="100" w:name="_Toc192925653"/>
      <w:bookmarkStart w:id="101" w:name="_Toc14264"/>
      <w:bookmarkStart w:id="102" w:name="_Toc13476"/>
      <w:bookmarkStart w:id="103" w:name="_Toc25378"/>
      <w:bookmarkStart w:id="104" w:name="_Toc191892305"/>
      <w:bookmarkStart w:id="105" w:name="_Toc9040"/>
      <w:r>
        <w:rPr>
          <w:rFonts w:hint="eastAsia" w:ascii="仿宋" w:hAnsi="仿宋" w:eastAsia="仿宋"/>
          <w:color w:val="000000" w:themeColor="text1"/>
          <w:sz w:val="32"/>
          <w:highlight w:val="none"/>
          <w14:textFill>
            <w14:solidFill>
              <w14:schemeClr w14:val="tx1"/>
            </w14:solidFill>
          </w14:textFill>
        </w:rPr>
        <w:t>5</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招标文件的组成</w:t>
      </w:r>
      <w:bookmarkEnd w:id="98"/>
      <w:bookmarkEnd w:id="99"/>
      <w:bookmarkEnd w:id="100"/>
      <w:bookmarkEnd w:id="101"/>
      <w:bookmarkEnd w:id="102"/>
      <w:bookmarkEnd w:id="103"/>
      <w:bookmarkEnd w:id="104"/>
      <w:bookmarkEnd w:id="105"/>
    </w:p>
    <w:p w14:paraId="64D89768">
      <w:pPr>
        <w:ind w:firstLine="640" w:firstLineChars="200"/>
        <w:rPr>
          <w:rFonts w:ascii="仿宋" w:hAnsi="仿宋" w:eastAsia="仿宋"/>
          <w:b/>
          <w:color w:val="000000" w:themeColor="text1"/>
          <w:sz w:val="32"/>
          <w:highlight w:val="none"/>
          <w14:textFill>
            <w14:solidFill>
              <w14:schemeClr w14:val="tx1"/>
            </w14:solidFill>
          </w14:textFill>
        </w:rPr>
      </w:pPr>
      <w:bookmarkStart w:id="106" w:name="_Toc523325149"/>
      <w:bookmarkStart w:id="107" w:name="_Toc523325329"/>
      <w:r>
        <w:rPr>
          <w:rFonts w:hint="eastAsia" w:ascii="仿宋" w:hAnsi="仿宋" w:eastAsia="仿宋"/>
          <w:color w:val="000000" w:themeColor="text1"/>
          <w:sz w:val="32"/>
          <w:highlight w:val="none"/>
          <w14:textFill>
            <w14:solidFill>
              <w14:schemeClr w14:val="tx1"/>
            </w14:solidFill>
          </w14:textFill>
        </w:rPr>
        <w:t>5.1招标文件用以阐明所需货物及服务招标程序和合同主要条款。招标文件由下述主要部分组成：</w:t>
      </w:r>
      <w:bookmarkEnd w:id="106"/>
      <w:bookmarkEnd w:id="107"/>
    </w:p>
    <w:p w14:paraId="58975F58">
      <w:pPr>
        <w:ind w:firstLine="640" w:firstLineChars="200"/>
        <w:rPr>
          <w:rFonts w:ascii="仿宋" w:hAnsi="仿宋" w:eastAsia="仿宋"/>
          <w:b/>
          <w:color w:val="000000" w:themeColor="text1"/>
          <w:sz w:val="32"/>
          <w:highlight w:val="none"/>
          <w14:textFill>
            <w14:solidFill>
              <w14:schemeClr w14:val="tx1"/>
            </w14:solidFill>
          </w14:textFill>
        </w:rPr>
      </w:pPr>
      <w:bookmarkStart w:id="108" w:name="_Toc523325150"/>
      <w:bookmarkStart w:id="109" w:name="_Toc523325330"/>
      <w:r>
        <w:rPr>
          <w:rFonts w:hint="eastAsia" w:ascii="仿宋" w:hAnsi="仿宋" w:eastAsia="仿宋"/>
          <w:color w:val="000000" w:themeColor="text1"/>
          <w:sz w:val="32"/>
          <w:highlight w:val="none"/>
          <w14:textFill>
            <w14:solidFill>
              <w14:schemeClr w14:val="tx1"/>
            </w14:solidFill>
          </w14:textFill>
        </w:rPr>
        <w:t xml:space="preserve">⑴ </w:t>
      </w:r>
      <w:bookmarkEnd w:id="108"/>
      <w:bookmarkEnd w:id="109"/>
      <w:r>
        <w:rPr>
          <w:rFonts w:hint="eastAsia" w:ascii="仿宋" w:hAnsi="仿宋" w:eastAsia="仿宋"/>
          <w:color w:val="000000" w:themeColor="text1"/>
          <w:sz w:val="32"/>
          <w:highlight w:val="none"/>
          <w14:textFill>
            <w14:solidFill>
              <w14:schemeClr w14:val="tx1"/>
            </w14:solidFill>
          </w14:textFill>
        </w:rPr>
        <w:t>招标公告</w:t>
      </w:r>
    </w:p>
    <w:p w14:paraId="5EA36CBC">
      <w:pPr>
        <w:ind w:firstLine="640" w:firstLineChars="200"/>
        <w:rPr>
          <w:rFonts w:ascii="仿宋" w:hAnsi="仿宋" w:eastAsia="仿宋"/>
          <w:b/>
          <w:color w:val="000000" w:themeColor="text1"/>
          <w:sz w:val="32"/>
          <w:highlight w:val="none"/>
          <w14:textFill>
            <w14:solidFill>
              <w14:schemeClr w14:val="tx1"/>
            </w14:solidFill>
          </w14:textFill>
        </w:rPr>
      </w:pPr>
      <w:bookmarkStart w:id="110" w:name="_Toc523325151"/>
      <w:bookmarkStart w:id="111" w:name="_Toc523325331"/>
      <w:r>
        <w:rPr>
          <w:rFonts w:hint="eastAsia" w:ascii="仿宋" w:hAnsi="仿宋" w:eastAsia="仿宋"/>
          <w:color w:val="000000" w:themeColor="text1"/>
          <w:sz w:val="32"/>
          <w:highlight w:val="none"/>
          <w14:textFill>
            <w14:solidFill>
              <w14:schemeClr w14:val="tx1"/>
            </w14:solidFill>
          </w14:textFill>
        </w:rPr>
        <w:t>⑵ 投标人须知</w:t>
      </w:r>
      <w:bookmarkEnd w:id="110"/>
      <w:bookmarkEnd w:id="111"/>
    </w:p>
    <w:p w14:paraId="5AFDA9D5">
      <w:pPr>
        <w:ind w:firstLine="640" w:firstLineChars="200"/>
        <w:rPr>
          <w:rFonts w:ascii="仿宋" w:hAnsi="仿宋" w:eastAsia="仿宋"/>
          <w:b/>
          <w:color w:val="000000" w:themeColor="text1"/>
          <w:sz w:val="32"/>
          <w:highlight w:val="none"/>
          <w14:textFill>
            <w14:solidFill>
              <w14:schemeClr w14:val="tx1"/>
            </w14:solidFill>
          </w14:textFill>
        </w:rPr>
      </w:pPr>
      <w:bookmarkStart w:id="112" w:name="_Toc523325332"/>
      <w:bookmarkStart w:id="113" w:name="_Toc523325152"/>
      <w:r>
        <w:rPr>
          <w:rFonts w:hint="eastAsia" w:ascii="仿宋" w:hAnsi="仿宋" w:eastAsia="仿宋"/>
          <w:color w:val="000000" w:themeColor="text1"/>
          <w:sz w:val="32"/>
          <w:highlight w:val="none"/>
          <w14:textFill>
            <w14:solidFill>
              <w14:schemeClr w14:val="tx1"/>
            </w14:solidFill>
          </w14:textFill>
        </w:rPr>
        <w:t>⑶ 招标内容及要求</w:t>
      </w:r>
      <w:bookmarkEnd w:id="112"/>
      <w:bookmarkEnd w:id="113"/>
    </w:p>
    <w:p w14:paraId="44E97E66">
      <w:pPr>
        <w:ind w:firstLine="640" w:firstLineChars="200"/>
        <w:rPr>
          <w:rFonts w:ascii="仿宋" w:hAnsi="仿宋" w:eastAsia="仿宋"/>
          <w:color w:val="000000" w:themeColor="text1"/>
          <w:sz w:val="32"/>
          <w:highlight w:val="none"/>
          <w14:textFill>
            <w14:solidFill>
              <w14:schemeClr w14:val="tx1"/>
            </w14:solidFill>
          </w14:textFill>
        </w:rPr>
      </w:pPr>
      <w:bookmarkStart w:id="114" w:name="_Toc523325333"/>
      <w:bookmarkStart w:id="115" w:name="_Toc523325153"/>
      <w:r>
        <w:rPr>
          <w:rFonts w:hint="eastAsia" w:ascii="仿宋" w:hAnsi="仿宋" w:eastAsia="仿宋"/>
          <w:color w:val="000000" w:themeColor="text1"/>
          <w:sz w:val="32"/>
          <w:highlight w:val="none"/>
          <w14:textFill>
            <w14:solidFill>
              <w14:schemeClr w14:val="tx1"/>
            </w14:solidFill>
          </w14:textFill>
        </w:rPr>
        <w:t>⑷ 投标文件格式</w:t>
      </w:r>
      <w:bookmarkEnd w:id="114"/>
      <w:bookmarkEnd w:id="115"/>
      <w:bookmarkStart w:id="116" w:name="_Toc430488644"/>
      <w:bookmarkStart w:id="117" w:name="_Toc192925654"/>
      <w:bookmarkStart w:id="118" w:name="_Toc430488851"/>
      <w:bookmarkStart w:id="119" w:name="_Toc430489119"/>
      <w:bookmarkStart w:id="120" w:name="_Toc430490612"/>
      <w:bookmarkStart w:id="121" w:name="_Toc430422413"/>
      <w:bookmarkStart w:id="122" w:name="_Toc415567497"/>
      <w:bookmarkStart w:id="123" w:name="_Toc430492126"/>
      <w:bookmarkStart w:id="124" w:name="_Toc191892306"/>
    </w:p>
    <w:p w14:paraId="1201DE63">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25" w:name="_Toc26820"/>
      <w:bookmarkStart w:id="126" w:name="_Toc5312"/>
      <w:bookmarkStart w:id="127" w:name="_Toc31683"/>
      <w:bookmarkStart w:id="128" w:name="_Toc32345"/>
      <w:bookmarkStart w:id="129" w:name="_Toc23474"/>
      <w:bookmarkStart w:id="130" w:name="_Toc21219"/>
      <w:bookmarkStart w:id="131" w:name="_Toc20528"/>
      <w:r>
        <w:rPr>
          <w:rFonts w:ascii="仿宋" w:hAnsi="仿宋" w:eastAsia="仿宋"/>
          <w:color w:val="000000" w:themeColor="text1"/>
          <w:sz w:val="32"/>
          <w:highlight w:val="none"/>
          <w14:textFill>
            <w14:solidFill>
              <w14:schemeClr w14:val="tx1"/>
            </w14:solidFill>
          </w14:textFill>
        </w:rPr>
        <w:t>6. 招标文件的澄清</w:t>
      </w:r>
      <w:bookmarkEnd w:id="125"/>
      <w:bookmarkEnd w:id="126"/>
      <w:bookmarkEnd w:id="127"/>
      <w:bookmarkEnd w:id="128"/>
      <w:bookmarkEnd w:id="129"/>
      <w:bookmarkEnd w:id="130"/>
      <w:bookmarkEnd w:id="131"/>
    </w:p>
    <w:bookmarkEnd w:id="116"/>
    <w:bookmarkEnd w:id="117"/>
    <w:bookmarkEnd w:id="118"/>
    <w:bookmarkEnd w:id="119"/>
    <w:bookmarkEnd w:id="120"/>
    <w:bookmarkEnd w:id="121"/>
    <w:bookmarkEnd w:id="122"/>
    <w:bookmarkEnd w:id="123"/>
    <w:bookmarkEnd w:id="124"/>
    <w:p w14:paraId="46BF0CC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132" w:name="_Toc523325335"/>
      <w:bookmarkStart w:id="133" w:name="_Toc523325155"/>
      <w:bookmarkStart w:id="134" w:name="_Toc191892308"/>
      <w:bookmarkStart w:id="135" w:name="_Toc192925656"/>
      <w:r>
        <w:rPr>
          <w:rFonts w:hint="eastAsia" w:ascii="仿宋" w:hAnsi="仿宋" w:eastAsia="仿宋"/>
          <w:color w:val="000000" w:themeColor="text1"/>
          <w:sz w:val="32"/>
          <w:szCs w:val="32"/>
          <w:highlight w:val="none"/>
          <w14:textFill>
            <w14:solidFill>
              <w14:schemeClr w14:val="tx1"/>
            </w14:solidFill>
          </w14:textFill>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132"/>
      <w:bookmarkEnd w:id="133"/>
      <w:bookmarkStart w:id="136" w:name="_Toc430489120"/>
      <w:bookmarkStart w:id="137" w:name="_Toc430488852"/>
      <w:bookmarkStart w:id="138" w:name="_Toc430492127"/>
      <w:bookmarkStart w:id="139" w:name="_Toc430490613"/>
      <w:bookmarkStart w:id="140" w:name="_Toc191892307"/>
      <w:bookmarkStart w:id="141" w:name="_Toc430488645"/>
      <w:bookmarkStart w:id="142" w:name="_Toc192925655"/>
      <w:bookmarkStart w:id="143" w:name="_Toc415567498"/>
      <w:bookmarkStart w:id="144" w:name="_Toc430422414"/>
    </w:p>
    <w:p w14:paraId="1862AEDE">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45" w:name="_Toc12984"/>
      <w:bookmarkStart w:id="146" w:name="_Toc16547"/>
      <w:bookmarkStart w:id="147" w:name="_Toc17501"/>
      <w:bookmarkStart w:id="148" w:name="_Toc22311"/>
      <w:bookmarkStart w:id="149" w:name="_Toc14366"/>
      <w:bookmarkStart w:id="150" w:name="_Toc30953"/>
      <w:bookmarkStart w:id="151" w:name="_Toc5583"/>
      <w:r>
        <w:rPr>
          <w:rFonts w:ascii="仿宋" w:hAnsi="仿宋" w:eastAsia="仿宋"/>
          <w:color w:val="000000" w:themeColor="text1"/>
          <w:sz w:val="32"/>
          <w:highlight w:val="none"/>
          <w14:textFill>
            <w14:solidFill>
              <w14:schemeClr w14:val="tx1"/>
            </w14:solidFill>
          </w14:textFill>
        </w:rPr>
        <w:t xml:space="preserve">7. </w:t>
      </w:r>
      <w:r>
        <w:rPr>
          <w:rFonts w:hint="eastAsia" w:ascii="仿宋" w:hAnsi="仿宋" w:eastAsia="仿宋"/>
          <w:color w:val="000000" w:themeColor="text1"/>
          <w:sz w:val="32"/>
          <w:highlight w:val="none"/>
          <w14:textFill>
            <w14:solidFill>
              <w14:schemeClr w14:val="tx1"/>
            </w14:solidFill>
          </w14:textFill>
        </w:rPr>
        <w:t>招标文件的修改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C7E530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152" w:name="_Toc523325337"/>
      <w:bookmarkStart w:id="153" w:name="_Toc523325157"/>
      <w:r>
        <w:rPr>
          <w:rFonts w:hint="eastAsia" w:ascii="仿宋" w:hAnsi="仿宋" w:eastAsia="仿宋"/>
          <w:color w:val="000000" w:themeColor="text1"/>
          <w:sz w:val="32"/>
          <w:szCs w:val="32"/>
          <w:highlight w:val="none"/>
          <w14:textFill>
            <w14:solidFill>
              <w14:schemeClr w14:val="tx1"/>
            </w14:solidFill>
          </w14:textFill>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152"/>
      <w:bookmarkEnd w:id="153"/>
    </w:p>
    <w:p w14:paraId="4A01A08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154" w:name="_Toc523325158"/>
      <w:bookmarkStart w:id="155" w:name="_Toc523325338"/>
      <w:r>
        <w:rPr>
          <w:rFonts w:hint="eastAsia" w:ascii="仿宋" w:hAnsi="仿宋" w:eastAsia="仿宋"/>
          <w:color w:val="000000" w:themeColor="text1"/>
          <w:sz w:val="32"/>
          <w:szCs w:val="32"/>
          <w:highlight w:val="none"/>
          <w14:textFill>
            <w14:solidFill>
              <w14:schemeClr w14:val="tx1"/>
            </w14:solidFill>
          </w14:textFill>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154"/>
      <w:bookmarkEnd w:id="155"/>
    </w:p>
    <w:p w14:paraId="571D6A2E">
      <w:pPr>
        <w:spacing w:line="500" w:lineRule="exact"/>
        <w:rPr>
          <w:rFonts w:ascii="仿宋" w:hAnsi="仿宋" w:eastAsia="仿宋"/>
          <w:color w:val="000000" w:themeColor="text1"/>
          <w:sz w:val="32"/>
          <w:szCs w:val="32"/>
          <w:highlight w:val="none"/>
          <w14:textFill>
            <w14:solidFill>
              <w14:schemeClr w14:val="tx1"/>
            </w14:solidFill>
          </w14:textFill>
        </w:rPr>
      </w:pPr>
    </w:p>
    <w:p w14:paraId="11894A98">
      <w:pPr>
        <w:pStyle w:val="4"/>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156" w:name="_Toc17524"/>
      <w:bookmarkStart w:id="157" w:name="_Toc25079"/>
      <w:bookmarkStart w:id="158" w:name="_Toc26330"/>
      <w:bookmarkStart w:id="159" w:name="_Toc19600"/>
      <w:bookmarkStart w:id="160" w:name="_Toc29219"/>
      <w:bookmarkStart w:id="161" w:name="_Toc15288"/>
      <w:r>
        <w:rPr>
          <w:rFonts w:hint="eastAsia" w:ascii="仿宋" w:hAnsi="仿宋" w:eastAsia="仿宋"/>
          <w:color w:val="000000" w:themeColor="text1"/>
          <w:sz w:val="32"/>
          <w:highlight w:val="none"/>
          <w14:textFill>
            <w14:solidFill>
              <w14:schemeClr w14:val="tx1"/>
            </w14:solidFill>
          </w14:textFill>
        </w:rPr>
        <w:t>第三节  投标文件的编写</w:t>
      </w:r>
      <w:bookmarkEnd w:id="134"/>
      <w:bookmarkEnd w:id="135"/>
      <w:bookmarkEnd w:id="156"/>
      <w:bookmarkEnd w:id="157"/>
      <w:bookmarkEnd w:id="158"/>
      <w:bookmarkEnd w:id="159"/>
      <w:bookmarkEnd w:id="160"/>
      <w:bookmarkEnd w:id="161"/>
    </w:p>
    <w:p w14:paraId="5C9AEA7D">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62" w:name="_Toc19310"/>
      <w:bookmarkStart w:id="163" w:name="_Toc12302"/>
      <w:bookmarkStart w:id="164" w:name="_Toc6604"/>
      <w:bookmarkStart w:id="165" w:name="_Toc191892309"/>
      <w:bookmarkStart w:id="166" w:name="_Toc25258"/>
      <w:bookmarkStart w:id="167" w:name="_Toc13150"/>
      <w:bookmarkStart w:id="168" w:name="_Toc192925657"/>
      <w:bookmarkStart w:id="169" w:name="_Toc19328"/>
      <w:r>
        <w:rPr>
          <w:rFonts w:hint="eastAsia" w:ascii="仿宋" w:hAnsi="仿宋" w:eastAsia="仿宋"/>
          <w:color w:val="000000" w:themeColor="text1"/>
          <w:sz w:val="32"/>
          <w:highlight w:val="none"/>
          <w14:textFill>
            <w14:solidFill>
              <w14:schemeClr w14:val="tx1"/>
            </w14:solidFill>
          </w14:textFill>
        </w:rPr>
        <w:t>8</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要求</w:t>
      </w:r>
      <w:bookmarkEnd w:id="162"/>
      <w:bookmarkEnd w:id="163"/>
      <w:bookmarkEnd w:id="164"/>
      <w:bookmarkEnd w:id="165"/>
      <w:bookmarkEnd w:id="166"/>
      <w:bookmarkEnd w:id="167"/>
      <w:bookmarkEnd w:id="168"/>
      <w:bookmarkEnd w:id="169"/>
    </w:p>
    <w:p w14:paraId="2FCE5A1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8.1 投标人应仔细阅读招标文件的所有内容，按照招标文件的要求提交投标文件。投标文件应对招标文件的要求做出实质性响应，并保证所提供的全部资料的真实性，否则其投标将被拒绝。</w:t>
      </w:r>
    </w:p>
    <w:p w14:paraId="584E662B">
      <w:pPr>
        <w:tabs>
          <w:tab w:val="left" w:pos="900"/>
        </w:tabs>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8.2除非有另外的规定，投标人可对招标项目一览表所列的全部合同包或部分合同包进行投标。招标人不接受有任何可选择性的报价，每一种服务只能有一个报价。</w:t>
      </w:r>
    </w:p>
    <w:p w14:paraId="1131661C">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70" w:name="_Toc16025"/>
      <w:bookmarkStart w:id="171" w:name="_Toc25046"/>
      <w:bookmarkStart w:id="172" w:name="_Toc191892310"/>
      <w:bookmarkStart w:id="173" w:name="_Toc14323"/>
      <w:bookmarkStart w:id="174" w:name="_Toc31996"/>
      <w:bookmarkStart w:id="175" w:name="_Toc192925658"/>
      <w:bookmarkStart w:id="176" w:name="_Toc16014"/>
      <w:bookmarkStart w:id="177" w:name="_Toc31749"/>
      <w:r>
        <w:rPr>
          <w:rFonts w:hint="eastAsia" w:ascii="仿宋" w:hAnsi="仿宋" w:eastAsia="仿宋"/>
          <w:color w:val="000000" w:themeColor="text1"/>
          <w:sz w:val="32"/>
          <w:highlight w:val="none"/>
          <w14:textFill>
            <w14:solidFill>
              <w14:schemeClr w14:val="tx1"/>
            </w14:solidFill>
          </w14:textFill>
        </w:rPr>
        <w:t>9</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投标文件语言</w:t>
      </w:r>
      <w:bookmarkEnd w:id="170"/>
      <w:bookmarkEnd w:id="171"/>
      <w:bookmarkEnd w:id="172"/>
      <w:bookmarkEnd w:id="173"/>
      <w:bookmarkEnd w:id="174"/>
      <w:bookmarkEnd w:id="175"/>
      <w:bookmarkEnd w:id="176"/>
      <w:bookmarkEnd w:id="177"/>
    </w:p>
    <w:p w14:paraId="1345BE9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9.1投标文件应用中文书写。投标文件中所附或所引用的原件不是中文时，应附中文译本。各种计量单位及符号应采用国际上统一使用的公制计量单位和符号。</w:t>
      </w:r>
    </w:p>
    <w:p w14:paraId="090A5EC1">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78" w:name="_Toc192925659"/>
      <w:bookmarkStart w:id="179" w:name="_Toc12549"/>
      <w:bookmarkStart w:id="180" w:name="_Toc26469"/>
      <w:bookmarkStart w:id="181" w:name="_Toc12459"/>
      <w:bookmarkStart w:id="182" w:name="_Toc14252"/>
      <w:bookmarkStart w:id="183" w:name="_Toc18753"/>
      <w:bookmarkStart w:id="184" w:name="_Toc191892311"/>
      <w:bookmarkStart w:id="185" w:name="_Toc13490"/>
      <w:r>
        <w:rPr>
          <w:rFonts w:hint="eastAsia" w:ascii="仿宋" w:hAnsi="仿宋" w:eastAsia="仿宋"/>
          <w:color w:val="000000" w:themeColor="text1"/>
          <w:sz w:val="32"/>
          <w:highlight w:val="none"/>
          <w14:textFill>
            <w14:solidFill>
              <w14:schemeClr w14:val="tx1"/>
            </w14:solidFill>
          </w14:textFill>
        </w:rPr>
        <w:t>10</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投标文件的组成</w:t>
      </w:r>
      <w:bookmarkEnd w:id="178"/>
      <w:bookmarkEnd w:id="179"/>
      <w:bookmarkEnd w:id="180"/>
      <w:bookmarkEnd w:id="181"/>
      <w:bookmarkEnd w:id="182"/>
      <w:bookmarkEnd w:id="183"/>
      <w:bookmarkEnd w:id="184"/>
      <w:bookmarkEnd w:id="185"/>
    </w:p>
    <w:p w14:paraId="443AD9F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投标文件应包括</w:t>
      </w:r>
      <w:r>
        <w:rPr>
          <w:rFonts w:hint="eastAsia" w:ascii="仿宋" w:hAnsi="仿宋" w:eastAsia="仿宋"/>
          <w:color w:val="000000" w:themeColor="text1"/>
          <w:sz w:val="32"/>
          <w:szCs w:val="32"/>
          <w:highlight w:val="none"/>
          <w:lang w:val="en-US" w:eastAsia="zh-CN"/>
          <w14:textFill>
            <w14:solidFill>
              <w14:schemeClr w14:val="tx1"/>
            </w14:solidFill>
          </w14:textFill>
        </w:rPr>
        <w:t>但不限于</w:t>
      </w:r>
      <w:r>
        <w:rPr>
          <w:rFonts w:hint="eastAsia" w:ascii="仿宋" w:hAnsi="仿宋" w:eastAsia="仿宋"/>
          <w:color w:val="000000" w:themeColor="text1"/>
          <w:sz w:val="32"/>
          <w:szCs w:val="32"/>
          <w:highlight w:val="none"/>
          <w14:textFill>
            <w14:solidFill>
              <w14:schemeClr w14:val="tx1"/>
            </w14:solidFill>
          </w14:textFill>
        </w:rPr>
        <w:t>下列部分：</w:t>
      </w:r>
    </w:p>
    <w:p w14:paraId="6ED923D0">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1）投标书</w:t>
      </w:r>
    </w:p>
    <w:p w14:paraId="1E268631">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（2）开标一览表</w:t>
      </w:r>
    </w:p>
    <w:p w14:paraId="5C46F344">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（3）价格明细表</w:t>
      </w:r>
    </w:p>
    <w:p w14:paraId="3852ADEE">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（4）投标人的资格证明文件</w:t>
      </w:r>
    </w:p>
    <w:p w14:paraId="201F48FF">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（5）带“★”号条款逐条响应表</w:t>
      </w:r>
    </w:p>
    <w:p w14:paraId="05490A97">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（6）投标人承诺函</w:t>
      </w:r>
    </w:p>
    <w:p w14:paraId="43A21E0F">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（7）技术和商务响应表</w:t>
      </w:r>
    </w:p>
    <w:p w14:paraId="7AB765AC">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 项目服务方案</w:t>
      </w:r>
    </w:p>
    <w:p w14:paraId="4C6C47B9">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（9）投标保证金缴交凭证</w:t>
      </w:r>
    </w:p>
    <w:p w14:paraId="71BB8F37">
      <w:pPr>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（10）投标人提交的其它资料</w:t>
      </w:r>
    </w:p>
    <w:p w14:paraId="05055651">
      <w:pPr>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10.2</w:t>
      </w:r>
      <w:r>
        <w:rPr>
          <w:rFonts w:hint="eastAsia" w:ascii="仿宋" w:hAnsi="仿宋" w:eastAsia="仿宋"/>
          <w:color w:val="000000" w:themeColor="text1"/>
          <w:sz w:val="32"/>
          <w:szCs w:val="32"/>
          <w:highlight w:val="none"/>
          <w14:textFill>
            <w14:solidFill>
              <w14:schemeClr w14:val="tx1"/>
            </w14:solidFill>
          </w14:textFill>
        </w:rPr>
        <w:t>投标人所作的一切有效补充、修改文件，均被视为投标文件不可分割的部分。</w:t>
      </w:r>
    </w:p>
    <w:p w14:paraId="12647A78">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86" w:name="_Toc23454"/>
      <w:bookmarkStart w:id="187" w:name="_Toc29481"/>
      <w:bookmarkStart w:id="188" w:name="_Toc28956"/>
      <w:bookmarkStart w:id="189" w:name="_Toc1496"/>
      <w:bookmarkStart w:id="190" w:name="_Toc191892312"/>
      <w:bookmarkStart w:id="191" w:name="_Toc192925660"/>
      <w:bookmarkStart w:id="192" w:name="_Toc5786"/>
      <w:bookmarkStart w:id="193" w:name="_Toc24269"/>
      <w:r>
        <w:rPr>
          <w:rFonts w:hint="eastAsia" w:ascii="仿宋" w:hAnsi="仿宋" w:eastAsia="仿宋"/>
          <w:color w:val="000000" w:themeColor="text1"/>
          <w:sz w:val="32"/>
          <w:highlight w:val="none"/>
          <w14:textFill>
            <w14:solidFill>
              <w14:schemeClr w14:val="tx1"/>
            </w14:solidFill>
          </w14:textFill>
        </w:rPr>
        <w:t>11</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投标有效期</w:t>
      </w:r>
      <w:bookmarkEnd w:id="186"/>
      <w:bookmarkEnd w:id="187"/>
      <w:bookmarkEnd w:id="188"/>
      <w:bookmarkEnd w:id="189"/>
      <w:bookmarkEnd w:id="190"/>
      <w:bookmarkEnd w:id="191"/>
      <w:bookmarkEnd w:id="192"/>
      <w:bookmarkEnd w:id="193"/>
    </w:p>
    <w:p w14:paraId="2315950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11.1投标文件从“</w:t>
      </w:r>
      <w:r>
        <w:rPr>
          <w:rFonts w:hint="eastAsia" w:ascii="仿宋" w:hAnsi="仿宋" w:eastAsia="仿宋"/>
          <w:bCs/>
          <w:color w:val="000000" w:themeColor="text1"/>
          <w:sz w:val="32"/>
          <w:szCs w:val="32"/>
          <w:highlight w:val="none"/>
          <w14:textFill>
            <w14:solidFill>
              <w14:schemeClr w14:val="tx1"/>
            </w14:solidFill>
          </w14:textFill>
        </w:rPr>
        <w:t>投标人须知前附表”</w:t>
      </w:r>
      <w:r>
        <w:rPr>
          <w:rFonts w:hint="eastAsia" w:ascii="仿宋" w:hAnsi="仿宋" w:eastAsia="仿宋"/>
          <w:color w:val="000000" w:themeColor="text1"/>
          <w:sz w:val="32"/>
          <w:szCs w:val="32"/>
          <w:highlight w:val="none"/>
          <w14:textFill>
            <w14:solidFill>
              <w14:schemeClr w14:val="tx1"/>
            </w14:solidFill>
          </w14:textFill>
        </w:rPr>
        <w:t>所规定的投标截止期之后开始生效，在“</w:t>
      </w:r>
      <w:r>
        <w:rPr>
          <w:rFonts w:hint="eastAsia" w:ascii="仿宋" w:hAnsi="仿宋" w:eastAsia="仿宋"/>
          <w:bCs/>
          <w:color w:val="000000" w:themeColor="text1"/>
          <w:sz w:val="32"/>
          <w:szCs w:val="32"/>
          <w:highlight w:val="none"/>
          <w14:textFill>
            <w14:solidFill>
              <w14:schemeClr w14:val="tx1"/>
            </w14:solidFill>
          </w14:textFill>
        </w:rPr>
        <w:t>投标人须知前附表”</w:t>
      </w:r>
      <w:r>
        <w:rPr>
          <w:rFonts w:hint="eastAsia" w:ascii="仿宋" w:hAnsi="仿宋" w:eastAsia="仿宋"/>
          <w:color w:val="000000" w:themeColor="text1"/>
          <w:sz w:val="32"/>
          <w:szCs w:val="32"/>
          <w:highlight w:val="none"/>
          <w14:textFill>
            <w14:solidFill>
              <w14:schemeClr w14:val="tx1"/>
            </w14:solidFill>
          </w14:textFill>
        </w:rPr>
        <w:t>所规定的期限内保持有效。有效期不足将导致其投标文件被拒绝。</w:t>
      </w:r>
    </w:p>
    <w:p w14:paraId="5158B7F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68BDF659">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94" w:name="_Toc22552"/>
      <w:bookmarkStart w:id="195" w:name="_Toc192925661"/>
      <w:bookmarkStart w:id="196" w:name="_Toc18552"/>
      <w:bookmarkStart w:id="197" w:name="_Toc19604"/>
      <w:bookmarkStart w:id="198" w:name="_Toc24189"/>
      <w:bookmarkStart w:id="199" w:name="_Toc20841"/>
      <w:bookmarkStart w:id="200" w:name="_Toc10567"/>
      <w:bookmarkStart w:id="201" w:name="_Toc191892313"/>
      <w:r>
        <w:rPr>
          <w:rFonts w:hint="eastAsia" w:ascii="仿宋" w:hAnsi="仿宋" w:eastAsia="仿宋"/>
          <w:color w:val="000000" w:themeColor="text1"/>
          <w:sz w:val="32"/>
          <w:highlight w:val="none"/>
          <w14:textFill>
            <w14:solidFill>
              <w14:schemeClr w14:val="tx1"/>
            </w14:solidFill>
          </w14:textFill>
        </w:rPr>
        <w:t>12. 投标保证金</w:t>
      </w:r>
      <w:bookmarkEnd w:id="194"/>
      <w:bookmarkEnd w:id="195"/>
      <w:bookmarkEnd w:id="196"/>
      <w:bookmarkEnd w:id="197"/>
      <w:bookmarkEnd w:id="198"/>
      <w:bookmarkEnd w:id="199"/>
      <w:bookmarkEnd w:id="200"/>
      <w:bookmarkEnd w:id="201"/>
    </w:p>
    <w:p w14:paraId="05507434">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12.1 投标保证金</w:t>
      </w:r>
    </w:p>
    <w:p w14:paraId="1127264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12.1.1投标保证金为投标文件的组成部分之一。</w:t>
      </w:r>
    </w:p>
    <w:p w14:paraId="1829958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12.1.2 投标人应在提交投标文件之前，向招标人缴交“投标人须知前附表”要求的投标保证金。</w:t>
      </w:r>
    </w:p>
    <w:p w14:paraId="6A0EEB1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12.1.3 投标保证金用于保护本次招标活动免受投标人的行为而引起的风险。</w:t>
      </w:r>
    </w:p>
    <w:p w14:paraId="187B238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12.1.4 投标保证金以转账或电汇形式提交，必须于投标截止时间前到账。</w:t>
      </w:r>
    </w:p>
    <w:p w14:paraId="467E74F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12.1.5 未按规定缴交投标保证金的投标，将被视为无效投标。</w:t>
      </w:r>
    </w:p>
    <w:p w14:paraId="61C05BD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12.1.6中标通知书发出后，招标人</w:t>
      </w:r>
      <w:r>
        <w:rPr>
          <w:rFonts w:ascii="仿宋" w:hAnsi="仿宋" w:eastAsia="仿宋"/>
          <w:color w:val="000000" w:themeColor="text1"/>
          <w:sz w:val="32"/>
          <w:szCs w:val="32"/>
          <w:highlight w:val="none"/>
          <w14:textFill>
            <w14:solidFill>
              <w14:schemeClr w14:val="tx1"/>
            </w14:solidFill>
          </w14:textFill>
        </w:rPr>
        <w:t>将</w:t>
      </w:r>
      <w:r>
        <w:rPr>
          <w:rFonts w:hint="eastAsia" w:ascii="仿宋" w:hAnsi="仿宋" w:eastAsia="仿宋"/>
          <w:color w:val="000000" w:themeColor="text1"/>
          <w:sz w:val="32"/>
          <w:szCs w:val="32"/>
          <w:highlight w:val="none"/>
          <w14:textFill>
            <w14:solidFill>
              <w14:schemeClr w14:val="tx1"/>
            </w14:solidFill>
          </w14:textFill>
        </w:rPr>
        <w:t>在</w:t>
      </w:r>
      <w:r>
        <w:rPr>
          <w:rFonts w:hint="eastAsia" w:ascii="仿宋" w:hAnsi="仿宋" w:eastAsia="仿宋"/>
          <w:color w:val="000000" w:themeColor="text1"/>
          <w:sz w:val="32"/>
          <w:szCs w:val="32"/>
          <w:highlight w:val="none"/>
          <w:lang w:val="en-US" w:eastAsia="zh-CN"/>
          <w14:textFill>
            <w14:solidFill>
              <w14:schemeClr w14:val="tx1"/>
            </w14:solidFill>
          </w14:textFill>
        </w:rPr>
        <w:t>20</w:t>
      </w:r>
      <w:r>
        <w:rPr>
          <w:rFonts w:hint="eastAsia" w:ascii="仿宋" w:hAnsi="仿宋" w:eastAsia="仿宋"/>
          <w:color w:val="000000" w:themeColor="text1"/>
          <w:sz w:val="32"/>
          <w:szCs w:val="32"/>
          <w:highlight w:val="none"/>
          <w14:textFill>
            <w14:solidFill>
              <w14:schemeClr w14:val="tx1"/>
            </w14:solidFill>
          </w14:textFill>
        </w:rPr>
        <w:t>个工作日内予以原额无息退还未中标人的投标保证金。</w:t>
      </w:r>
    </w:p>
    <w:p w14:paraId="0F82E10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12.1.7 发生</w:t>
      </w:r>
      <w:r>
        <w:rPr>
          <w:rFonts w:hint="eastAsia" w:ascii="仿宋" w:hAnsi="仿宋" w:eastAsia="仿宋"/>
          <w:b/>
          <w:color w:val="000000" w:themeColor="text1"/>
          <w:sz w:val="32"/>
          <w:szCs w:val="32"/>
          <w:highlight w:val="none"/>
          <w14:textFill>
            <w14:solidFill>
              <w14:schemeClr w14:val="tx1"/>
            </w14:solidFill>
          </w14:textFill>
        </w:rPr>
        <w:t>以下情况之一</w:t>
      </w:r>
      <w:r>
        <w:rPr>
          <w:rFonts w:hint="eastAsia" w:ascii="仿宋" w:hAnsi="仿宋" w:eastAsia="仿宋"/>
          <w:color w:val="000000" w:themeColor="text1"/>
          <w:sz w:val="32"/>
          <w:szCs w:val="32"/>
          <w:highlight w:val="none"/>
          <w14:textFill>
            <w14:solidFill>
              <w14:schemeClr w14:val="tx1"/>
            </w14:solidFill>
          </w14:textFill>
        </w:rPr>
        <w:t>的，投标保证金将</w:t>
      </w:r>
      <w:r>
        <w:rPr>
          <w:rFonts w:hint="eastAsia" w:ascii="仿宋" w:hAnsi="仿宋" w:eastAsia="仿宋"/>
          <w:b/>
          <w:color w:val="000000" w:themeColor="text1"/>
          <w:sz w:val="32"/>
          <w:szCs w:val="32"/>
          <w:highlight w:val="none"/>
          <w14:textFill>
            <w14:solidFill>
              <w14:schemeClr w14:val="tx1"/>
            </w14:solidFill>
          </w14:textFill>
        </w:rPr>
        <w:t>不予退还</w:t>
      </w:r>
      <w:r>
        <w:rPr>
          <w:rFonts w:hint="eastAsia" w:ascii="仿宋" w:hAnsi="仿宋" w:eastAsia="仿宋"/>
          <w:color w:val="000000" w:themeColor="text1"/>
          <w:sz w:val="32"/>
          <w:szCs w:val="32"/>
          <w:highlight w:val="none"/>
          <w14:textFill>
            <w14:solidFill>
              <w14:schemeClr w14:val="tx1"/>
            </w14:solidFill>
          </w14:textFill>
        </w:rPr>
        <w:t>：</w:t>
      </w:r>
    </w:p>
    <w:p w14:paraId="5579195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⑴ 投标人在投标截止期后，投标有效期内撤回投标；</w:t>
      </w:r>
    </w:p>
    <w:p w14:paraId="4283645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⑵ 中标人未能做到按本须知第22条规定签订合同；</w:t>
      </w:r>
    </w:p>
    <w:p w14:paraId="2370845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⑶</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中标人未按本招标文件规定提交银行履约保函或履约保证金的；</w:t>
      </w:r>
    </w:p>
    <w:p w14:paraId="232372B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⑷ 以他人名义投标或者以其他方式弄虚作假，骗取中标；</w:t>
      </w:r>
    </w:p>
    <w:p w14:paraId="3498DF8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⑸ 本招标文件中规定的其他没收投标保证金的情形。</w:t>
      </w:r>
    </w:p>
    <w:p w14:paraId="29886AF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上述不予退还投标保证金的情况，如给招标人造成损失的，投标人还应承担赔偿责任。</w:t>
      </w:r>
    </w:p>
    <w:p w14:paraId="618B4BE3">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02" w:name="_Toc191892314"/>
      <w:bookmarkStart w:id="203" w:name="_Toc7580"/>
      <w:bookmarkStart w:id="204" w:name="_Toc137"/>
      <w:bookmarkStart w:id="205" w:name="_Toc22784"/>
      <w:bookmarkStart w:id="206" w:name="_Toc14453"/>
      <w:bookmarkStart w:id="207" w:name="_Toc192925662"/>
      <w:bookmarkStart w:id="208" w:name="_Toc1722"/>
      <w:bookmarkStart w:id="209" w:name="_Toc7450"/>
      <w:r>
        <w:rPr>
          <w:rFonts w:hint="eastAsia" w:ascii="仿宋" w:hAnsi="仿宋" w:eastAsia="仿宋"/>
          <w:color w:val="000000" w:themeColor="text1"/>
          <w:sz w:val="32"/>
          <w:highlight w:val="none"/>
          <w14:textFill>
            <w14:solidFill>
              <w14:schemeClr w14:val="tx1"/>
            </w14:solidFill>
          </w14:textFill>
        </w:rPr>
        <w:t>13</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投标文件的格式</w:t>
      </w:r>
      <w:bookmarkEnd w:id="202"/>
      <w:bookmarkEnd w:id="203"/>
      <w:bookmarkEnd w:id="204"/>
      <w:bookmarkEnd w:id="205"/>
      <w:bookmarkEnd w:id="206"/>
      <w:bookmarkEnd w:id="207"/>
      <w:bookmarkEnd w:id="208"/>
      <w:bookmarkEnd w:id="209"/>
    </w:p>
    <w:p w14:paraId="549F02D1">
      <w:pPr>
        <w:spacing w:line="500" w:lineRule="exact"/>
        <w:ind w:firstLine="640" w:firstLineChars="200"/>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13.1投标人须按照本招标文件规定，编制</w:t>
      </w:r>
      <w:r>
        <w:rPr>
          <w:rFonts w:hint="eastAsia" w:ascii="仿宋" w:hAnsi="仿宋" w:eastAsia="仿宋" w:cs="Times New Roman"/>
          <w:color w:val="000000" w:themeColor="text1"/>
          <w:sz w:val="32"/>
          <w:szCs w:val="32"/>
          <w:highlight w:val="none"/>
          <w14:textFill>
            <w14:solidFill>
              <w14:schemeClr w14:val="tx1"/>
            </w14:solidFill>
          </w14:textFill>
        </w:rPr>
        <w:t>投标文件的</w:t>
      </w:r>
      <w:r>
        <w:rPr>
          <w:rFonts w:hint="eastAsia" w:ascii="仿宋" w:hAnsi="仿宋" w:eastAsia="仿宋" w:cs="Times New Roman"/>
          <w:b/>
          <w:bCs/>
          <w:color w:val="000000" w:themeColor="text1"/>
          <w:sz w:val="32"/>
          <w:szCs w:val="32"/>
          <w:highlight w:val="none"/>
          <w14:textFill>
            <w14:solidFill>
              <w14:schemeClr w14:val="tx1"/>
            </w14:solidFill>
          </w14:textFill>
        </w:rPr>
        <w:t>正本一份，副本一份</w:t>
      </w:r>
      <w:r>
        <w:rPr>
          <w:rFonts w:hint="eastAsia" w:ascii="仿宋" w:hAnsi="仿宋" w:eastAsia="仿宋" w:cs="Times New Roman"/>
          <w:b/>
          <w:bCs/>
          <w:color w:val="000000" w:themeColor="text1"/>
          <w:sz w:val="32"/>
          <w:szCs w:val="32"/>
          <w:highlight w:val="none"/>
          <w:lang w:val="en-US" w:eastAsia="zh-CN"/>
          <w14:textFill>
            <w14:solidFill>
              <w14:schemeClr w14:val="tx1"/>
            </w14:solidFill>
          </w14:textFill>
        </w:rPr>
        <w:t>,</w:t>
      </w:r>
      <w:r>
        <w:rPr>
          <w:rFonts w:hint="eastAsia" w:ascii="仿宋" w:hAnsi="仿宋" w:eastAsia="仿宋" w:cs="Times New Roman"/>
          <w:b/>
          <w:bCs/>
          <w:color w:val="000000" w:themeColor="text1"/>
          <w:sz w:val="32"/>
          <w:szCs w:val="32"/>
          <w:highlight w:val="none"/>
          <w14:textFill>
            <w14:solidFill>
              <w14:schemeClr w14:val="tx1"/>
            </w14:solidFill>
          </w14:textFill>
        </w:rPr>
        <w:t>电子版一份</w:t>
      </w:r>
      <w:r>
        <w:rPr>
          <w:rFonts w:hint="eastAsia" w:ascii="仿宋" w:hAnsi="仿宋" w:eastAsia="仿宋" w:cs="Times New Roman"/>
          <w:b/>
          <w:bCs/>
          <w:color w:val="000000" w:themeColor="text1"/>
          <w:sz w:val="32"/>
          <w:szCs w:val="32"/>
          <w:highlight w:val="none"/>
          <w:lang w:val="en-US" w:eastAsia="zh-CN"/>
          <w14:textFill>
            <w14:solidFill>
              <w14:schemeClr w14:val="tx1"/>
            </w14:solidFill>
          </w14:textFill>
        </w:rPr>
        <w:t>(通过U盘介质提交）</w:t>
      </w:r>
      <w:r>
        <w:rPr>
          <w:rFonts w:hint="eastAsia" w:ascii="仿宋" w:hAnsi="仿宋" w:eastAsia="仿宋" w:cs="Times New Roman"/>
          <w:b/>
          <w:bCs/>
          <w:color w:val="000000" w:themeColor="text1"/>
          <w:sz w:val="32"/>
          <w:szCs w:val="32"/>
          <w:highlight w:val="none"/>
          <w:lang w:eastAsia="zh-CN"/>
          <w14:textFill>
            <w14:solidFill>
              <w14:schemeClr w14:val="tx1"/>
            </w14:solidFill>
          </w14:textFill>
        </w:rPr>
        <w:t>。</w:t>
      </w:r>
      <w:r>
        <w:rPr>
          <w:rFonts w:hint="eastAsia" w:ascii="仿宋" w:hAnsi="仿宋" w:eastAsia="仿宋" w:cs="Times New Roman"/>
          <w:b/>
          <w:bCs/>
          <w:color w:val="000000" w:themeColor="text1"/>
          <w:sz w:val="32"/>
          <w:szCs w:val="32"/>
          <w:highlight w:val="none"/>
          <w14:textFill>
            <w14:solidFill>
              <w14:schemeClr w14:val="tx1"/>
            </w14:solidFill>
          </w14:textFill>
        </w:rPr>
        <w:t>正</w:t>
      </w:r>
      <w:r>
        <w:rPr>
          <w:rFonts w:hint="eastAsia" w:ascii="仿宋" w:hAnsi="仿宋" w:eastAsia="仿宋"/>
          <w:b/>
          <w:bCs/>
          <w:color w:val="000000" w:themeColor="text1"/>
          <w:sz w:val="32"/>
          <w:szCs w:val="32"/>
          <w:highlight w:val="none"/>
          <w14:textFill>
            <w14:solidFill>
              <w14:schemeClr w14:val="tx1"/>
            </w14:solidFill>
          </w14:textFill>
        </w:rPr>
        <w:t>本必须用A4幅面纸张打印装订，副本可用正本的完整复印件，电子版应为加盖公章的投标文件正本扫描件</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并在封面标明“正本”、“副本”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电子版”</w:t>
      </w:r>
      <w:r>
        <w:rPr>
          <w:rFonts w:hint="eastAsia" w:ascii="仿宋" w:hAnsi="仿宋" w:eastAsia="仿宋"/>
          <w:b/>
          <w:bCs/>
          <w:color w:val="000000" w:themeColor="text1"/>
          <w:sz w:val="32"/>
          <w:szCs w:val="32"/>
          <w:highlight w:val="none"/>
          <w14:textFill>
            <w14:solidFill>
              <w14:schemeClr w14:val="tx1"/>
            </w14:solidFill>
          </w14:textFill>
        </w:rPr>
        <w:t>字样。正本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副本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电子版</w:t>
      </w:r>
      <w:r>
        <w:rPr>
          <w:rFonts w:hint="eastAsia" w:ascii="仿宋" w:hAnsi="仿宋" w:eastAsia="仿宋"/>
          <w:b/>
          <w:bCs/>
          <w:color w:val="000000" w:themeColor="text1"/>
          <w:sz w:val="32"/>
          <w:szCs w:val="32"/>
          <w:highlight w:val="none"/>
          <w14:textFill>
            <w14:solidFill>
              <w14:schemeClr w14:val="tx1"/>
            </w14:solidFill>
          </w14:textFill>
        </w:rPr>
        <w:t>如有不一致，则以正本为准。</w:t>
      </w:r>
    </w:p>
    <w:p w14:paraId="7EE201D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13.2投标文件应由投标人的法定代表人或者其授权代表签字并加盖公章，如由后者签字，应提供“法定代表人授权委托书”。</w:t>
      </w:r>
    </w:p>
    <w:p w14:paraId="3706FA6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13.3 除非有另外的规定或许可外，投标使用货币均为人民币。</w:t>
      </w:r>
    </w:p>
    <w:p w14:paraId="3B6916B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13.4投标人应提交证明其拟供货物符合招标文件要求的技术响应文件，该文件可以是文字资料、图纸和数据，并须提供货物主要技术性能的详细描述。</w:t>
      </w:r>
    </w:p>
    <w:p w14:paraId="350FD93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 xml:space="preserve">.5 </w:t>
      </w:r>
      <w:r>
        <w:rPr>
          <w:rFonts w:hint="eastAsia" w:ascii="仿宋" w:hAnsi="仿宋" w:eastAsia="仿宋"/>
          <w:color w:val="000000" w:themeColor="text1"/>
          <w:sz w:val="32"/>
          <w:szCs w:val="32"/>
          <w:highlight w:val="none"/>
          <w14:textFill>
            <w14:solidFill>
              <w14:schemeClr w14:val="tx1"/>
            </w14:solidFill>
          </w14:textFill>
        </w:rPr>
        <w:t>投标文件的正本和全部副本均应使用不能擦去的墨料或墨水打印、书写或复印，并由法定代表人或其授权代表签署，盖投标人公章。</w:t>
      </w:r>
    </w:p>
    <w:p w14:paraId="62D9675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613FFFE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13.7未按本招标文件规定的格式填写投标文件或投标文件字迹模糊不清的投标可能导致不利于投标人的评标结果。</w:t>
      </w:r>
    </w:p>
    <w:p w14:paraId="3CF77F8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13.8 所有资格证明文件复印件，须加盖投标人公章。</w:t>
      </w:r>
    </w:p>
    <w:p w14:paraId="49428DC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13.9 投标人应将投标文件按顺序装订成册、打印页码，并编列目录、资料清单，由于装订不规范或编排顺序混乱而导致投标文件被误读或漏读，投标人自行承担后果。</w:t>
      </w:r>
    </w:p>
    <w:p w14:paraId="1D1BD980">
      <w:pPr>
        <w:spacing w:line="500" w:lineRule="exact"/>
        <w:rPr>
          <w:rFonts w:ascii="仿宋" w:hAnsi="仿宋" w:eastAsia="仿宋"/>
          <w:color w:val="000000" w:themeColor="text1"/>
          <w:sz w:val="32"/>
          <w:szCs w:val="32"/>
          <w:highlight w:val="none"/>
          <w14:textFill>
            <w14:solidFill>
              <w14:schemeClr w14:val="tx1"/>
            </w14:solidFill>
          </w14:textFill>
        </w:rPr>
      </w:pPr>
    </w:p>
    <w:p w14:paraId="11B2D800">
      <w:pPr>
        <w:pStyle w:val="4"/>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210" w:name="_Toc11405"/>
      <w:bookmarkStart w:id="211" w:name="_Toc29100"/>
      <w:bookmarkStart w:id="212" w:name="_Toc20319"/>
      <w:bookmarkStart w:id="213" w:name="_Toc1523"/>
      <w:bookmarkStart w:id="214" w:name="_Toc17560"/>
      <w:bookmarkStart w:id="215" w:name="_Toc6048"/>
      <w:bookmarkStart w:id="216" w:name="_Toc192925663"/>
      <w:bookmarkStart w:id="217" w:name="_Toc191892315"/>
      <w:r>
        <w:rPr>
          <w:rFonts w:hint="eastAsia" w:ascii="仿宋" w:hAnsi="仿宋" w:eastAsia="仿宋"/>
          <w:color w:val="000000" w:themeColor="text1"/>
          <w:sz w:val="32"/>
          <w:highlight w:val="none"/>
          <w14:textFill>
            <w14:solidFill>
              <w14:schemeClr w14:val="tx1"/>
            </w14:solidFill>
          </w14:textFill>
        </w:rPr>
        <w:t>第四节  投标文件的提交</w:t>
      </w:r>
      <w:bookmarkEnd w:id="210"/>
      <w:bookmarkEnd w:id="211"/>
      <w:bookmarkEnd w:id="212"/>
      <w:bookmarkEnd w:id="213"/>
      <w:bookmarkEnd w:id="214"/>
      <w:bookmarkEnd w:id="215"/>
      <w:bookmarkEnd w:id="216"/>
      <w:bookmarkEnd w:id="217"/>
    </w:p>
    <w:p w14:paraId="535F3B46">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18" w:name="_Toc191892316"/>
      <w:bookmarkStart w:id="219" w:name="_Toc6074"/>
      <w:bookmarkStart w:id="220" w:name="_Toc28052"/>
      <w:bookmarkStart w:id="221" w:name="_Toc6091"/>
      <w:bookmarkStart w:id="222" w:name="_Toc192925664"/>
      <w:bookmarkStart w:id="223" w:name="_Toc4143"/>
      <w:bookmarkStart w:id="224" w:name="_Toc25931"/>
      <w:bookmarkStart w:id="225" w:name="_Toc20050"/>
      <w:r>
        <w:rPr>
          <w:rFonts w:hint="eastAsia" w:ascii="仿宋" w:hAnsi="仿宋" w:eastAsia="仿宋"/>
          <w:color w:val="000000" w:themeColor="text1"/>
          <w:sz w:val="32"/>
          <w:highlight w:val="none"/>
          <w14:textFill>
            <w14:solidFill>
              <w14:schemeClr w14:val="tx1"/>
            </w14:solidFill>
          </w14:textFill>
        </w:rPr>
        <w:t>14. 投标文件的密封、标记和递交</w:t>
      </w:r>
      <w:bookmarkEnd w:id="218"/>
      <w:bookmarkEnd w:id="219"/>
      <w:bookmarkEnd w:id="220"/>
      <w:bookmarkEnd w:id="221"/>
      <w:bookmarkEnd w:id="222"/>
      <w:bookmarkEnd w:id="223"/>
      <w:bookmarkEnd w:id="224"/>
      <w:bookmarkEnd w:id="225"/>
    </w:p>
    <w:p w14:paraId="28C7395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14.1 投标人应将</w:t>
      </w:r>
      <w:r>
        <w:rPr>
          <w:rFonts w:hint="eastAsia" w:ascii="仿宋" w:hAnsi="仿宋" w:eastAsia="仿宋"/>
          <w:b/>
          <w:bCs/>
          <w:color w:val="000000" w:themeColor="text1"/>
          <w:sz w:val="32"/>
          <w:szCs w:val="32"/>
          <w:highlight w:val="none"/>
          <w14:textFill>
            <w14:solidFill>
              <w14:schemeClr w14:val="tx1"/>
            </w14:solidFill>
          </w14:textFill>
        </w:rPr>
        <w:t>投标文件正本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副本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电子版</w:t>
      </w:r>
      <w:r>
        <w:rPr>
          <w:rFonts w:hint="eastAsia" w:ascii="仿宋" w:hAnsi="仿宋" w:eastAsia="仿宋"/>
          <w:b/>
          <w:bCs/>
          <w:color w:val="000000" w:themeColor="text1"/>
          <w:sz w:val="32"/>
          <w:szCs w:val="32"/>
          <w:highlight w:val="none"/>
          <w14:textFill>
            <w14:solidFill>
              <w14:schemeClr w14:val="tx1"/>
            </w14:solidFill>
          </w14:textFill>
        </w:rPr>
        <w:t>分别用信封密封</w:t>
      </w:r>
      <w:r>
        <w:rPr>
          <w:rFonts w:hint="eastAsia" w:ascii="仿宋" w:hAnsi="仿宋" w:eastAsia="仿宋"/>
          <w:color w:val="000000" w:themeColor="text1"/>
          <w:sz w:val="32"/>
          <w:szCs w:val="32"/>
          <w:highlight w:val="none"/>
          <w14:textFill>
            <w14:solidFill>
              <w14:schemeClr w14:val="tx1"/>
            </w14:solidFill>
          </w14:textFill>
        </w:rPr>
        <w:t>，并标明招标编号、招标项目名称、投标人名称等及“正本”</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“副本”</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电子版”</w:t>
      </w:r>
      <w:r>
        <w:rPr>
          <w:rFonts w:hint="eastAsia" w:ascii="仿宋" w:hAnsi="仿宋" w:eastAsia="仿宋"/>
          <w:color w:val="000000" w:themeColor="text1"/>
          <w:sz w:val="32"/>
          <w:szCs w:val="32"/>
          <w:highlight w:val="none"/>
          <w14:textFill>
            <w14:solidFill>
              <w14:schemeClr w14:val="tx1"/>
            </w14:solidFill>
          </w14:textFill>
        </w:rPr>
        <w:t>字样。投标文件未密封将导致其投标被拒绝。</w:t>
      </w:r>
    </w:p>
    <w:p w14:paraId="69464CD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14.2 </w:t>
      </w:r>
      <w:r>
        <w:rPr>
          <w:rFonts w:hint="eastAsia" w:ascii="仿宋" w:hAnsi="仿宋" w:eastAsia="仿宋"/>
          <w:b/>
          <w:bCs/>
          <w:color w:val="000000" w:themeColor="text1"/>
          <w:sz w:val="32"/>
          <w:szCs w:val="32"/>
          <w:highlight w:val="none"/>
          <w14:textFill>
            <w14:solidFill>
              <w14:schemeClr w14:val="tx1"/>
            </w14:solidFill>
          </w14:textFill>
        </w:rPr>
        <w:t>每一信封密封处应加盖投标人公章或由授权代表签字。</w:t>
      </w:r>
    </w:p>
    <w:p w14:paraId="23FFEA1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14.3投标人应将投标文件按照本须知第14.1条至第14.2条的规定进行密封和标记，按“投标人须知前附表”注明的地址和时间派专人送达接收人。</w:t>
      </w:r>
    </w:p>
    <w:p w14:paraId="558E7DC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14.4如果未按上述规定进行密封和标记，招标人将不承担由此造成的对投标文件的误投或提前拆封的责任。</w:t>
      </w:r>
    </w:p>
    <w:p w14:paraId="5E5FFB5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14.5投标文件应在投标邀请中规定的截止时间前送达，迟到的投标文件为无效投标文件, 将被拒收。</w:t>
      </w:r>
    </w:p>
    <w:p w14:paraId="5928082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14.6投标人在投标截止时间之前，允许对所提交的投标文件进行修改或者撤回，并书面通知招标人。修改的内容和撤回通知应当按本须知要求签署、盖章、密封，并作为投标文件的组成部分。</w:t>
      </w:r>
    </w:p>
    <w:p w14:paraId="6761BA4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14.7投标人在投标截止时间后不得修改、撤回投标文件。投标人在投标截止时间后修改投标文件的，其投标将被拒绝。</w:t>
      </w:r>
    </w:p>
    <w:p w14:paraId="2830D65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14.8投标截止时间结束后，参加投标的投标人不足三家的，本次招标程序终止。除采购任务取消情形外，招标人将依法重新组织招标或者采取竞争性谈判等其他方式采购。</w:t>
      </w:r>
      <w:bookmarkStart w:id="226" w:name="_Toc191892317"/>
      <w:bookmarkStart w:id="227" w:name="_Toc192925665"/>
    </w:p>
    <w:p w14:paraId="387861A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45FB2698">
      <w:pPr>
        <w:pStyle w:val="4"/>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228" w:name="_Toc6622"/>
      <w:bookmarkStart w:id="229" w:name="_Toc5276"/>
      <w:bookmarkStart w:id="230" w:name="_Toc15166"/>
      <w:bookmarkStart w:id="231" w:name="_Toc13160"/>
      <w:bookmarkStart w:id="232" w:name="_Toc18316"/>
      <w:bookmarkStart w:id="233" w:name="_Toc25355"/>
      <w:r>
        <w:rPr>
          <w:rFonts w:hint="eastAsia" w:ascii="仿宋" w:hAnsi="仿宋" w:eastAsia="仿宋"/>
          <w:color w:val="000000" w:themeColor="text1"/>
          <w:sz w:val="32"/>
          <w:highlight w:val="none"/>
          <w14:textFill>
            <w14:solidFill>
              <w14:schemeClr w14:val="tx1"/>
            </w14:solidFill>
          </w14:textFill>
        </w:rPr>
        <w:t>第五节</w:t>
      </w:r>
      <w:r>
        <w:rPr>
          <w:rFonts w:hint="eastAsia" w:ascii="仿宋" w:hAnsi="仿宋" w:eastAsia="仿宋"/>
          <w:color w:val="000000" w:themeColor="text1"/>
          <w:sz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投标文件的评估和比较</w:t>
      </w:r>
      <w:bookmarkEnd w:id="226"/>
      <w:bookmarkEnd w:id="227"/>
      <w:bookmarkEnd w:id="228"/>
      <w:bookmarkEnd w:id="229"/>
      <w:bookmarkEnd w:id="230"/>
      <w:bookmarkEnd w:id="231"/>
      <w:bookmarkEnd w:id="232"/>
      <w:bookmarkEnd w:id="233"/>
    </w:p>
    <w:p w14:paraId="1EB9505B">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34" w:name="_Toc11809"/>
      <w:bookmarkStart w:id="235" w:name="_Toc14849"/>
      <w:bookmarkStart w:id="236" w:name="_Toc24812"/>
      <w:bookmarkStart w:id="237" w:name="_Toc192925666"/>
      <w:bookmarkStart w:id="238" w:name="_Toc191892318"/>
      <w:bookmarkStart w:id="239" w:name="_Toc32176"/>
      <w:bookmarkStart w:id="240" w:name="_Toc6430"/>
      <w:bookmarkStart w:id="241" w:name="_Toc24284"/>
      <w:r>
        <w:rPr>
          <w:rFonts w:hint="eastAsia" w:ascii="仿宋" w:hAnsi="仿宋" w:eastAsia="仿宋"/>
          <w:color w:val="000000" w:themeColor="text1"/>
          <w:sz w:val="32"/>
          <w:highlight w:val="none"/>
          <w14:textFill>
            <w14:solidFill>
              <w14:schemeClr w14:val="tx1"/>
            </w14:solidFill>
          </w14:textFill>
        </w:rPr>
        <w:t>15．开标、评标时间</w:t>
      </w:r>
      <w:bookmarkEnd w:id="234"/>
      <w:bookmarkEnd w:id="235"/>
      <w:bookmarkEnd w:id="236"/>
      <w:bookmarkEnd w:id="237"/>
      <w:bookmarkEnd w:id="238"/>
      <w:bookmarkEnd w:id="239"/>
      <w:bookmarkEnd w:id="240"/>
      <w:bookmarkEnd w:id="241"/>
    </w:p>
    <w:p w14:paraId="391A42C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15.1 在“投标人须知前附表”（有延期通知的以延期通知为准）中所规定的时间、地点开标。</w:t>
      </w:r>
    </w:p>
    <w:p w14:paraId="0F191E6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15.2招标人负责组建评标委员会，评标委员会负责评标工作。</w:t>
      </w:r>
    </w:p>
    <w:p w14:paraId="0AD1204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15.3本项目采用综合评分法评选方法评定，公司纪检人员进行监督。</w:t>
      </w:r>
    </w:p>
    <w:p w14:paraId="62CA3BA2">
      <w:pPr>
        <w:pStyle w:val="5"/>
        <w:keepNext w:val="0"/>
        <w:keepLines w:val="0"/>
        <w:spacing w:before="0" w:after="0" w:line="500" w:lineRule="exact"/>
        <w:ind w:firstLine="643" w:firstLineChars="200"/>
        <w:rPr>
          <w:rFonts w:hint="eastAsia" w:ascii="仿宋" w:hAnsi="仿宋" w:eastAsia="仿宋"/>
          <w:color w:val="000000" w:themeColor="text1"/>
          <w:sz w:val="32"/>
          <w:highlight w:val="none"/>
          <w14:textFill>
            <w14:solidFill>
              <w14:schemeClr w14:val="tx1"/>
            </w14:solidFill>
          </w14:textFill>
        </w:rPr>
      </w:pPr>
      <w:bookmarkStart w:id="242" w:name="_Toc13612"/>
      <w:bookmarkStart w:id="243" w:name="_Toc25504"/>
      <w:bookmarkStart w:id="244" w:name="_Toc13617"/>
      <w:bookmarkStart w:id="245" w:name="_Toc17717"/>
      <w:bookmarkStart w:id="246" w:name="_Toc32265"/>
      <w:bookmarkStart w:id="247" w:name="_Toc22450"/>
      <w:r>
        <w:rPr>
          <w:rFonts w:hint="eastAsia" w:ascii="仿宋" w:hAnsi="仿宋" w:eastAsia="仿宋"/>
          <w:color w:val="000000" w:themeColor="text1"/>
          <w:sz w:val="32"/>
          <w:highlight w:val="none"/>
          <w14:textFill>
            <w14:solidFill>
              <w14:schemeClr w14:val="tx1"/>
            </w14:solidFill>
          </w14:textFill>
        </w:rPr>
        <w:t>16．评标委员会</w:t>
      </w:r>
      <w:bookmarkEnd w:id="242"/>
      <w:bookmarkEnd w:id="243"/>
      <w:bookmarkEnd w:id="244"/>
      <w:bookmarkEnd w:id="245"/>
      <w:bookmarkEnd w:id="246"/>
      <w:bookmarkEnd w:id="247"/>
    </w:p>
    <w:p w14:paraId="2F6DCDB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21BB3F83">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48" w:name="_Toc16128"/>
      <w:bookmarkStart w:id="249" w:name="_Toc14198"/>
      <w:bookmarkStart w:id="250" w:name="_Toc192925668"/>
      <w:bookmarkStart w:id="251" w:name="_Toc15363"/>
      <w:bookmarkStart w:id="252" w:name="_Toc6627"/>
      <w:bookmarkStart w:id="253" w:name="_Toc24824"/>
      <w:bookmarkStart w:id="254" w:name="_Toc23150"/>
      <w:bookmarkStart w:id="255" w:name="_Toc191892320"/>
      <w:r>
        <w:rPr>
          <w:rFonts w:hint="eastAsia" w:ascii="仿宋" w:hAnsi="仿宋" w:eastAsia="仿宋"/>
          <w:color w:val="000000" w:themeColor="text1"/>
          <w:sz w:val="32"/>
          <w:highlight w:val="none"/>
          <w14:textFill>
            <w14:solidFill>
              <w14:schemeClr w14:val="tx1"/>
            </w14:solidFill>
          </w14:textFill>
        </w:rPr>
        <w:t>17</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投标文件的初审</w:t>
      </w:r>
      <w:bookmarkEnd w:id="248"/>
      <w:bookmarkEnd w:id="249"/>
      <w:bookmarkEnd w:id="250"/>
      <w:bookmarkEnd w:id="251"/>
      <w:bookmarkEnd w:id="252"/>
      <w:bookmarkEnd w:id="253"/>
      <w:bookmarkEnd w:id="254"/>
      <w:bookmarkEnd w:id="255"/>
    </w:p>
    <w:p w14:paraId="08A33BF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对所有投标人的评估，都采用相同的程序和标准。评议过程将严格按照招标文件的要求和条件进行。</w:t>
      </w:r>
    </w:p>
    <w:p w14:paraId="65462A1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有关投标文件的审查、澄清、评估和比较以及推荐中标候选人的一切情况，都不得透露给任一投标人或与上述评标工作无关的人员。</w:t>
      </w:r>
    </w:p>
    <w:p w14:paraId="01C21D9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投标人任何试图影响评委会对投标文件的评估、比较或者推荐候选人的行为，都将导致其投标被拒绝，并被没收投标保证金。</w:t>
      </w:r>
    </w:p>
    <w:p w14:paraId="47593D2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17.1评标委员会将对投标文件进行审查，以确定投标文件是否完整、有无计算上的错误、是否提交了投标保证金、文件是否已正确签署。</w:t>
      </w:r>
    </w:p>
    <w:p w14:paraId="1EAC59F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17.2 算术错误将按以下方法更正：</w:t>
      </w:r>
    </w:p>
    <w:p w14:paraId="1FE304D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如投标文件中“开标一览表(报价表)”内容与投标文件中的明细表内容不一致的，以“开标一览表(报价表)”为准。</w:t>
      </w:r>
    </w:p>
    <w:p w14:paraId="3CCD66E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16F7DFF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如果投标人不接受按上述方法对投标文件中的算术错误进行更正，其投标将被拒绝并</w:t>
      </w:r>
      <w:r>
        <w:rPr>
          <w:rFonts w:hint="eastAsia" w:ascii="仿宋" w:hAnsi="仿宋" w:eastAsia="仿宋"/>
          <w:color w:val="000000" w:themeColor="text1"/>
          <w:sz w:val="32"/>
          <w:szCs w:val="32"/>
          <w:highlight w:val="none"/>
          <w:lang w:val="en-US" w:eastAsia="zh-CN"/>
          <w14:textFill>
            <w14:solidFill>
              <w14:schemeClr w14:val="tx1"/>
            </w14:solidFill>
          </w14:textFill>
        </w:rPr>
        <w:t>不退还</w:t>
      </w:r>
      <w:r>
        <w:rPr>
          <w:rFonts w:hint="eastAsia" w:ascii="仿宋" w:hAnsi="仿宋" w:eastAsia="仿宋"/>
          <w:color w:val="000000" w:themeColor="text1"/>
          <w:sz w:val="32"/>
          <w:szCs w:val="32"/>
          <w:highlight w:val="none"/>
          <w14:textFill>
            <w14:solidFill>
              <w14:schemeClr w14:val="tx1"/>
            </w14:solidFill>
          </w14:textFill>
        </w:rPr>
        <w:t>其投标保证金。</w:t>
      </w:r>
    </w:p>
    <w:p w14:paraId="3BEAA91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17.3 资格性检查和符合性检查 </w:t>
      </w:r>
    </w:p>
    <w:p w14:paraId="20AB7A1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17.3.</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30A5844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17.3.2符合性检查。依据招标文件的规定，评标委员会还将从投标文件的有效性、完整性和对招标文件的响应程度进行审查，以确定是否符合对招标文件的实质性要求做出响应。</w:t>
      </w:r>
    </w:p>
    <w:p w14:paraId="5EADA8C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实质性偏离是指：（</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）实质性影响合同的范围、质量和履行；（</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）实质性违背招标文件，限制了招标人的权利和中标人合同项下的义务；（</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）不公正地影响了其它作出实质性响应的投标人的竞争地位。</w:t>
      </w:r>
    </w:p>
    <w:p w14:paraId="5AFEDC7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对没有实质性响应的投标文件将不进行评估，其投标将被拒绝。</w:t>
      </w:r>
    </w:p>
    <w:p w14:paraId="22E31692">
      <w:pPr>
        <w:spacing w:line="500" w:lineRule="exact"/>
        <w:ind w:firstLine="640"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凡有</w:t>
      </w:r>
      <w:r>
        <w:rPr>
          <w:rFonts w:hint="eastAsia" w:ascii="仿宋" w:hAnsi="仿宋" w:eastAsia="仿宋"/>
          <w:b/>
          <w:color w:val="000000" w:themeColor="text1"/>
          <w:sz w:val="32"/>
          <w:szCs w:val="32"/>
          <w:highlight w:val="none"/>
          <w14:textFill>
            <w14:solidFill>
              <w14:schemeClr w14:val="tx1"/>
            </w14:solidFill>
          </w14:textFill>
        </w:rPr>
        <w:t>下列情况之一</w:t>
      </w:r>
      <w:r>
        <w:rPr>
          <w:rFonts w:hint="eastAsia" w:ascii="仿宋" w:hAnsi="仿宋" w:eastAsia="仿宋"/>
          <w:color w:val="000000" w:themeColor="text1"/>
          <w:sz w:val="32"/>
          <w:szCs w:val="32"/>
          <w:highlight w:val="none"/>
          <w14:textFill>
            <w14:solidFill>
              <w14:schemeClr w14:val="tx1"/>
            </w14:solidFill>
          </w14:textFill>
        </w:rPr>
        <w:t>者，投标文件也将被视为</w:t>
      </w:r>
      <w:r>
        <w:rPr>
          <w:rFonts w:hint="eastAsia" w:ascii="仿宋" w:hAnsi="仿宋" w:eastAsia="仿宋"/>
          <w:b/>
          <w:color w:val="000000" w:themeColor="text1"/>
          <w:sz w:val="32"/>
          <w:szCs w:val="32"/>
          <w:highlight w:val="none"/>
          <w14:textFill>
            <w14:solidFill>
              <w14:schemeClr w14:val="tx1"/>
            </w14:solidFill>
          </w14:textFill>
        </w:rPr>
        <w:t>未实质性响应招标文件要求：</w:t>
      </w:r>
    </w:p>
    <w:p w14:paraId="06A89077">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 投标文件未按照本须知第14条的规定进行密封、标记的；</w:t>
      </w:r>
    </w:p>
    <w:p w14:paraId="7839CDE7">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(2) 未按规定由投标人的法定代表人或其授权代表签字，或未加盖投标人公章的；或签字人未提供法定代表人有效授权委托书原件的；</w:t>
      </w:r>
    </w:p>
    <w:p w14:paraId="10336741">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(3) 未按规定提交投标保证金的；</w:t>
      </w:r>
    </w:p>
    <w:p w14:paraId="5DB11612">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(4) 投标有效期不满足招标文件要求的；</w:t>
      </w:r>
    </w:p>
    <w:p w14:paraId="4608C1C6">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(5) 投标内容与招标内容及要求有重大偏离或保留的；</w:t>
      </w:r>
    </w:p>
    <w:p w14:paraId="3C57CA5D">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(6) 投标人提交的是可选择的报价；</w:t>
      </w:r>
    </w:p>
    <w:p w14:paraId="15E3D684">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(7) 投标人未按规定对投标进行分项报价；</w:t>
      </w:r>
    </w:p>
    <w:p w14:paraId="1AE09F14">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(8) 一个投标人对同一个合同包不止投一个标的；</w:t>
      </w:r>
    </w:p>
    <w:p w14:paraId="61C0997B">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(9) 投标文件组成不符合招标文件要求的；</w:t>
      </w:r>
    </w:p>
    <w:p w14:paraId="43DA76B7">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(10) 投标文件中提供虚假或失实资料的；</w:t>
      </w:r>
    </w:p>
    <w:p w14:paraId="7B231D7D">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(11) 不符合招标文件中规定的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号条款或其它实质性条款要求的。</w:t>
      </w:r>
    </w:p>
    <w:p w14:paraId="3F10EF2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投标人存在</w:t>
      </w:r>
      <w:r>
        <w:rPr>
          <w:rFonts w:hint="eastAsia" w:ascii="仿宋" w:hAnsi="仿宋" w:eastAsia="仿宋"/>
          <w:b/>
          <w:bCs/>
          <w:color w:val="000000" w:themeColor="text1"/>
          <w:sz w:val="32"/>
          <w:szCs w:val="32"/>
          <w:highlight w:val="none"/>
          <w14:textFill>
            <w14:solidFill>
              <w14:schemeClr w14:val="tx1"/>
            </w14:solidFill>
          </w14:textFill>
        </w:rPr>
        <w:t>下列情形之一</w:t>
      </w:r>
      <w:r>
        <w:rPr>
          <w:rFonts w:hint="eastAsia" w:ascii="仿宋" w:hAnsi="仿宋" w:eastAsia="仿宋"/>
          <w:color w:val="000000" w:themeColor="text1"/>
          <w:sz w:val="32"/>
          <w:szCs w:val="32"/>
          <w:highlight w:val="none"/>
          <w14:textFill>
            <w14:solidFill>
              <w14:schemeClr w14:val="tx1"/>
            </w14:solidFill>
          </w14:textFill>
        </w:rPr>
        <w:t>的，将被认定为</w:t>
      </w:r>
      <w:r>
        <w:rPr>
          <w:rFonts w:hint="eastAsia" w:ascii="仿宋" w:hAnsi="仿宋" w:eastAsia="仿宋"/>
          <w:b/>
          <w:bCs/>
          <w:color w:val="000000" w:themeColor="text1"/>
          <w:sz w:val="32"/>
          <w:szCs w:val="32"/>
          <w:highlight w:val="none"/>
          <w14:textFill>
            <w14:solidFill>
              <w14:schemeClr w14:val="tx1"/>
            </w14:solidFill>
          </w14:textFill>
        </w:rPr>
        <w:t>串通投标行为并作无效投标处理</w:t>
      </w:r>
      <w:r>
        <w:rPr>
          <w:rFonts w:hint="eastAsia" w:ascii="仿宋" w:hAnsi="仿宋" w:eastAsia="仿宋"/>
          <w:color w:val="000000" w:themeColor="text1"/>
          <w:sz w:val="32"/>
          <w:szCs w:val="32"/>
          <w:highlight w:val="none"/>
          <w14:textFill>
            <w14:solidFill>
              <w14:schemeClr w14:val="tx1"/>
            </w14:solidFill>
          </w14:textFill>
        </w:rPr>
        <w:t>：</w:t>
      </w:r>
    </w:p>
    <w:p w14:paraId="292ED48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（1）投标人之间协商投标报价等投标文件的实质性内容；</w:t>
      </w:r>
    </w:p>
    <w:p w14:paraId="1FE5762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（2）投标人之间约定中标供应商；</w:t>
      </w:r>
    </w:p>
    <w:p w14:paraId="06BE153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（3）投标人之间约定部分投标人放弃投标或者中标；</w:t>
      </w:r>
    </w:p>
    <w:p w14:paraId="2C042A7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（4）属于同一集团、协会、商会等组织成员的投标人按照该组织要求协同投标；</w:t>
      </w:r>
    </w:p>
    <w:p w14:paraId="59F82A7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（5）投标人之间为谋取中标或者排斥特定投标人而采取的其他联合行动；</w:t>
      </w:r>
    </w:p>
    <w:p w14:paraId="5B858AB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（6）不同投标人的投标文件由同一单位或者个人编制；</w:t>
      </w:r>
    </w:p>
    <w:p w14:paraId="23FA472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（7）不同投标人委托同一单位或者个人办理投标事宜；</w:t>
      </w:r>
    </w:p>
    <w:p w14:paraId="7288D8E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（8）不同投标人的投标文件载明的项目管理成员为同一人；</w:t>
      </w:r>
    </w:p>
    <w:p w14:paraId="45C09F9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（9）不同投标人的投标文件异常一致或者投标报价呈规律性差异；</w:t>
      </w:r>
    </w:p>
    <w:p w14:paraId="086E7A3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（10）不同投标人的投标文件相互混装；</w:t>
      </w:r>
    </w:p>
    <w:p w14:paraId="48122DA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（11）不同投标人的投标保证金从同一单位或者个人的账户转出。</w:t>
      </w:r>
    </w:p>
    <w:p w14:paraId="57C91D1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（12）不同投标人的投标文件错、漏之处一致或雷同，且不能合理解释的；</w:t>
      </w:r>
    </w:p>
    <w:p w14:paraId="42EBE11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（13）不同的投标人的法定代表人、委托代理人等由同一个单位缴纳社会保险的；</w:t>
      </w:r>
    </w:p>
    <w:p w14:paraId="1701F55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（14）由同一人或分别由几个有利害关系的人携带两个以上（含两个）投标人的企业资料参与资格审查、领取招标资料，或代表两个以上（含两个）投标人参加招标答疑会、交纳或退还投标保证金、开标的；</w:t>
      </w:r>
    </w:p>
    <w:p w14:paraId="2520128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（15）有关法律、法规或规章规定的其他串通投标行为。</w:t>
      </w:r>
    </w:p>
    <w:p w14:paraId="408A266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评标委员会决定投标的响应性，只根据投标文件本身的内容，而不寻求其他的外部证据。</w:t>
      </w:r>
    </w:p>
    <w:p w14:paraId="21B45EB1">
      <w:pPr>
        <w:pStyle w:val="5"/>
        <w:keepNext w:val="0"/>
        <w:keepLines w:val="0"/>
        <w:spacing w:before="0" w:after="0" w:line="500" w:lineRule="exact"/>
        <w:ind w:firstLine="643" w:firstLineChars="200"/>
        <w:rPr>
          <w:rFonts w:hint="eastAsia" w:ascii="仿宋" w:hAnsi="仿宋" w:eastAsia="仿宋"/>
          <w:color w:val="000000" w:themeColor="text1"/>
          <w:sz w:val="32"/>
          <w:highlight w:val="none"/>
          <w14:textFill>
            <w14:solidFill>
              <w14:schemeClr w14:val="tx1"/>
            </w14:solidFill>
          </w14:textFill>
        </w:rPr>
      </w:pPr>
      <w:bookmarkStart w:id="256" w:name="_Toc15793"/>
      <w:bookmarkStart w:id="257" w:name="_Toc17091"/>
      <w:bookmarkStart w:id="258" w:name="_Toc14694"/>
      <w:bookmarkStart w:id="259" w:name="_Toc24556"/>
      <w:bookmarkStart w:id="260" w:name="_Toc20055"/>
      <w:bookmarkStart w:id="261" w:name="_Toc2404"/>
      <w:r>
        <w:rPr>
          <w:rFonts w:hint="eastAsia" w:ascii="仿宋" w:hAnsi="仿宋" w:eastAsia="仿宋"/>
          <w:color w:val="000000" w:themeColor="text1"/>
          <w:sz w:val="32"/>
          <w:highlight w:val="none"/>
          <w:lang w:val="en-US" w:eastAsia="zh-CN"/>
          <w14:textFill>
            <w14:solidFill>
              <w14:schemeClr w14:val="tx1"/>
            </w14:solidFill>
          </w14:textFill>
        </w:rPr>
        <w:t xml:space="preserve">18. </w:t>
      </w:r>
      <w:r>
        <w:rPr>
          <w:rFonts w:hint="eastAsia" w:ascii="仿宋" w:hAnsi="仿宋" w:eastAsia="仿宋"/>
          <w:color w:val="000000" w:themeColor="text1"/>
          <w:sz w:val="32"/>
          <w:highlight w:val="none"/>
          <w14:textFill>
            <w14:solidFill>
              <w14:schemeClr w14:val="tx1"/>
            </w14:solidFill>
          </w14:textFill>
        </w:rPr>
        <w:t>评标办法</w:t>
      </w:r>
      <w:bookmarkEnd w:id="256"/>
      <w:bookmarkEnd w:id="257"/>
      <w:bookmarkEnd w:id="258"/>
      <w:bookmarkEnd w:id="259"/>
      <w:bookmarkEnd w:id="260"/>
      <w:bookmarkEnd w:id="261"/>
    </w:p>
    <w:p w14:paraId="144888CA">
      <w:pPr>
        <w:widowControl/>
        <w:adjustRightInd w:val="0"/>
        <w:snapToGrid w:val="0"/>
        <w:spacing w:before="60" w:beforeLines="25" w:after="60"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本次招标采用综合评分法评标。</w:t>
      </w:r>
    </w:p>
    <w:p w14:paraId="65EC62A2">
      <w:pPr>
        <w:pStyle w:val="7"/>
        <w:snapToGrid w:val="0"/>
        <w:spacing w:line="500" w:lineRule="exact"/>
        <w:ind w:left="0" w:firstLine="643" w:firstLineChars="200"/>
        <w:rPr>
          <w:rFonts w:ascii="仿宋" w:hAnsi="仿宋" w:eastAsia="仿宋" w:cs="华文细黑"/>
          <w:b/>
          <w:color w:val="000000" w:themeColor="text1"/>
          <w:sz w:val="32"/>
          <w:szCs w:val="32"/>
          <w:highlight w:val="none"/>
          <w:lang w:eastAsia="zh-CN"/>
          <w14:textFill>
            <w14:solidFill>
              <w14:schemeClr w14:val="tx1"/>
            </w14:solidFill>
          </w14:textFill>
        </w:rPr>
      </w:pPr>
      <w:r>
        <w:rPr>
          <w:rFonts w:hint="eastAsia" w:ascii="仿宋" w:hAnsi="仿宋" w:eastAsia="仿宋" w:cs="华文细黑"/>
          <w:b/>
          <w:color w:val="000000" w:themeColor="text1"/>
          <w:sz w:val="32"/>
          <w:szCs w:val="32"/>
          <w:highlight w:val="none"/>
          <w:lang w:eastAsia="zh-CN"/>
          <w14:textFill>
            <w14:solidFill>
              <w14:schemeClr w14:val="tx1"/>
            </w14:solidFill>
          </w14:textFill>
        </w:rPr>
        <w:t>18.1具体的评标标准（评标办法）</w:t>
      </w:r>
    </w:p>
    <w:p w14:paraId="790D9366">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18.1.1初审合格（即资格性、符合性检查合格并按其他相关条款审查后）的投标人在三家以上（含三家）的，评标委员会将按以下评标方法与标准，对初审合格的投标文件进行商务和技术评估，综合比较与评价。</w:t>
      </w:r>
    </w:p>
    <w:p w14:paraId="2EDA6D5F">
      <w:pPr>
        <w:spacing w:line="500" w:lineRule="exact"/>
        <w:ind w:firstLine="472" w:firstLineChars="147"/>
        <w:rPr>
          <w:rStyle w:val="23"/>
          <w:rFonts w:ascii="仿宋" w:hAnsi="仿宋" w:eastAsia="仿宋" w:cs="华文细黑"/>
          <w:color w:val="000000" w:themeColor="text1"/>
          <w:sz w:val="32"/>
          <w:szCs w:val="32"/>
          <w:highlight w:val="none"/>
          <w14:textFill>
            <w14:solidFill>
              <w14:schemeClr w14:val="tx1"/>
            </w14:solidFill>
          </w14:textFill>
        </w:rPr>
      </w:pPr>
      <w:r>
        <w:rPr>
          <w:rStyle w:val="23"/>
          <w:rFonts w:hint="eastAsia" w:ascii="仿宋" w:hAnsi="仿宋" w:eastAsia="仿宋" w:cs="华文细黑"/>
          <w:color w:val="000000" w:themeColor="text1"/>
          <w:sz w:val="32"/>
          <w:szCs w:val="32"/>
          <w:highlight w:val="none"/>
          <w14:textFill>
            <w14:solidFill>
              <w14:schemeClr w14:val="tx1"/>
            </w14:solidFill>
          </w14:textFill>
        </w:rPr>
        <w:t>（1）技术分F1（</w:t>
      </w:r>
      <w:r>
        <w:rPr>
          <w:rFonts w:hint="eastAsia" w:ascii="仿宋" w:hAnsi="仿宋" w:eastAsia="仿宋" w:cs="华文细黑"/>
          <w:b/>
          <w:color w:val="000000" w:themeColor="text1"/>
          <w:sz w:val="32"/>
          <w:szCs w:val="32"/>
          <w:highlight w:val="none"/>
          <w14:textFill>
            <w14:solidFill>
              <w14:schemeClr w14:val="tx1"/>
            </w14:solidFill>
          </w14:textFill>
        </w:rPr>
        <w:t>满分</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30</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20"/>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245"/>
        <w:gridCol w:w="1099"/>
      </w:tblGrid>
      <w:tr w14:paraId="2EB49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vAlign w:val="center"/>
          </w:tcPr>
          <w:p w14:paraId="678DF7FD">
            <w:pPr>
              <w:pStyle w:val="29"/>
              <w:autoSpaceDE/>
              <w:autoSpaceDN/>
              <w:adjustRightInd/>
              <w:spacing w:line="500" w:lineRule="exact"/>
              <w:rPr>
                <w:rFonts w:ascii="仿宋" w:hAnsi="仿宋" w:eastAsia="仿宋" w:cs="华文细黑"/>
                <w:bCs/>
                <w:color w:val="000000" w:themeColor="text1"/>
                <w:kern w:val="10"/>
                <w:sz w:val="28"/>
                <w:szCs w:val="28"/>
                <w:highlight w:val="none"/>
                <w14:textFill>
                  <w14:solidFill>
                    <w14:schemeClr w14:val="tx1"/>
                  </w14:solidFill>
                </w14:textFill>
              </w:rPr>
            </w:pPr>
            <w:r>
              <w:rPr>
                <w:rFonts w:hint="eastAsia" w:ascii="仿宋" w:hAnsi="仿宋" w:eastAsia="仿宋" w:cs="华文细黑"/>
                <w:bCs/>
                <w:color w:val="000000" w:themeColor="text1"/>
                <w:kern w:val="10"/>
                <w:sz w:val="28"/>
                <w:szCs w:val="28"/>
                <w:highlight w:val="none"/>
                <w14:textFill>
                  <w14:solidFill>
                    <w14:schemeClr w14:val="tx1"/>
                  </w14:solidFill>
                </w14:textFill>
              </w:rPr>
              <w:t>序号</w:t>
            </w:r>
          </w:p>
        </w:tc>
        <w:tc>
          <w:tcPr>
            <w:tcW w:w="1842" w:type="dxa"/>
            <w:vAlign w:val="center"/>
          </w:tcPr>
          <w:p w14:paraId="1DAE72EE">
            <w:pPr>
              <w:pStyle w:val="29"/>
              <w:autoSpaceDE/>
              <w:autoSpaceDN/>
              <w:adjustRightInd/>
              <w:spacing w:line="500" w:lineRule="exact"/>
              <w:rPr>
                <w:rFonts w:ascii="仿宋" w:hAnsi="仿宋" w:eastAsia="仿宋" w:cs="华文细黑"/>
                <w:bCs/>
                <w:color w:val="000000" w:themeColor="text1"/>
                <w:kern w:val="2"/>
                <w:sz w:val="28"/>
                <w:szCs w:val="28"/>
                <w:highlight w:val="none"/>
                <w14:textFill>
                  <w14:solidFill>
                    <w14:schemeClr w14:val="tx1"/>
                  </w14:solidFill>
                </w14:textFill>
              </w:rPr>
            </w:pPr>
            <w:r>
              <w:rPr>
                <w:rFonts w:hint="eastAsia" w:ascii="仿宋" w:hAnsi="仿宋" w:eastAsia="仿宋" w:cs="华文细黑"/>
                <w:bCs/>
                <w:color w:val="000000" w:themeColor="text1"/>
                <w:kern w:val="2"/>
                <w:sz w:val="28"/>
                <w:szCs w:val="28"/>
                <w:highlight w:val="none"/>
                <w14:textFill>
                  <w14:solidFill>
                    <w14:schemeClr w14:val="tx1"/>
                  </w14:solidFill>
                </w14:textFill>
              </w:rPr>
              <w:t>评分项目</w:t>
            </w:r>
          </w:p>
        </w:tc>
        <w:tc>
          <w:tcPr>
            <w:tcW w:w="5245" w:type="dxa"/>
            <w:vAlign w:val="center"/>
          </w:tcPr>
          <w:p w14:paraId="6E884DC9">
            <w:pPr>
              <w:pStyle w:val="29"/>
              <w:autoSpaceDE/>
              <w:autoSpaceDN/>
              <w:adjustRightInd/>
              <w:spacing w:line="500" w:lineRule="exact"/>
              <w:rPr>
                <w:rFonts w:ascii="仿宋" w:hAnsi="仿宋" w:eastAsia="仿宋" w:cs="华文细黑"/>
                <w:bCs/>
                <w:color w:val="000000" w:themeColor="text1"/>
                <w:kern w:val="2"/>
                <w:sz w:val="28"/>
                <w:szCs w:val="28"/>
                <w:highlight w:val="none"/>
                <w14:textFill>
                  <w14:solidFill>
                    <w14:schemeClr w14:val="tx1"/>
                  </w14:solidFill>
                </w14:textFill>
              </w:rPr>
            </w:pPr>
            <w:r>
              <w:rPr>
                <w:rFonts w:hint="eastAsia" w:ascii="仿宋" w:hAnsi="仿宋" w:eastAsia="仿宋" w:cs="华文细黑"/>
                <w:bCs/>
                <w:color w:val="000000" w:themeColor="text1"/>
                <w:kern w:val="2"/>
                <w:sz w:val="28"/>
                <w:szCs w:val="28"/>
                <w:highlight w:val="none"/>
                <w14:textFill>
                  <w14:solidFill>
                    <w14:schemeClr w14:val="tx1"/>
                  </w14:solidFill>
                </w14:textFill>
              </w:rPr>
              <w:t>评分界定</w:t>
            </w:r>
          </w:p>
        </w:tc>
        <w:tc>
          <w:tcPr>
            <w:tcW w:w="1099" w:type="dxa"/>
            <w:vAlign w:val="center"/>
          </w:tcPr>
          <w:p w14:paraId="2E838754">
            <w:pPr>
              <w:pStyle w:val="29"/>
              <w:autoSpaceDE/>
              <w:autoSpaceDN/>
              <w:adjustRightInd/>
              <w:spacing w:line="500" w:lineRule="exact"/>
              <w:rPr>
                <w:rFonts w:hint="eastAsia" w:ascii="仿宋" w:hAnsi="仿宋" w:eastAsia="仿宋" w:cs="华文细黑"/>
                <w:bCs/>
                <w:color w:val="000000" w:themeColor="text1"/>
                <w:kern w:val="2"/>
                <w:sz w:val="28"/>
                <w:szCs w:val="28"/>
                <w:highlight w:val="none"/>
                <w14:textFill>
                  <w14:solidFill>
                    <w14:schemeClr w14:val="tx1"/>
                  </w14:solidFill>
                </w14:textFill>
              </w:rPr>
            </w:pPr>
            <w:r>
              <w:rPr>
                <w:rFonts w:hint="eastAsia" w:ascii="仿宋" w:hAnsi="仿宋" w:eastAsia="仿宋" w:cs="华文细黑"/>
                <w:bCs/>
                <w:color w:val="000000" w:themeColor="text1"/>
                <w:kern w:val="2"/>
                <w:sz w:val="28"/>
                <w:szCs w:val="28"/>
                <w:highlight w:val="none"/>
                <w:lang w:val="en-US" w:eastAsia="zh-CN"/>
                <w14:textFill>
                  <w14:solidFill>
                    <w14:schemeClr w14:val="tx1"/>
                  </w14:solidFill>
                </w14:textFill>
              </w:rPr>
              <w:t>满</w:t>
            </w:r>
            <w:r>
              <w:rPr>
                <w:rFonts w:hint="eastAsia" w:ascii="仿宋" w:hAnsi="仿宋" w:eastAsia="仿宋" w:cs="华文细黑"/>
                <w:bCs/>
                <w:color w:val="000000" w:themeColor="text1"/>
                <w:kern w:val="2"/>
                <w:sz w:val="28"/>
                <w:szCs w:val="28"/>
                <w:highlight w:val="none"/>
                <w14:textFill>
                  <w14:solidFill>
                    <w14:schemeClr w14:val="tx1"/>
                  </w14:solidFill>
                </w14:textFill>
              </w:rPr>
              <w:t>分</w:t>
            </w:r>
          </w:p>
          <w:p w14:paraId="283E27B4">
            <w:pPr>
              <w:pStyle w:val="29"/>
              <w:autoSpaceDE/>
              <w:autoSpaceDN/>
              <w:adjustRightInd/>
              <w:spacing w:line="500" w:lineRule="exact"/>
              <w:rPr>
                <w:rFonts w:ascii="仿宋" w:hAnsi="仿宋" w:eastAsia="仿宋" w:cs="华文细黑"/>
                <w:bCs/>
                <w:color w:val="000000" w:themeColor="text1"/>
                <w:kern w:val="2"/>
                <w:sz w:val="28"/>
                <w:szCs w:val="28"/>
                <w:highlight w:val="none"/>
                <w14:textFill>
                  <w14:solidFill>
                    <w14:schemeClr w14:val="tx1"/>
                  </w14:solidFill>
                </w14:textFill>
              </w:rPr>
            </w:pPr>
            <w:r>
              <w:rPr>
                <w:rFonts w:hint="eastAsia" w:ascii="仿宋" w:hAnsi="仿宋" w:eastAsia="仿宋" w:cs="华文细黑"/>
                <w:bCs/>
                <w:color w:val="000000" w:themeColor="text1"/>
                <w:kern w:val="2"/>
                <w:sz w:val="28"/>
                <w:szCs w:val="28"/>
                <w:highlight w:val="none"/>
                <w:lang w:val="en-US" w:eastAsia="zh-CN"/>
                <w14:textFill>
                  <w14:solidFill>
                    <w14:schemeClr w14:val="tx1"/>
                  </w14:solidFill>
                </w14:textFill>
              </w:rPr>
              <w:t>分</w:t>
            </w:r>
            <w:r>
              <w:rPr>
                <w:rFonts w:hint="eastAsia" w:ascii="仿宋" w:hAnsi="仿宋" w:eastAsia="仿宋" w:cs="华文细黑"/>
                <w:bCs/>
                <w:color w:val="000000" w:themeColor="text1"/>
                <w:kern w:val="2"/>
                <w:sz w:val="28"/>
                <w:szCs w:val="28"/>
                <w:highlight w:val="none"/>
                <w14:textFill>
                  <w14:solidFill>
                    <w14:schemeClr w14:val="tx1"/>
                  </w14:solidFill>
                </w14:textFill>
              </w:rPr>
              <w:t>值</w:t>
            </w:r>
          </w:p>
        </w:tc>
      </w:tr>
      <w:tr w14:paraId="106B4F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328490F2">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1</w:t>
            </w:r>
          </w:p>
        </w:tc>
        <w:tc>
          <w:tcPr>
            <w:tcW w:w="1842" w:type="dxa"/>
            <w:vAlign w:val="center"/>
          </w:tcPr>
          <w:p w14:paraId="39C1D912">
            <w:pPr>
              <w:spacing w:line="500" w:lineRule="exact"/>
              <w:ind w:right="31" w:rightChars="15"/>
              <w:jc w:val="center"/>
              <w:rPr>
                <w:rFonts w:hint="default" w:ascii="仿宋" w:hAnsi="仿宋" w:eastAsia="仿宋" w:cs="华文细黑"/>
                <w:color w:val="000000" w:themeColor="text1"/>
                <w:sz w:val="28"/>
                <w:szCs w:val="28"/>
                <w:highlight w:val="none"/>
                <w:lang w:val="en-US"/>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整体服务方案</w:t>
            </w:r>
          </w:p>
        </w:tc>
        <w:tc>
          <w:tcPr>
            <w:tcW w:w="5245" w:type="dxa"/>
            <w:vAlign w:val="center"/>
          </w:tcPr>
          <w:p w14:paraId="38E2DCBA">
            <w:pPr>
              <w:spacing w:line="500" w:lineRule="exact"/>
              <w:ind w:right="31" w:rightChars="15"/>
              <w:jc w:val="both"/>
              <w:rPr>
                <w:rFonts w:hint="eastAsia"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b w:val="0"/>
                <w:bCs w:val="0"/>
                <w:color w:val="000000" w:themeColor="text1"/>
                <w:kern w:val="2"/>
                <w:sz w:val="28"/>
                <w:szCs w:val="28"/>
                <w:highlight w:val="none"/>
                <w14:textFill>
                  <w14:solidFill>
                    <w14:schemeClr w14:val="tx1"/>
                  </w14:solidFill>
                </w14:textFill>
              </w:rPr>
              <w:t>整体服务方案</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有结合项目情况提供整体服务方案，明确服务流程、方法和预计效果的得</w:t>
            </w:r>
            <w:bookmarkStart w:id="262" w:name="OLE_LINK21"/>
            <w:r>
              <w:rPr>
                <w:rFonts w:hint="eastAsia" w:ascii="仿宋" w:hAnsi="仿宋" w:eastAsia="仿宋" w:cs="华文细黑"/>
                <w:color w:val="000000" w:themeColor="text1"/>
                <w:sz w:val="28"/>
                <w:szCs w:val="28"/>
                <w:highlight w:val="none"/>
                <w:lang w:val="en-US" w:eastAsia="zh-CN"/>
                <w14:textFill>
                  <w14:solidFill>
                    <w14:schemeClr w14:val="tx1"/>
                  </w14:solidFill>
                </w14:textFill>
              </w:rPr>
              <w:t>1.5</w:t>
            </w:r>
            <w:bookmarkEnd w:id="262"/>
            <w:r>
              <w:rPr>
                <w:rFonts w:hint="eastAsia" w:ascii="仿宋" w:hAnsi="仿宋" w:eastAsia="仿宋" w:cs="华文细黑"/>
                <w:color w:val="000000" w:themeColor="text1"/>
                <w:sz w:val="28"/>
                <w:szCs w:val="28"/>
                <w:highlight w:val="none"/>
                <w:lang w:val="en-US" w:eastAsia="zh-CN"/>
                <w14:textFill>
                  <w14:solidFill>
                    <w14:schemeClr w14:val="tx1"/>
                  </w14:solidFill>
                </w14:textFill>
              </w:rPr>
              <w:t>分；在此基础上，方案内容包含服务人员安排、现场协调管理等的得3分；未提供方案或方案不可行或不符合项目需求的不得分。</w:t>
            </w:r>
          </w:p>
        </w:tc>
        <w:tc>
          <w:tcPr>
            <w:tcW w:w="1099" w:type="dxa"/>
            <w:vAlign w:val="center"/>
          </w:tcPr>
          <w:p w14:paraId="2B8B40D7">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p>
        </w:tc>
      </w:tr>
      <w:tr w14:paraId="05B1F1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47B65D6F">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2</w:t>
            </w:r>
          </w:p>
        </w:tc>
        <w:tc>
          <w:tcPr>
            <w:tcW w:w="1842" w:type="dxa"/>
            <w:vAlign w:val="center"/>
          </w:tcPr>
          <w:p w14:paraId="5A5C1BEB">
            <w:pPr>
              <w:spacing w:line="500" w:lineRule="exact"/>
              <w:ind w:right="31" w:rightChars="15"/>
              <w:jc w:val="center"/>
              <w:rPr>
                <w:rFonts w:hint="eastAsia"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日常管理方案</w:t>
            </w:r>
          </w:p>
        </w:tc>
        <w:tc>
          <w:tcPr>
            <w:tcW w:w="5245" w:type="dxa"/>
            <w:vAlign w:val="center"/>
          </w:tcPr>
          <w:p w14:paraId="3EE3F5F9">
            <w:pPr>
              <w:spacing w:line="500" w:lineRule="exact"/>
              <w:ind w:right="31" w:rightChars="15"/>
              <w:jc w:val="left"/>
              <w:rPr>
                <w:rFonts w:hint="eastAsia"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日常管理方案（至少包括管理组织架构、管理职责、监督机制、信息反馈渠道及处理机制情况）进行评价：有提供方案的得1.5分；在此基础上提供的管理组织架构、管理职责、监督机制、信息反馈渠道及处理机制详尽完整，能够切实保障项目管理监督、信息反馈及时且能及时处理的得3分；未提供相关方案或方案不可行或不符合项目需求的不得分。</w:t>
            </w:r>
          </w:p>
        </w:tc>
        <w:tc>
          <w:tcPr>
            <w:tcW w:w="1099" w:type="dxa"/>
            <w:vAlign w:val="center"/>
          </w:tcPr>
          <w:p w14:paraId="05E5E352">
            <w:pPr>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bookmarkStart w:id="263" w:name="OLE_LINK5"/>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bookmarkEnd w:id="263"/>
          </w:p>
        </w:tc>
      </w:tr>
      <w:tr w14:paraId="7F1CF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2306D6D1">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3</w:t>
            </w:r>
          </w:p>
        </w:tc>
        <w:tc>
          <w:tcPr>
            <w:tcW w:w="1842" w:type="dxa"/>
            <w:vAlign w:val="center"/>
          </w:tcPr>
          <w:p w14:paraId="4C37195D">
            <w:pPr>
              <w:spacing w:line="500" w:lineRule="exact"/>
              <w:ind w:right="31" w:rightChars="15"/>
              <w:jc w:val="center"/>
              <w:rPr>
                <w:rFonts w:hint="default" w:ascii="仿宋" w:hAnsi="仿宋" w:eastAsia="仿宋" w:cs="华文细黑"/>
                <w:color w:val="000000" w:themeColor="text1"/>
                <w:sz w:val="28"/>
                <w:szCs w:val="28"/>
                <w:highlight w:val="none"/>
                <w:lang w:val="en-US"/>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团队培训计划方案</w:t>
            </w:r>
          </w:p>
        </w:tc>
        <w:tc>
          <w:tcPr>
            <w:tcW w:w="5245" w:type="dxa"/>
            <w:vAlign w:val="center"/>
          </w:tcPr>
          <w:p w14:paraId="1AC0A113">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64" w:name="OLE_LINK15"/>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团队培训计划方案</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bookmarkEnd w:id="264"/>
            <w:r>
              <w:rPr>
                <w:rFonts w:hint="eastAsia" w:ascii="仿宋" w:hAnsi="仿宋" w:eastAsia="仿宋" w:cs="华文细黑"/>
                <w:color w:val="000000" w:themeColor="text1"/>
                <w:sz w:val="28"/>
                <w:szCs w:val="28"/>
                <w:highlight w:val="none"/>
                <w:lang w:val="en-US" w:eastAsia="zh-CN"/>
                <w14:textFill>
                  <w14:solidFill>
                    <w14:schemeClr w14:val="tx1"/>
                  </w14:solidFill>
                </w14:textFill>
              </w:rPr>
              <w:t>结合项目实际情况提供训练内容、训练计划的得1.5分；在此基础上，方案描述详尽全面，有结合项目实际情况提供训练重点，能够切实保证项目顺利实施的得3分；未提供相关方案或方案不可行或不符合项目需求的不得分。</w:t>
            </w:r>
          </w:p>
        </w:tc>
        <w:tc>
          <w:tcPr>
            <w:tcW w:w="1099" w:type="dxa"/>
            <w:vAlign w:val="center"/>
          </w:tcPr>
          <w:p w14:paraId="5C463654">
            <w:pPr>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p>
        </w:tc>
      </w:tr>
      <w:tr w14:paraId="12E813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19BA8EC9">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4</w:t>
            </w:r>
          </w:p>
        </w:tc>
        <w:tc>
          <w:tcPr>
            <w:tcW w:w="1842" w:type="dxa"/>
            <w:vAlign w:val="center"/>
          </w:tcPr>
          <w:p w14:paraId="4EF3A7E2">
            <w:pPr>
              <w:spacing w:line="500" w:lineRule="exact"/>
              <w:ind w:right="31" w:rightChars="15"/>
              <w:jc w:val="center"/>
              <w:rPr>
                <w:rFonts w:hint="eastAsia"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人员稳定措施及监管措施</w:t>
            </w:r>
          </w:p>
        </w:tc>
        <w:tc>
          <w:tcPr>
            <w:tcW w:w="5245" w:type="dxa"/>
            <w:vAlign w:val="center"/>
          </w:tcPr>
          <w:p w14:paraId="615978F5">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人员稳定措施及监管措施</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有提供人员稳定措施，包含薪酬激励、制度激励、情感激励等措施内容的得1.5分；在此基础上，方案有包含但不限于因维序人员离职、辞退、人身伤害不能任岗等情况的人员补充、调度时间等特殊情况预案的得3分；未提供相关方案或方案不可行或不符合项目需求的不得分。</w:t>
            </w:r>
          </w:p>
        </w:tc>
        <w:tc>
          <w:tcPr>
            <w:tcW w:w="1099" w:type="dxa"/>
            <w:vAlign w:val="center"/>
          </w:tcPr>
          <w:p w14:paraId="7F6BB982">
            <w:pPr>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p>
        </w:tc>
      </w:tr>
      <w:tr w14:paraId="7D3215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4AADE2B2">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5</w:t>
            </w:r>
          </w:p>
        </w:tc>
        <w:tc>
          <w:tcPr>
            <w:tcW w:w="1842" w:type="dxa"/>
            <w:vAlign w:val="center"/>
          </w:tcPr>
          <w:p w14:paraId="65EDF0DF">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值班管理制度</w:t>
            </w:r>
          </w:p>
        </w:tc>
        <w:tc>
          <w:tcPr>
            <w:tcW w:w="5245" w:type="dxa"/>
            <w:vAlign w:val="center"/>
          </w:tcPr>
          <w:p w14:paraId="24A84EC3">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w:t>
            </w:r>
            <w:r>
              <w:rPr>
                <w:rFonts w:hint="eastAsia" w:ascii="仿宋" w:hAnsi="仿宋" w:eastAsia="仿宋" w:cs="华文细黑"/>
                <w:color w:val="000000" w:themeColor="text1"/>
                <w:kern w:val="2"/>
                <w:sz w:val="28"/>
                <w:szCs w:val="28"/>
                <w:highlight w:val="none"/>
                <w:lang w:val="en-US" w:eastAsia="zh-CN"/>
                <w14:textFill>
                  <w14:solidFill>
                    <w14:schemeClr w14:val="tx1"/>
                  </w14:solidFill>
                </w14:textFill>
              </w:rPr>
              <w:t>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值班管理制度</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至少包含值班记录、巡查记录、交接班记录、进出人员登记记录、值班时间，值班人员安排等）进行评价：有完整提供制度的得1.5分；在此基础上，能够针对本项目实际情况对制度描述详尽全面，能够切实保证在岗人员值班制度顺利实施的得3分；未提供相关制度或制度不可行或不符合项目需求的不得分。</w:t>
            </w:r>
          </w:p>
        </w:tc>
        <w:tc>
          <w:tcPr>
            <w:tcW w:w="1099" w:type="dxa"/>
            <w:vAlign w:val="center"/>
          </w:tcPr>
          <w:p w14:paraId="32A9E7C6">
            <w:pPr>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bookmarkStart w:id="265" w:name="OLE_LINK11"/>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bookmarkEnd w:id="265"/>
          </w:p>
        </w:tc>
      </w:tr>
      <w:tr w14:paraId="224EB7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0AFE66CA">
            <w:pPr>
              <w:adjustRightInd w:val="0"/>
              <w:snapToGrid w:val="0"/>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6</w:t>
            </w:r>
          </w:p>
        </w:tc>
        <w:tc>
          <w:tcPr>
            <w:tcW w:w="1842" w:type="dxa"/>
            <w:vAlign w:val="center"/>
          </w:tcPr>
          <w:p w14:paraId="25990589">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车辆停放管理方案</w:t>
            </w:r>
          </w:p>
        </w:tc>
        <w:tc>
          <w:tcPr>
            <w:tcW w:w="5245" w:type="dxa"/>
            <w:vAlign w:val="center"/>
          </w:tcPr>
          <w:p w14:paraId="7D1C3750">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66" w:name="OLE_LINK16"/>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车辆停放管理</w:t>
            </w:r>
            <w:r>
              <w:rPr>
                <w:rFonts w:hint="eastAsia" w:ascii="仿宋" w:hAnsi="仿宋" w:eastAsia="仿宋" w:cs="华文细黑"/>
                <w:b w:val="0"/>
                <w:bCs w:val="0"/>
                <w:color w:val="000000" w:themeColor="text1"/>
                <w:kern w:val="2"/>
                <w:sz w:val="28"/>
                <w:szCs w:val="28"/>
                <w:highlight w:val="none"/>
                <w14:textFill>
                  <w14:solidFill>
                    <w14:schemeClr w14:val="tx1"/>
                  </w14:solidFill>
                </w14:textFill>
              </w:rPr>
              <w:t>方案</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bookmarkEnd w:id="266"/>
            <w:r>
              <w:rPr>
                <w:rFonts w:hint="eastAsia" w:ascii="仿宋" w:hAnsi="仿宋" w:eastAsia="仿宋" w:cs="华文细黑"/>
                <w:color w:val="000000" w:themeColor="text1"/>
                <w:sz w:val="28"/>
                <w:szCs w:val="28"/>
                <w:highlight w:val="none"/>
                <w:lang w:val="en-US" w:eastAsia="zh-CN"/>
                <w14:textFill>
                  <w14:solidFill>
                    <w14:schemeClr w14:val="tx1"/>
                  </w14:solidFill>
                </w14:textFill>
              </w:rPr>
              <w:t>有提供方案，且内容至少包含车辆出入登记、车辆引导管理的工作流程的得1.5分；在此基础上，有定期总结工作并根据总结完善管理制度的具体措施的得3分；未提供相关方案或方案不可行或不符合项目需求的不得分。</w:t>
            </w:r>
          </w:p>
        </w:tc>
        <w:tc>
          <w:tcPr>
            <w:tcW w:w="1099" w:type="dxa"/>
            <w:vAlign w:val="center"/>
          </w:tcPr>
          <w:p w14:paraId="52CB4A9E">
            <w:pPr>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p>
        </w:tc>
      </w:tr>
      <w:tr w14:paraId="734ED1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3ACCDE56">
            <w:pPr>
              <w:adjustRightInd w:val="0"/>
              <w:snapToGrid w:val="0"/>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7</w:t>
            </w:r>
          </w:p>
        </w:tc>
        <w:tc>
          <w:tcPr>
            <w:tcW w:w="1842" w:type="dxa"/>
            <w:vAlign w:val="center"/>
          </w:tcPr>
          <w:p w14:paraId="0115268B">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67" w:name="OLE_LINK17"/>
            <w:r>
              <w:rPr>
                <w:rFonts w:hint="eastAsia" w:ascii="仿宋" w:hAnsi="仿宋" w:eastAsia="仿宋" w:cs="华文细黑"/>
                <w:color w:val="000000" w:themeColor="text1"/>
                <w:sz w:val="28"/>
                <w:szCs w:val="28"/>
                <w:highlight w:val="none"/>
                <w:lang w:val="en-US" w:eastAsia="zh-CN"/>
                <w14:textFill>
                  <w14:solidFill>
                    <w14:schemeClr w14:val="tx1"/>
                  </w14:solidFill>
                </w14:textFill>
              </w:rPr>
              <w:t>消防检查管理方案</w:t>
            </w:r>
            <w:bookmarkEnd w:id="267"/>
          </w:p>
        </w:tc>
        <w:tc>
          <w:tcPr>
            <w:tcW w:w="5245" w:type="dxa"/>
            <w:vAlign w:val="center"/>
          </w:tcPr>
          <w:p w14:paraId="34309854">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消防检查管理方案</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有提供方案，且内容至少包含消防安全管理工作流程及细则的得1.5分；在此基础上，有提供消防知识教育及保障服务质量措施的得3分；未提供相关方案或方案不可行或不符合项目需求的不得分。</w:t>
            </w:r>
          </w:p>
        </w:tc>
        <w:tc>
          <w:tcPr>
            <w:tcW w:w="1099" w:type="dxa"/>
            <w:vAlign w:val="center"/>
          </w:tcPr>
          <w:p w14:paraId="050A0733">
            <w:pPr>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68" w:name="OLE_LINK12"/>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bookmarkEnd w:id="268"/>
          </w:p>
        </w:tc>
      </w:tr>
      <w:tr w14:paraId="29456F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1840FCE6">
            <w:pPr>
              <w:adjustRightInd w:val="0"/>
              <w:snapToGrid w:val="0"/>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8</w:t>
            </w:r>
          </w:p>
        </w:tc>
        <w:tc>
          <w:tcPr>
            <w:tcW w:w="1842" w:type="dxa"/>
            <w:vAlign w:val="center"/>
          </w:tcPr>
          <w:p w14:paraId="217EF209">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应急处置方案及保证措施方案</w:t>
            </w:r>
          </w:p>
        </w:tc>
        <w:tc>
          <w:tcPr>
            <w:tcW w:w="5245" w:type="dxa"/>
            <w:vAlign w:val="center"/>
          </w:tcPr>
          <w:p w14:paraId="794DAA3F">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应急处置方案及保证措施方案</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包括但不限于防洪防台风、群体性突发事件、抢救救援、防交通意外、防火防盗等应急反应措施）进行评价：针对上述各种常见突发事件应分别制定相应的应急预案的得1.5分；在此基础上，针对上述突发事件处理服务制定工作细则、质量标准，定期总结工作完善制度的得3分；未提供相关方案或方案不可行或不符合项目需求的不得分。</w:t>
            </w:r>
          </w:p>
        </w:tc>
        <w:tc>
          <w:tcPr>
            <w:tcW w:w="1099" w:type="dxa"/>
            <w:vAlign w:val="center"/>
          </w:tcPr>
          <w:p w14:paraId="64A161CB">
            <w:pPr>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p>
        </w:tc>
      </w:tr>
      <w:tr w14:paraId="229FF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29FE3920">
            <w:pPr>
              <w:adjustRightInd w:val="0"/>
              <w:snapToGrid w:val="0"/>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9</w:t>
            </w:r>
          </w:p>
        </w:tc>
        <w:tc>
          <w:tcPr>
            <w:tcW w:w="1842" w:type="dxa"/>
            <w:vAlign w:val="center"/>
          </w:tcPr>
          <w:p w14:paraId="5634D029">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69" w:name="OLE_LINK18"/>
            <w:r>
              <w:rPr>
                <w:rFonts w:hint="eastAsia" w:ascii="仿宋" w:hAnsi="仿宋" w:eastAsia="仿宋" w:cs="华文细黑"/>
                <w:color w:val="000000" w:themeColor="text1"/>
                <w:sz w:val="28"/>
                <w:szCs w:val="28"/>
                <w:highlight w:val="none"/>
                <w:lang w:val="en-US" w:eastAsia="zh-CN"/>
                <w14:textFill>
                  <w14:solidFill>
                    <w14:schemeClr w14:val="tx1"/>
                  </w14:solidFill>
                </w14:textFill>
              </w:rPr>
              <w:t>人员考核方案</w:t>
            </w:r>
            <w:bookmarkEnd w:id="269"/>
          </w:p>
        </w:tc>
        <w:tc>
          <w:tcPr>
            <w:tcW w:w="5245" w:type="dxa"/>
            <w:vAlign w:val="center"/>
          </w:tcPr>
          <w:p w14:paraId="1FDD318D">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70" w:name="OLE_LINK19"/>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人员考核方案</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bookmarkEnd w:id="270"/>
            <w:r>
              <w:rPr>
                <w:rFonts w:hint="eastAsia" w:ascii="仿宋" w:hAnsi="仿宋" w:eastAsia="仿宋" w:cs="华文细黑"/>
                <w:color w:val="000000" w:themeColor="text1"/>
                <w:sz w:val="28"/>
                <w:szCs w:val="28"/>
                <w:highlight w:val="none"/>
                <w:lang w:val="en-US" w:eastAsia="zh-CN"/>
                <w14:textFill>
                  <w14:solidFill>
                    <w14:schemeClr w14:val="tx1"/>
                  </w14:solidFill>
                </w14:textFill>
              </w:rPr>
              <w:t>有提供服务人员考核方案，且内容包括考核计划、考核内容的1.5分；在此基础上，结合项目实际情况，有明确考核频率，可有效提高人员服务质量的得3分；未提供方案或者方案不可行或不符合项目需求的不得分。</w:t>
            </w:r>
          </w:p>
        </w:tc>
        <w:tc>
          <w:tcPr>
            <w:tcW w:w="1099" w:type="dxa"/>
            <w:vAlign w:val="center"/>
          </w:tcPr>
          <w:p w14:paraId="23B7DA90">
            <w:pPr>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p>
        </w:tc>
      </w:tr>
      <w:tr w14:paraId="70F93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6073017C">
            <w:pPr>
              <w:adjustRightInd w:val="0"/>
              <w:snapToGrid w:val="0"/>
              <w:spacing w:line="500" w:lineRule="exact"/>
              <w:jc w:val="center"/>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10</w:t>
            </w:r>
          </w:p>
        </w:tc>
        <w:tc>
          <w:tcPr>
            <w:tcW w:w="1842" w:type="dxa"/>
            <w:vAlign w:val="center"/>
          </w:tcPr>
          <w:p w14:paraId="7B857878">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71" w:name="OLE_LINK20"/>
            <w:r>
              <w:rPr>
                <w:rFonts w:hint="eastAsia" w:ascii="仿宋" w:hAnsi="仿宋" w:eastAsia="仿宋" w:cs="华文细黑"/>
                <w:color w:val="000000" w:themeColor="text1"/>
                <w:sz w:val="28"/>
                <w:szCs w:val="28"/>
                <w:highlight w:val="none"/>
                <w:lang w:val="en-US" w:eastAsia="zh-CN"/>
                <w14:textFill>
                  <w14:solidFill>
                    <w14:schemeClr w14:val="tx1"/>
                  </w14:solidFill>
                </w14:textFill>
              </w:rPr>
              <w:t>执勤巡逻防范方案</w:t>
            </w:r>
            <w:bookmarkEnd w:id="271"/>
          </w:p>
        </w:tc>
        <w:tc>
          <w:tcPr>
            <w:tcW w:w="5245" w:type="dxa"/>
            <w:vAlign w:val="center"/>
          </w:tcPr>
          <w:p w14:paraId="65BDF568">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kern w:val="2"/>
                <w:sz w:val="28"/>
                <w:szCs w:val="28"/>
                <w:highlight w:val="none"/>
                <w14:textFill>
                  <w14:solidFill>
                    <w14:schemeClr w14:val="tx1"/>
                  </w14:solidFill>
                </w14:textFill>
              </w:rPr>
              <w:t>根据投标人</w:t>
            </w:r>
            <w:r>
              <w:rPr>
                <w:rFonts w:hint="eastAsia" w:ascii="仿宋" w:hAnsi="仿宋" w:eastAsia="仿宋" w:cs="华文细黑"/>
                <w:color w:val="000000" w:themeColor="text1"/>
                <w:sz w:val="28"/>
                <w:szCs w:val="28"/>
                <w:highlight w:val="none"/>
                <w14:textFill>
                  <w14:solidFill>
                    <w14:schemeClr w14:val="tx1"/>
                  </w14:solidFill>
                </w14:textFill>
              </w:rPr>
              <w:t>针对本项目</w:t>
            </w:r>
            <w:r>
              <w:rPr>
                <w:rFonts w:hint="eastAsia" w:ascii="仿宋" w:hAnsi="仿宋" w:eastAsia="仿宋" w:cs="华文细黑"/>
                <w:color w:val="000000" w:themeColor="text1"/>
                <w:kern w:val="2"/>
                <w:sz w:val="28"/>
                <w:szCs w:val="28"/>
                <w:highlight w:val="none"/>
                <w14:textFill>
                  <w14:solidFill>
                    <w14:schemeClr w14:val="tx1"/>
                  </w14:solidFill>
                </w14:textFill>
              </w:rPr>
              <w:t>提供的</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执勤巡逻防范方案</w:t>
            </w:r>
            <w:r>
              <w:rPr>
                <w:rFonts w:hint="eastAsia" w:ascii="仿宋" w:hAnsi="仿宋" w:eastAsia="仿宋" w:cs="华文细黑"/>
                <w:color w:val="000000" w:themeColor="text1"/>
                <w:kern w:val="2"/>
                <w:sz w:val="28"/>
                <w:szCs w:val="28"/>
                <w:highlight w:val="none"/>
                <w14:textFill>
                  <w14:solidFill>
                    <w14:schemeClr w14:val="tx1"/>
                  </w14:solidFill>
                </w14:textFill>
              </w:rPr>
              <w:t>进行评价</w:t>
            </w:r>
            <w:r>
              <w:rPr>
                <w:rFonts w:hint="eastAsia" w:ascii="仿宋" w:hAnsi="仿宋" w:eastAsia="仿宋" w:cs="华文细黑"/>
                <w:color w:val="000000" w:themeColor="text1"/>
                <w:kern w:val="2"/>
                <w:sz w:val="28"/>
                <w:szCs w:val="28"/>
                <w:highlight w:val="none"/>
                <w:lang w:eastAsia="zh-CN"/>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有提供方案，且内容至少包含交换岗流程安排、夜间巡逻防范措施的得1.5分；在此基础上，能够针对本项目实际情况对方案描述详尽全面，提供恶劣天气巡逻防范措施的得3分；未提供相关方案或方案不可行或不符合项目需求的不得分。</w:t>
            </w:r>
          </w:p>
        </w:tc>
        <w:tc>
          <w:tcPr>
            <w:tcW w:w="1099" w:type="dxa"/>
            <w:vAlign w:val="center"/>
          </w:tcPr>
          <w:p w14:paraId="30211FFA">
            <w:pPr>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p>
        </w:tc>
      </w:tr>
    </w:tbl>
    <w:p w14:paraId="25E33A73">
      <w:pPr>
        <w:spacing w:before="120" w:beforeLines="50" w:after="120" w:afterLines="50" w:line="500" w:lineRule="exact"/>
        <w:ind w:right="-78"/>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（2）商务分F2（满分</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30</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20"/>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245"/>
        <w:gridCol w:w="1099"/>
      </w:tblGrid>
      <w:tr w14:paraId="635617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vAlign w:val="center"/>
          </w:tcPr>
          <w:p w14:paraId="19798CA5">
            <w:pPr>
              <w:pStyle w:val="29"/>
              <w:autoSpaceDE/>
              <w:autoSpaceDN/>
              <w:adjustRightInd/>
              <w:spacing w:line="500" w:lineRule="exact"/>
              <w:rPr>
                <w:rFonts w:ascii="仿宋" w:hAnsi="仿宋" w:eastAsia="仿宋" w:cs="华文细黑"/>
                <w:bCs/>
                <w:color w:val="000000" w:themeColor="text1"/>
                <w:kern w:val="10"/>
                <w:sz w:val="28"/>
                <w:szCs w:val="28"/>
                <w:highlight w:val="none"/>
                <w14:textFill>
                  <w14:solidFill>
                    <w14:schemeClr w14:val="tx1"/>
                  </w14:solidFill>
                </w14:textFill>
              </w:rPr>
            </w:pPr>
            <w:r>
              <w:rPr>
                <w:rFonts w:hint="eastAsia" w:ascii="仿宋" w:hAnsi="仿宋" w:eastAsia="仿宋" w:cs="华文细黑"/>
                <w:bCs/>
                <w:color w:val="000000" w:themeColor="text1"/>
                <w:kern w:val="10"/>
                <w:sz w:val="28"/>
                <w:szCs w:val="28"/>
                <w:highlight w:val="none"/>
                <w14:textFill>
                  <w14:solidFill>
                    <w14:schemeClr w14:val="tx1"/>
                  </w14:solidFill>
                </w14:textFill>
              </w:rPr>
              <w:t>序号</w:t>
            </w:r>
          </w:p>
        </w:tc>
        <w:tc>
          <w:tcPr>
            <w:tcW w:w="1842" w:type="dxa"/>
            <w:vAlign w:val="center"/>
          </w:tcPr>
          <w:p w14:paraId="4DBC37E7">
            <w:pPr>
              <w:pStyle w:val="29"/>
              <w:autoSpaceDE/>
              <w:autoSpaceDN/>
              <w:adjustRightInd/>
              <w:spacing w:line="500" w:lineRule="exact"/>
              <w:rPr>
                <w:rFonts w:ascii="仿宋" w:hAnsi="仿宋" w:eastAsia="仿宋" w:cs="华文细黑"/>
                <w:bCs/>
                <w:color w:val="000000" w:themeColor="text1"/>
                <w:kern w:val="2"/>
                <w:sz w:val="28"/>
                <w:szCs w:val="28"/>
                <w:highlight w:val="none"/>
                <w14:textFill>
                  <w14:solidFill>
                    <w14:schemeClr w14:val="tx1"/>
                  </w14:solidFill>
                </w14:textFill>
              </w:rPr>
            </w:pPr>
            <w:r>
              <w:rPr>
                <w:rFonts w:hint="eastAsia" w:ascii="仿宋" w:hAnsi="仿宋" w:eastAsia="仿宋" w:cs="华文细黑"/>
                <w:bCs/>
                <w:color w:val="000000" w:themeColor="text1"/>
                <w:kern w:val="2"/>
                <w:sz w:val="28"/>
                <w:szCs w:val="28"/>
                <w:highlight w:val="none"/>
                <w14:textFill>
                  <w14:solidFill>
                    <w14:schemeClr w14:val="tx1"/>
                  </w14:solidFill>
                </w14:textFill>
              </w:rPr>
              <w:t>评分项目</w:t>
            </w:r>
          </w:p>
        </w:tc>
        <w:tc>
          <w:tcPr>
            <w:tcW w:w="5245" w:type="dxa"/>
            <w:vAlign w:val="center"/>
          </w:tcPr>
          <w:p w14:paraId="3040FE2D">
            <w:pPr>
              <w:pStyle w:val="29"/>
              <w:autoSpaceDE/>
              <w:autoSpaceDN/>
              <w:adjustRightInd/>
              <w:spacing w:line="500" w:lineRule="exact"/>
              <w:rPr>
                <w:rFonts w:ascii="仿宋" w:hAnsi="仿宋" w:eastAsia="仿宋" w:cs="华文细黑"/>
                <w:bCs/>
                <w:color w:val="000000" w:themeColor="text1"/>
                <w:kern w:val="2"/>
                <w:sz w:val="28"/>
                <w:szCs w:val="28"/>
                <w:highlight w:val="none"/>
                <w14:textFill>
                  <w14:solidFill>
                    <w14:schemeClr w14:val="tx1"/>
                  </w14:solidFill>
                </w14:textFill>
              </w:rPr>
            </w:pPr>
            <w:r>
              <w:rPr>
                <w:rFonts w:hint="eastAsia" w:ascii="仿宋" w:hAnsi="仿宋" w:eastAsia="仿宋" w:cs="华文细黑"/>
                <w:bCs/>
                <w:color w:val="000000" w:themeColor="text1"/>
                <w:kern w:val="2"/>
                <w:sz w:val="28"/>
                <w:szCs w:val="28"/>
                <w:highlight w:val="none"/>
                <w14:textFill>
                  <w14:solidFill>
                    <w14:schemeClr w14:val="tx1"/>
                  </w14:solidFill>
                </w14:textFill>
              </w:rPr>
              <w:t>评分界定</w:t>
            </w:r>
          </w:p>
        </w:tc>
        <w:tc>
          <w:tcPr>
            <w:tcW w:w="1099" w:type="dxa"/>
            <w:vAlign w:val="center"/>
          </w:tcPr>
          <w:p w14:paraId="7EEF69A8">
            <w:pPr>
              <w:pStyle w:val="29"/>
              <w:autoSpaceDE/>
              <w:autoSpaceDN/>
              <w:adjustRightInd/>
              <w:spacing w:line="500" w:lineRule="exact"/>
              <w:rPr>
                <w:rFonts w:hint="eastAsia" w:ascii="仿宋" w:hAnsi="仿宋" w:eastAsia="仿宋" w:cs="华文细黑"/>
                <w:bCs/>
                <w:color w:val="000000" w:themeColor="text1"/>
                <w:kern w:val="2"/>
                <w:sz w:val="28"/>
                <w:szCs w:val="28"/>
                <w:highlight w:val="none"/>
                <w:lang w:val="en-US" w:eastAsia="zh-CN"/>
                <w14:textFill>
                  <w14:solidFill>
                    <w14:schemeClr w14:val="tx1"/>
                  </w14:solidFill>
                </w14:textFill>
              </w:rPr>
            </w:pPr>
            <w:r>
              <w:rPr>
                <w:rFonts w:hint="eastAsia" w:ascii="仿宋" w:hAnsi="仿宋" w:eastAsia="仿宋" w:cs="华文细黑"/>
                <w:bCs/>
                <w:color w:val="000000" w:themeColor="text1"/>
                <w:kern w:val="2"/>
                <w:sz w:val="28"/>
                <w:szCs w:val="28"/>
                <w:highlight w:val="none"/>
                <w:lang w:val="en-US" w:eastAsia="zh-CN"/>
                <w14:textFill>
                  <w14:solidFill>
                    <w14:schemeClr w14:val="tx1"/>
                  </w14:solidFill>
                </w14:textFill>
              </w:rPr>
              <w:t>满分</w:t>
            </w:r>
          </w:p>
          <w:p w14:paraId="1AA38468">
            <w:pPr>
              <w:pStyle w:val="29"/>
              <w:autoSpaceDE/>
              <w:autoSpaceDN/>
              <w:adjustRightInd/>
              <w:spacing w:line="500" w:lineRule="exact"/>
              <w:rPr>
                <w:rFonts w:ascii="仿宋" w:hAnsi="仿宋" w:eastAsia="仿宋" w:cs="华文细黑"/>
                <w:bCs/>
                <w:color w:val="000000" w:themeColor="text1"/>
                <w:kern w:val="2"/>
                <w:sz w:val="28"/>
                <w:szCs w:val="28"/>
                <w:highlight w:val="none"/>
                <w14:textFill>
                  <w14:solidFill>
                    <w14:schemeClr w14:val="tx1"/>
                  </w14:solidFill>
                </w14:textFill>
              </w:rPr>
            </w:pPr>
            <w:r>
              <w:rPr>
                <w:rFonts w:hint="eastAsia" w:ascii="仿宋" w:hAnsi="仿宋" w:eastAsia="仿宋" w:cs="华文细黑"/>
                <w:bCs/>
                <w:color w:val="000000" w:themeColor="text1"/>
                <w:kern w:val="2"/>
                <w:sz w:val="28"/>
                <w:szCs w:val="28"/>
                <w:highlight w:val="none"/>
                <w14:textFill>
                  <w14:solidFill>
                    <w14:schemeClr w14:val="tx1"/>
                  </w14:solidFill>
                </w14:textFill>
              </w:rPr>
              <w:t>分值</w:t>
            </w:r>
          </w:p>
        </w:tc>
      </w:tr>
      <w:tr w14:paraId="1600E3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5093465F">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1</w:t>
            </w:r>
          </w:p>
        </w:tc>
        <w:tc>
          <w:tcPr>
            <w:tcW w:w="1842" w:type="dxa"/>
            <w:vAlign w:val="center"/>
          </w:tcPr>
          <w:p w14:paraId="7E7464A1">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三体系认证证书</w:t>
            </w:r>
          </w:p>
        </w:tc>
        <w:tc>
          <w:tcPr>
            <w:tcW w:w="5245" w:type="dxa"/>
            <w:vAlign w:val="center"/>
          </w:tcPr>
          <w:p w14:paraId="4E59B96A">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投标人具备有效的ISO9001质量管理体系、ISO14001环境管理体系、ISO45001职业健康安全管理体系认证证书，每持有1项有效证书得2分，满分6分。投标人须提供有效期内的证书复印件及证书在全国认证认可信息公共服务平台（cx.cnca.cn）网站的查询截图。未提供或提供的材料不完整或材料内容不符合要求的不得分。</w:t>
            </w:r>
          </w:p>
        </w:tc>
        <w:tc>
          <w:tcPr>
            <w:tcW w:w="1099" w:type="dxa"/>
            <w:vAlign w:val="center"/>
          </w:tcPr>
          <w:p w14:paraId="5F93CACB">
            <w:pPr>
              <w:adjustRightInd/>
              <w:snapToGrid/>
              <w:spacing w:line="500" w:lineRule="exact"/>
              <w:jc w:val="center"/>
              <w:rPr>
                <w:rFonts w:hint="eastAsia"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6</w:t>
            </w:r>
            <w:r>
              <w:rPr>
                <w:rFonts w:hint="default" w:ascii="仿宋" w:hAnsi="仿宋" w:eastAsia="仿宋" w:cs="华文细黑"/>
                <w:color w:val="000000" w:themeColor="text1"/>
                <w:sz w:val="28"/>
                <w:szCs w:val="28"/>
                <w:highlight w:val="none"/>
                <w14:textFill>
                  <w14:solidFill>
                    <w14:schemeClr w14:val="tx1"/>
                  </w14:solidFill>
                </w14:textFill>
              </w:rPr>
              <w:t>分</w:t>
            </w:r>
          </w:p>
        </w:tc>
      </w:tr>
      <w:tr w14:paraId="3D905D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37B5E71B">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2</w:t>
            </w:r>
          </w:p>
        </w:tc>
        <w:tc>
          <w:tcPr>
            <w:tcW w:w="1842" w:type="dxa"/>
            <w:vAlign w:val="center"/>
          </w:tcPr>
          <w:p w14:paraId="54349C48">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反恐管理体系认证证书</w:t>
            </w:r>
          </w:p>
        </w:tc>
        <w:tc>
          <w:tcPr>
            <w:tcW w:w="5245" w:type="dxa"/>
            <w:vAlign w:val="center"/>
          </w:tcPr>
          <w:p w14:paraId="10A09313">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投标人具有反恐管理体系认证证书的得2分，投标人须提供有效期内的证书复印件</w:t>
            </w:r>
            <w:r>
              <w:rPr>
                <w:rFonts w:hint="eastAsia" w:ascii="仿宋" w:hAnsi="仿宋" w:eastAsia="仿宋" w:cs="华文细黑"/>
                <w:color w:val="000000" w:themeColor="text1"/>
                <w:kern w:val="2"/>
                <w:sz w:val="28"/>
                <w:szCs w:val="28"/>
                <w:highlight w:val="none"/>
                <w14:textFill>
                  <w14:solidFill>
                    <w14:schemeClr w14:val="tx1"/>
                  </w14:solidFill>
                </w14:textFill>
              </w:rPr>
              <w:t>及证书在全国认证认可信息公共服务平</w:t>
            </w:r>
            <w:r>
              <w:rPr>
                <w:rFonts w:hint="eastAsia" w:ascii="仿宋" w:hAnsi="仿宋" w:eastAsia="仿宋" w:cs="华文细黑"/>
                <w:color w:val="000000" w:themeColor="text1"/>
                <w:kern w:val="2"/>
                <w:sz w:val="28"/>
                <w:szCs w:val="28"/>
                <w:highlight w:val="none"/>
                <w:lang w:val="en-US" w:eastAsia="zh-CN"/>
                <w14:textFill>
                  <w14:solidFill>
                    <w14:schemeClr w14:val="tx1"/>
                  </w14:solidFill>
                </w14:textFill>
              </w:rPr>
              <w:t>台</w:t>
            </w:r>
            <w:r>
              <w:rPr>
                <w:rFonts w:hint="eastAsia" w:ascii="仿宋" w:hAnsi="仿宋" w:eastAsia="仿宋" w:cs="华文细黑"/>
                <w:color w:val="000000" w:themeColor="text1"/>
                <w:kern w:val="2"/>
                <w:sz w:val="28"/>
                <w:szCs w:val="28"/>
                <w:highlight w:val="none"/>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cx.cnca.cn</w:t>
            </w:r>
            <w:r>
              <w:rPr>
                <w:rFonts w:hint="eastAsia" w:ascii="仿宋" w:hAnsi="仿宋" w:eastAsia="仿宋" w:cs="华文细黑"/>
                <w:color w:val="000000" w:themeColor="text1"/>
                <w:kern w:val="2"/>
                <w:sz w:val="28"/>
                <w:szCs w:val="28"/>
                <w:highlight w:val="none"/>
                <w14:textFill>
                  <w14:solidFill>
                    <w14:schemeClr w14:val="tx1"/>
                  </w14:solidFill>
                </w14:textFill>
              </w:rPr>
              <w:t>）网站的查询截图。未提供或提供的材料不完整或材料内容不符合要求的不得分。</w:t>
            </w:r>
          </w:p>
        </w:tc>
        <w:tc>
          <w:tcPr>
            <w:tcW w:w="1099" w:type="dxa"/>
            <w:vAlign w:val="center"/>
          </w:tcPr>
          <w:p w14:paraId="0336189D">
            <w:pPr>
              <w:spacing w:line="500" w:lineRule="exact"/>
              <w:jc w:val="center"/>
              <w:rPr>
                <w:rFonts w:hint="eastAsia"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2</w:t>
            </w:r>
            <w:r>
              <w:rPr>
                <w:rFonts w:hint="default" w:ascii="仿宋" w:hAnsi="仿宋" w:eastAsia="仿宋" w:cs="华文细黑"/>
                <w:color w:val="000000" w:themeColor="text1"/>
                <w:sz w:val="28"/>
                <w:szCs w:val="28"/>
                <w:highlight w:val="none"/>
                <w14:textFill>
                  <w14:solidFill>
                    <w14:schemeClr w14:val="tx1"/>
                  </w14:solidFill>
                </w14:textFill>
              </w:rPr>
              <w:t>分</w:t>
            </w:r>
          </w:p>
        </w:tc>
      </w:tr>
      <w:tr w14:paraId="494BC2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6CF7164B">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3</w:t>
            </w:r>
          </w:p>
        </w:tc>
        <w:tc>
          <w:tcPr>
            <w:tcW w:w="1842" w:type="dxa"/>
            <w:vAlign w:val="center"/>
          </w:tcPr>
          <w:p w14:paraId="54A35F33">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保安服务管理体系认证证书</w:t>
            </w:r>
          </w:p>
        </w:tc>
        <w:tc>
          <w:tcPr>
            <w:tcW w:w="5245" w:type="dxa"/>
            <w:vAlign w:val="center"/>
          </w:tcPr>
          <w:p w14:paraId="3D1AFC2F">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投标人具有保安服务管理体系认证证书的得2分，投标人须提供有效期内的证书复印件</w:t>
            </w:r>
            <w:r>
              <w:rPr>
                <w:rFonts w:hint="eastAsia" w:ascii="仿宋" w:hAnsi="仿宋" w:eastAsia="仿宋" w:cs="华文细黑"/>
                <w:color w:val="000000" w:themeColor="text1"/>
                <w:kern w:val="2"/>
                <w:sz w:val="28"/>
                <w:szCs w:val="28"/>
                <w:highlight w:val="none"/>
                <w14:textFill>
                  <w14:solidFill>
                    <w14:schemeClr w14:val="tx1"/>
                  </w14:solidFill>
                </w14:textFill>
              </w:rPr>
              <w:t>及证书在全国认证认可信息公共服务平</w:t>
            </w:r>
            <w:r>
              <w:rPr>
                <w:rFonts w:hint="eastAsia" w:ascii="仿宋" w:hAnsi="仿宋" w:eastAsia="仿宋" w:cs="华文细黑"/>
                <w:color w:val="000000" w:themeColor="text1"/>
                <w:kern w:val="2"/>
                <w:sz w:val="28"/>
                <w:szCs w:val="28"/>
                <w:highlight w:val="none"/>
                <w:lang w:val="en-US" w:eastAsia="zh-CN"/>
                <w14:textFill>
                  <w14:solidFill>
                    <w14:schemeClr w14:val="tx1"/>
                  </w14:solidFill>
                </w14:textFill>
              </w:rPr>
              <w:t>台</w:t>
            </w:r>
            <w:r>
              <w:rPr>
                <w:rFonts w:hint="eastAsia" w:ascii="仿宋" w:hAnsi="仿宋" w:eastAsia="仿宋" w:cs="华文细黑"/>
                <w:color w:val="000000" w:themeColor="text1"/>
                <w:kern w:val="2"/>
                <w:sz w:val="28"/>
                <w:szCs w:val="28"/>
                <w:highlight w:val="none"/>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cx.cnca.cn</w:t>
            </w:r>
            <w:r>
              <w:rPr>
                <w:rFonts w:hint="eastAsia" w:ascii="仿宋" w:hAnsi="仿宋" w:eastAsia="仿宋" w:cs="华文细黑"/>
                <w:color w:val="000000" w:themeColor="text1"/>
                <w:kern w:val="2"/>
                <w:sz w:val="28"/>
                <w:szCs w:val="28"/>
                <w:highlight w:val="none"/>
                <w14:textFill>
                  <w14:solidFill>
                    <w14:schemeClr w14:val="tx1"/>
                  </w14:solidFill>
                </w14:textFill>
              </w:rPr>
              <w:t>）网站的查询截图。未提供或提供的材料不完整或材料内容不符合要求的不得分。</w:t>
            </w:r>
          </w:p>
        </w:tc>
        <w:tc>
          <w:tcPr>
            <w:tcW w:w="1099" w:type="dxa"/>
            <w:vAlign w:val="center"/>
          </w:tcPr>
          <w:p w14:paraId="177039E2">
            <w:pPr>
              <w:spacing w:line="500" w:lineRule="exact"/>
              <w:jc w:val="center"/>
              <w:rPr>
                <w:rFonts w:hint="eastAsia"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2</w:t>
            </w:r>
            <w:r>
              <w:rPr>
                <w:rFonts w:hint="eastAsia" w:ascii="仿宋" w:hAnsi="仿宋" w:eastAsia="仿宋" w:cs="华文细黑"/>
                <w:color w:val="000000" w:themeColor="text1"/>
                <w:sz w:val="28"/>
                <w:szCs w:val="28"/>
                <w:highlight w:val="none"/>
                <w14:textFill>
                  <w14:solidFill>
                    <w14:schemeClr w14:val="tx1"/>
                  </w14:solidFill>
                </w14:textFill>
              </w:rPr>
              <w:t>分</w:t>
            </w:r>
          </w:p>
        </w:tc>
      </w:tr>
      <w:tr w14:paraId="6F696B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3C58BEE9">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4</w:t>
            </w:r>
          </w:p>
        </w:tc>
        <w:tc>
          <w:tcPr>
            <w:tcW w:w="1842" w:type="dxa"/>
            <w:vAlign w:val="center"/>
          </w:tcPr>
          <w:p w14:paraId="4BE76C57">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企业管理制度</w:t>
            </w:r>
          </w:p>
        </w:tc>
        <w:tc>
          <w:tcPr>
            <w:tcW w:w="5245" w:type="dxa"/>
            <w:vAlign w:val="center"/>
          </w:tcPr>
          <w:p w14:paraId="6C441240">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根据投标人提供的企业管理制度进行评价：有提供①规章管理制度、②财务制度、③人员招聘制度的，得2分；未提供相关内容的不得分。</w:t>
            </w:r>
          </w:p>
        </w:tc>
        <w:tc>
          <w:tcPr>
            <w:tcW w:w="1099" w:type="dxa"/>
            <w:vAlign w:val="center"/>
          </w:tcPr>
          <w:p w14:paraId="37D1AC7F">
            <w:pPr>
              <w:spacing w:line="500" w:lineRule="exact"/>
              <w:jc w:val="center"/>
              <w:rPr>
                <w:rFonts w:hint="eastAsia" w:ascii="仿宋" w:hAnsi="仿宋" w:eastAsia="仿宋" w:cs="华文细黑"/>
                <w:color w:val="000000" w:themeColor="text1"/>
                <w:sz w:val="28"/>
                <w:szCs w:val="28"/>
                <w:highlight w:val="none"/>
                <w14:textFill>
                  <w14:solidFill>
                    <w14:schemeClr w14:val="tx1"/>
                  </w14:solidFill>
                </w14:textFill>
              </w:rPr>
            </w:pPr>
            <w:bookmarkStart w:id="272" w:name="OLE_LINK7"/>
            <w:r>
              <w:rPr>
                <w:rFonts w:hint="eastAsia" w:ascii="仿宋" w:hAnsi="仿宋" w:eastAsia="仿宋" w:cs="华文细黑"/>
                <w:color w:val="000000" w:themeColor="text1"/>
                <w:sz w:val="28"/>
                <w:szCs w:val="28"/>
                <w:highlight w:val="none"/>
                <w:lang w:val="en-US" w:eastAsia="zh-CN"/>
                <w14:textFill>
                  <w14:solidFill>
                    <w14:schemeClr w14:val="tx1"/>
                  </w14:solidFill>
                </w14:textFill>
              </w:rPr>
              <w:t>2</w:t>
            </w:r>
            <w:r>
              <w:rPr>
                <w:rFonts w:hint="eastAsia" w:ascii="仿宋" w:hAnsi="仿宋" w:eastAsia="仿宋" w:cs="华文细黑"/>
                <w:color w:val="000000" w:themeColor="text1"/>
                <w:sz w:val="28"/>
                <w:szCs w:val="28"/>
                <w:highlight w:val="none"/>
                <w14:textFill>
                  <w14:solidFill>
                    <w14:schemeClr w14:val="tx1"/>
                  </w14:solidFill>
                </w14:textFill>
              </w:rPr>
              <w:t>分</w:t>
            </w:r>
            <w:bookmarkEnd w:id="272"/>
          </w:p>
        </w:tc>
      </w:tr>
      <w:tr w14:paraId="7B0662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02E4B384">
            <w:pPr>
              <w:adjustRightInd w:val="0"/>
              <w:snapToGrid w:val="0"/>
              <w:spacing w:line="500" w:lineRule="exact"/>
              <w:jc w:val="center"/>
              <w:rPr>
                <w:rFonts w:ascii="仿宋" w:hAnsi="仿宋" w:eastAsia="仿宋" w:cs="华文细黑"/>
                <w:color w:val="000000" w:themeColor="text1"/>
                <w:sz w:val="28"/>
                <w:szCs w:val="28"/>
                <w:highlight w:val="none"/>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5</w:t>
            </w:r>
          </w:p>
        </w:tc>
        <w:tc>
          <w:tcPr>
            <w:tcW w:w="1842" w:type="dxa"/>
            <w:vAlign w:val="center"/>
          </w:tcPr>
          <w:p w14:paraId="3238F70D">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人身意外伤害保险</w:t>
            </w:r>
          </w:p>
        </w:tc>
        <w:tc>
          <w:tcPr>
            <w:tcW w:w="5245" w:type="dxa"/>
            <w:vAlign w:val="center"/>
          </w:tcPr>
          <w:p w14:paraId="18E8D73B">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投标人承诺“若中标，为选派至本项目的服务人员每人购买赔偿限额不低于人民币80万元的人身意外伤害保险（保险期至少覆盖本项目服务期），并自行承担保险费用。若中标人未按约定购买上述保险，招标人有权要求中标人限期整改，若中标人拒不整改或逾期整改，则招标人可提前终止本合同，若由此造成招标人经济损失，中标人需承担赔偿责任。”的得3分。投标人须提供书面承诺函（承诺函格式自拟），并加盖投标人公章，否则不得分。</w:t>
            </w:r>
          </w:p>
        </w:tc>
        <w:tc>
          <w:tcPr>
            <w:tcW w:w="1099" w:type="dxa"/>
            <w:vAlign w:val="center"/>
          </w:tcPr>
          <w:p w14:paraId="2E37ECB1">
            <w:pPr>
              <w:spacing w:line="500" w:lineRule="exact"/>
              <w:jc w:val="center"/>
              <w:rPr>
                <w:rFonts w:hint="eastAsia" w:ascii="仿宋" w:hAnsi="仿宋" w:eastAsia="仿宋" w:cs="华文细黑"/>
                <w:color w:val="000000" w:themeColor="text1"/>
                <w:sz w:val="28"/>
                <w:szCs w:val="28"/>
                <w:highlight w:val="none"/>
                <w14:textFill>
                  <w14:solidFill>
                    <w14:schemeClr w14:val="tx1"/>
                  </w14:solidFill>
                </w14:textFill>
              </w:rPr>
            </w:pPr>
            <w:bookmarkStart w:id="273" w:name="OLE_LINK6"/>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eastAsia" w:ascii="仿宋" w:hAnsi="仿宋" w:eastAsia="仿宋" w:cs="华文细黑"/>
                <w:color w:val="000000" w:themeColor="text1"/>
                <w:sz w:val="28"/>
                <w:szCs w:val="28"/>
                <w:highlight w:val="none"/>
                <w14:textFill>
                  <w14:solidFill>
                    <w14:schemeClr w14:val="tx1"/>
                  </w14:solidFill>
                </w14:textFill>
              </w:rPr>
              <w:t>分</w:t>
            </w:r>
            <w:bookmarkEnd w:id="273"/>
          </w:p>
        </w:tc>
      </w:tr>
      <w:tr w14:paraId="5D7540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65B59680">
            <w:pPr>
              <w:adjustRightInd w:val="0"/>
              <w:snapToGrid w:val="0"/>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6</w:t>
            </w:r>
          </w:p>
        </w:tc>
        <w:tc>
          <w:tcPr>
            <w:tcW w:w="1842" w:type="dxa"/>
            <w:vAlign w:val="center"/>
          </w:tcPr>
          <w:p w14:paraId="4DF9A1D9">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行政处罚</w:t>
            </w:r>
          </w:p>
        </w:tc>
        <w:tc>
          <w:tcPr>
            <w:tcW w:w="5245" w:type="dxa"/>
            <w:vAlign w:val="center"/>
          </w:tcPr>
          <w:p w14:paraId="1A358A3C">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投标人承诺“2022年1月1日至今，未因违反劳动保障法律法规受到市人力保障和社会保障部门的行政处罚。”的得2分。投标人须对此作出书面承诺并加盖投标人公章，否则不得分。</w:t>
            </w:r>
          </w:p>
        </w:tc>
        <w:tc>
          <w:tcPr>
            <w:tcW w:w="1099" w:type="dxa"/>
            <w:vAlign w:val="center"/>
          </w:tcPr>
          <w:p w14:paraId="53CCDAE4">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74" w:name="OLE_LINK13"/>
            <w:r>
              <w:rPr>
                <w:rFonts w:hint="eastAsia" w:ascii="仿宋" w:hAnsi="仿宋" w:eastAsia="仿宋" w:cs="华文细黑"/>
                <w:color w:val="000000" w:themeColor="text1"/>
                <w:sz w:val="28"/>
                <w:szCs w:val="28"/>
                <w:highlight w:val="none"/>
                <w:lang w:val="en-US" w:eastAsia="zh-CN"/>
                <w14:textFill>
                  <w14:solidFill>
                    <w14:schemeClr w14:val="tx1"/>
                  </w14:solidFill>
                </w14:textFill>
              </w:rPr>
              <w:t>2</w:t>
            </w:r>
            <w:r>
              <w:rPr>
                <w:rFonts w:hint="default" w:ascii="仿宋" w:hAnsi="仿宋" w:eastAsia="仿宋" w:cs="华文细黑"/>
                <w:color w:val="000000" w:themeColor="text1"/>
                <w:sz w:val="28"/>
                <w:szCs w:val="28"/>
                <w:highlight w:val="none"/>
                <w14:textFill>
                  <w14:solidFill>
                    <w14:schemeClr w14:val="tx1"/>
                  </w14:solidFill>
                </w14:textFill>
              </w:rPr>
              <w:t>分</w:t>
            </w:r>
            <w:bookmarkEnd w:id="274"/>
          </w:p>
        </w:tc>
      </w:tr>
      <w:tr w14:paraId="28DB89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45B668C5">
            <w:pPr>
              <w:adjustRightInd w:val="0"/>
              <w:snapToGrid w:val="0"/>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7</w:t>
            </w:r>
          </w:p>
        </w:tc>
        <w:tc>
          <w:tcPr>
            <w:tcW w:w="1842" w:type="dxa"/>
            <w:vAlign w:val="center"/>
          </w:tcPr>
          <w:p w14:paraId="360A7305">
            <w:pPr>
              <w:spacing w:line="500" w:lineRule="exact"/>
              <w:ind w:right="31" w:rightChars="15"/>
              <w:jc w:val="center"/>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人员安全</w:t>
            </w:r>
          </w:p>
        </w:tc>
        <w:tc>
          <w:tcPr>
            <w:tcW w:w="5245" w:type="dxa"/>
            <w:vAlign w:val="center"/>
          </w:tcPr>
          <w:p w14:paraId="74466EC1">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投标人承诺“中标后，在服务期内，对拟投入的所有人员及财物安全负全部责任，若发生人员安全或财物损失事故，中标人承担全部责任。”的得3分。投标人须对此作出书面承诺并加盖投标人公章，否则不得分。</w:t>
            </w:r>
          </w:p>
        </w:tc>
        <w:tc>
          <w:tcPr>
            <w:tcW w:w="1099" w:type="dxa"/>
            <w:vAlign w:val="center"/>
          </w:tcPr>
          <w:p w14:paraId="31958F56">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75" w:name="OLE_LINK14"/>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default" w:ascii="仿宋" w:hAnsi="仿宋" w:eastAsia="仿宋" w:cs="华文细黑"/>
                <w:color w:val="000000" w:themeColor="text1"/>
                <w:sz w:val="28"/>
                <w:szCs w:val="28"/>
                <w:highlight w:val="none"/>
                <w14:textFill>
                  <w14:solidFill>
                    <w14:schemeClr w14:val="tx1"/>
                  </w14:solidFill>
                </w14:textFill>
              </w:rPr>
              <w:t>分</w:t>
            </w:r>
            <w:bookmarkEnd w:id="275"/>
          </w:p>
        </w:tc>
      </w:tr>
      <w:tr w14:paraId="756583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5DCE8242">
            <w:pPr>
              <w:adjustRightInd w:val="0"/>
              <w:snapToGrid w:val="0"/>
              <w:spacing w:line="500" w:lineRule="exact"/>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8</w:t>
            </w:r>
          </w:p>
        </w:tc>
        <w:tc>
          <w:tcPr>
            <w:tcW w:w="1842" w:type="dxa"/>
            <w:vAlign w:val="center"/>
          </w:tcPr>
          <w:p w14:paraId="011D3DD5">
            <w:pPr>
              <w:spacing w:line="500" w:lineRule="exact"/>
              <w:ind w:right="31" w:rightChars="15"/>
              <w:jc w:val="center"/>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员工薪资</w:t>
            </w:r>
          </w:p>
        </w:tc>
        <w:tc>
          <w:tcPr>
            <w:tcW w:w="5245" w:type="dxa"/>
            <w:vAlign w:val="center"/>
          </w:tcPr>
          <w:p w14:paraId="337236E0">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投标人承诺“中标后，在服务期内，对拟投入的服务人员不得出现拖欠工资行为，若发生拖欠工资行为，招标人有权解除合同，且中标人须承担由此产生的全部责任。”得3分。投标人须对此作出书面承诺并加盖投标人公章，否则不得分。</w:t>
            </w:r>
          </w:p>
        </w:tc>
        <w:tc>
          <w:tcPr>
            <w:tcW w:w="1099" w:type="dxa"/>
            <w:vAlign w:val="center"/>
          </w:tcPr>
          <w:p w14:paraId="6455BA1C">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bookmarkStart w:id="276" w:name="OLE_LINK22"/>
            <w:r>
              <w:rPr>
                <w:rFonts w:hint="eastAsia" w:ascii="仿宋" w:hAnsi="仿宋" w:eastAsia="仿宋" w:cs="华文细黑"/>
                <w:color w:val="000000" w:themeColor="text1"/>
                <w:sz w:val="28"/>
                <w:szCs w:val="28"/>
                <w:highlight w:val="none"/>
                <w:lang w:val="en-US" w:eastAsia="zh-CN"/>
                <w14:textFill>
                  <w14:solidFill>
                    <w14:schemeClr w14:val="tx1"/>
                  </w14:solidFill>
                </w14:textFill>
              </w:rPr>
              <w:t>3</w:t>
            </w:r>
            <w:r>
              <w:rPr>
                <w:rFonts w:hint="default" w:ascii="仿宋" w:hAnsi="仿宋" w:eastAsia="仿宋" w:cs="华文细黑"/>
                <w:color w:val="000000" w:themeColor="text1"/>
                <w:sz w:val="28"/>
                <w:szCs w:val="28"/>
                <w:highlight w:val="none"/>
                <w14:textFill>
                  <w14:solidFill>
                    <w14:schemeClr w14:val="tx1"/>
                  </w14:solidFill>
                </w14:textFill>
              </w:rPr>
              <w:t>分</w:t>
            </w:r>
            <w:bookmarkEnd w:id="276"/>
          </w:p>
        </w:tc>
      </w:tr>
      <w:tr w14:paraId="73A16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6CC25699">
            <w:pPr>
              <w:adjustRightInd w:val="0"/>
              <w:snapToGrid w:val="0"/>
              <w:spacing w:line="500" w:lineRule="exact"/>
              <w:jc w:val="center"/>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9</w:t>
            </w:r>
          </w:p>
        </w:tc>
        <w:tc>
          <w:tcPr>
            <w:tcW w:w="1842" w:type="dxa"/>
            <w:vAlign w:val="center"/>
          </w:tcPr>
          <w:p w14:paraId="46C7B77E">
            <w:pPr>
              <w:spacing w:line="500" w:lineRule="exact"/>
              <w:ind w:right="31" w:rightChars="15"/>
              <w:jc w:val="center"/>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消控岗人员资质</w:t>
            </w:r>
          </w:p>
        </w:tc>
        <w:tc>
          <w:tcPr>
            <w:tcW w:w="5245" w:type="dxa"/>
            <w:vAlign w:val="center"/>
          </w:tcPr>
          <w:p w14:paraId="1425ED7E">
            <w:pPr>
              <w:spacing w:line="500" w:lineRule="exact"/>
              <w:ind w:right="31" w:rightChars="15"/>
              <w:jc w:val="left"/>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投标人拟派本项目消防中控岗位人员具有四级（中级）及以上建（构）筑物消防员[或消防设施操作员]证书的，每提供1人得0.5分，最高得4分，投标人须提供人员</w:t>
            </w:r>
            <w:r>
              <w:rPr>
                <w:rFonts w:hint="eastAsia" w:ascii="仿宋" w:hAnsi="仿宋" w:eastAsia="仿宋" w:cs="华文细黑"/>
                <w:color w:val="000000" w:themeColor="text1"/>
                <w:sz w:val="28"/>
                <w:szCs w:val="28"/>
                <w:highlight w:val="none"/>
                <w14:textFill>
                  <w14:solidFill>
                    <w14:schemeClr w14:val="tx1"/>
                  </w14:solidFill>
                </w14:textFill>
              </w:rPr>
              <w:t>有效证书复印件</w:t>
            </w:r>
            <w:r>
              <w:rPr>
                <w:rFonts w:hint="eastAsia" w:ascii="仿宋" w:hAnsi="仿宋" w:eastAsia="仿宋" w:cs="华文细黑"/>
                <w:color w:val="000000" w:themeColor="text1"/>
                <w:sz w:val="28"/>
                <w:szCs w:val="28"/>
                <w:highlight w:val="none"/>
                <w:lang w:eastAsia="zh-CN"/>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并承诺证书在</w:t>
            </w:r>
            <w:r>
              <w:rPr>
                <w:rFonts w:hint="eastAsia" w:ascii="仿宋" w:hAnsi="仿宋" w:eastAsia="仿宋" w:cs="华文细黑"/>
                <w:color w:val="000000" w:themeColor="text1"/>
                <w:kern w:val="2"/>
                <w:sz w:val="28"/>
                <w:szCs w:val="28"/>
                <w:highlight w:val="none"/>
                <w14:textFill>
                  <w14:solidFill>
                    <w14:schemeClr w14:val="tx1"/>
                  </w14:solidFill>
                </w14:textFill>
              </w:rPr>
              <w:t>全国联网查询网（http://zscx.osta.org.cn/）</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可查且真实有效，</w:t>
            </w:r>
            <w:r>
              <w:rPr>
                <w:rFonts w:hint="eastAsia" w:ascii="仿宋" w:hAnsi="仿宋" w:eastAsia="仿宋" w:cs="华文细黑"/>
                <w:color w:val="000000" w:themeColor="text1"/>
                <w:kern w:val="2"/>
                <w:sz w:val="28"/>
                <w:szCs w:val="28"/>
                <w:highlight w:val="none"/>
                <w:lang w:val="en-US" w:eastAsia="zh-CN"/>
                <w14:textFill>
                  <w14:solidFill>
                    <w14:schemeClr w14:val="tx1"/>
                  </w14:solidFill>
                </w14:textFill>
              </w:rPr>
              <w:t>投标人除按上述要求提供佐证资料外，还</w:t>
            </w:r>
            <w:r>
              <w:rPr>
                <w:rFonts w:hint="eastAsia" w:ascii="仿宋" w:hAnsi="仿宋" w:eastAsia="仿宋" w:cs="华文细黑"/>
                <w:color w:val="000000" w:themeColor="text1"/>
                <w:kern w:val="2"/>
                <w:sz w:val="28"/>
                <w:szCs w:val="28"/>
                <w:highlight w:val="none"/>
                <w14:textFill>
                  <w14:solidFill>
                    <w14:schemeClr w14:val="tx1"/>
                  </w14:solidFill>
                </w14:textFill>
              </w:rPr>
              <w:t>须</w:t>
            </w:r>
            <w:r>
              <w:rPr>
                <w:rFonts w:hint="eastAsia" w:ascii="仿宋" w:hAnsi="仿宋" w:eastAsia="仿宋" w:cs="华文细黑"/>
                <w:color w:val="000000" w:themeColor="text1"/>
                <w:kern w:val="2"/>
                <w:sz w:val="28"/>
                <w:szCs w:val="28"/>
                <w:highlight w:val="none"/>
                <w:lang w:val="en-US" w:eastAsia="zh-CN"/>
                <w14:textFill>
                  <w14:solidFill>
                    <w14:schemeClr w14:val="tx1"/>
                  </w14:solidFill>
                </w14:textFill>
              </w:rPr>
              <w:t>同时</w:t>
            </w:r>
            <w:r>
              <w:rPr>
                <w:rFonts w:hint="eastAsia" w:ascii="仿宋" w:hAnsi="仿宋" w:eastAsia="仿宋" w:cs="华文细黑"/>
                <w:color w:val="000000" w:themeColor="text1"/>
                <w:kern w:val="2"/>
                <w:sz w:val="28"/>
                <w:szCs w:val="28"/>
                <w:highlight w:val="none"/>
                <w14:textFill>
                  <w14:solidFill>
                    <w14:schemeClr w14:val="tx1"/>
                  </w14:solidFill>
                </w14:textFill>
              </w:rPr>
              <w:t>提供</w:t>
            </w:r>
            <w:r>
              <w:rPr>
                <w:rFonts w:hint="eastAsia" w:ascii="仿宋" w:hAnsi="仿宋" w:eastAsia="仿宋" w:cs="华文细黑"/>
                <w:color w:val="000000" w:themeColor="text1"/>
                <w:kern w:val="2"/>
                <w:sz w:val="28"/>
                <w:szCs w:val="28"/>
                <w:highlight w:val="none"/>
                <w:lang w:val="en-US" w:eastAsia="zh-CN"/>
                <w14:textFill>
                  <w14:solidFill>
                    <w14:schemeClr w14:val="tx1"/>
                  </w14:solidFill>
                </w14:textFill>
              </w:rPr>
              <w:t>人员有效身份证</w:t>
            </w:r>
            <w:r>
              <w:rPr>
                <w:rFonts w:hint="eastAsia" w:ascii="仿宋" w:hAnsi="仿宋" w:eastAsia="仿宋" w:cs="华文细黑"/>
                <w:color w:val="000000" w:themeColor="text1"/>
                <w:kern w:val="2"/>
                <w:sz w:val="28"/>
                <w:szCs w:val="28"/>
                <w:highlight w:val="none"/>
                <w14:textFill>
                  <w14:solidFill>
                    <w14:schemeClr w14:val="tx1"/>
                  </w14:solidFill>
                </w14:textFill>
              </w:rPr>
              <w:t>复印件，及投标截止时间</w:t>
            </w:r>
            <w:r>
              <w:rPr>
                <w:rFonts w:hint="eastAsia" w:ascii="仿宋" w:hAnsi="仿宋" w:eastAsia="仿宋" w:cs="华文细黑"/>
                <w:color w:val="000000" w:themeColor="text1"/>
                <w:sz w:val="28"/>
                <w:szCs w:val="28"/>
                <w:highlight w:val="none"/>
                <w14:textFill>
                  <w14:solidFill>
                    <w14:schemeClr w14:val="tx1"/>
                  </w14:solidFill>
                </w14:textFill>
              </w:rPr>
              <w:t>前三个月内任一个月投标人为其缴纳社保的证明（投标当月新成立尚未缴纳社保的企业，或享受社保减免政策的企业，提供说明或社保减免证明，视为社保资料符合要求），并加盖投标人公章，否则不得分。</w:t>
            </w:r>
          </w:p>
        </w:tc>
        <w:tc>
          <w:tcPr>
            <w:tcW w:w="1099" w:type="dxa"/>
            <w:vAlign w:val="center"/>
          </w:tcPr>
          <w:p w14:paraId="49208EC8">
            <w:pPr>
              <w:spacing w:line="500" w:lineRule="exact"/>
              <w:ind w:right="31" w:rightChars="15"/>
              <w:jc w:val="center"/>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4</w:t>
            </w:r>
            <w:r>
              <w:rPr>
                <w:rFonts w:hint="default" w:ascii="仿宋" w:hAnsi="仿宋" w:eastAsia="仿宋" w:cs="华文细黑"/>
                <w:color w:val="000000" w:themeColor="text1"/>
                <w:sz w:val="28"/>
                <w:szCs w:val="28"/>
                <w:highlight w:val="none"/>
                <w14:textFill>
                  <w14:solidFill>
                    <w14:schemeClr w14:val="tx1"/>
                  </w14:solidFill>
                </w14:textFill>
              </w:rPr>
              <w:t>分</w:t>
            </w:r>
          </w:p>
        </w:tc>
      </w:tr>
      <w:tr w14:paraId="59D052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7C3FF76C">
            <w:pPr>
              <w:adjustRightInd w:val="0"/>
              <w:snapToGrid w:val="0"/>
              <w:spacing w:line="500" w:lineRule="exact"/>
              <w:jc w:val="center"/>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10</w:t>
            </w:r>
          </w:p>
        </w:tc>
        <w:tc>
          <w:tcPr>
            <w:tcW w:w="1842" w:type="dxa"/>
            <w:vAlign w:val="center"/>
          </w:tcPr>
          <w:p w14:paraId="61D6440D">
            <w:pPr>
              <w:spacing w:line="500" w:lineRule="exact"/>
              <w:ind w:right="31" w:rightChars="15"/>
              <w:jc w:val="center"/>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维序领班资质</w:t>
            </w:r>
          </w:p>
        </w:tc>
        <w:tc>
          <w:tcPr>
            <w:tcW w:w="5245" w:type="dxa"/>
            <w:vAlign w:val="center"/>
          </w:tcPr>
          <w:p w14:paraId="6F577E4F">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根据投标人拟派本项目的维序领班的情况进行评价：</w:t>
            </w:r>
          </w:p>
          <w:p w14:paraId="3219B216">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①年龄45周岁（含）以下</w:t>
            </w:r>
            <w:r>
              <w:rPr>
                <w:rFonts w:hint="eastAsia" w:ascii="仿宋" w:hAnsi="仿宋" w:eastAsia="仿宋" w:cs="华文细黑"/>
                <w:color w:val="000000" w:themeColor="text1"/>
                <w:sz w:val="28"/>
                <w:szCs w:val="28"/>
                <w:highlight w:val="none"/>
                <w14:textFill>
                  <w14:solidFill>
                    <w14:schemeClr w14:val="tx1"/>
                  </w14:solidFill>
                </w14:textFill>
              </w:rPr>
              <w:t>【须提供有效身份证复印件】</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w:t>
            </w:r>
          </w:p>
          <w:p w14:paraId="7B8386FB">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②</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具有大专及以上学历</w:t>
            </w:r>
            <w:r>
              <w:rPr>
                <w:rFonts w:hint="eastAsia" w:ascii="仿宋" w:hAnsi="仿宋" w:eastAsia="仿宋" w:cs="华文细黑"/>
                <w:color w:val="000000" w:themeColor="text1"/>
                <w:sz w:val="28"/>
                <w:szCs w:val="28"/>
                <w:highlight w:val="none"/>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须提供学历证明复印件，并承诺学历证书在学信网（https://www.chsi.com.cn/）可查且真实有效</w:t>
            </w:r>
            <w:r>
              <w:rPr>
                <w:rFonts w:hint="eastAsia" w:ascii="仿宋" w:hAnsi="仿宋" w:eastAsia="仿宋" w:cs="华文细黑"/>
                <w:color w:val="000000" w:themeColor="text1"/>
                <w:sz w:val="28"/>
                <w:szCs w:val="28"/>
                <w:highlight w:val="none"/>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w:t>
            </w:r>
          </w:p>
          <w:p w14:paraId="365DF43E">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③</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持有四级（中级）及以上建（构）筑物消防员[或消防设施操作员]证书</w:t>
            </w:r>
            <w:r>
              <w:rPr>
                <w:rFonts w:hint="eastAsia" w:ascii="仿宋" w:hAnsi="仿宋" w:eastAsia="仿宋" w:cs="华文细黑"/>
                <w:color w:val="000000" w:themeColor="text1"/>
                <w:sz w:val="28"/>
                <w:szCs w:val="28"/>
                <w:highlight w:val="none"/>
                <w14:textFill>
                  <w14:solidFill>
                    <w14:schemeClr w14:val="tx1"/>
                  </w14:solidFill>
                </w14:textFill>
              </w:rPr>
              <w:t>【须提供有效</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证书复印件，并承诺证书在全国联网查询网（http://zscx.osta.org.cn/）可查且真实有效</w:t>
            </w:r>
            <w:r>
              <w:rPr>
                <w:rFonts w:hint="eastAsia" w:ascii="仿宋" w:hAnsi="仿宋" w:eastAsia="仿宋" w:cs="华文细黑"/>
                <w:color w:val="000000" w:themeColor="text1"/>
                <w:sz w:val="28"/>
                <w:szCs w:val="28"/>
                <w:highlight w:val="none"/>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w:t>
            </w:r>
          </w:p>
          <w:p w14:paraId="1BA57FF3">
            <w:pPr>
              <w:spacing w:line="500" w:lineRule="exact"/>
              <w:ind w:right="31" w:rightChars="15"/>
              <w:jc w:val="left"/>
              <w:rPr>
                <w:rFonts w:hint="eastAsia"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④具有退伍（役）军人证书或警校毕业的，</w:t>
            </w:r>
            <w:r>
              <w:rPr>
                <w:rFonts w:hint="eastAsia" w:ascii="仿宋" w:hAnsi="仿宋" w:eastAsia="仿宋" w:cs="华文细黑"/>
                <w:color w:val="000000" w:themeColor="text1"/>
                <w:sz w:val="28"/>
                <w:szCs w:val="28"/>
                <w:highlight w:val="none"/>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须提供人员有效证书复印件</w:t>
            </w:r>
            <w:r>
              <w:rPr>
                <w:rFonts w:hint="eastAsia" w:ascii="仿宋" w:hAnsi="仿宋" w:eastAsia="仿宋" w:cs="华文细黑"/>
                <w:color w:val="000000" w:themeColor="text1"/>
                <w:sz w:val="28"/>
                <w:szCs w:val="28"/>
                <w:highlight w:val="none"/>
                <w14:textFill>
                  <w14:solidFill>
                    <w14:schemeClr w14:val="tx1"/>
                  </w14:solidFill>
                </w14:textFill>
              </w:rPr>
              <w:t>】</w:t>
            </w:r>
            <w:r>
              <w:rPr>
                <w:rFonts w:hint="eastAsia" w:ascii="仿宋" w:hAnsi="仿宋" w:eastAsia="仿宋" w:cs="华文细黑"/>
                <w:color w:val="000000" w:themeColor="text1"/>
                <w:sz w:val="28"/>
                <w:szCs w:val="28"/>
                <w:highlight w:val="none"/>
                <w:lang w:val="en-US" w:eastAsia="zh-CN"/>
                <w14:textFill>
                  <w14:solidFill>
                    <w14:schemeClr w14:val="tx1"/>
                  </w14:solidFill>
                </w14:textFill>
              </w:rPr>
              <w:t>；</w:t>
            </w:r>
          </w:p>
          <w:p w14:paraId="7E727798">
            <w:pPr>
              <w:spacing w:line="500" w:lineRule="exact"/>
              <w:ind w:right="31" w:rightChars="15"/>
              <w:rPr>
                <w:rFonts w:hint="eastAsia"/>
                <w:color w:val="000000" w:themeColor="text1"/>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14:textFill>
                  <w14:solidFill>
                    <w14:schemeClr w14:val="tx1"/>
                  </w14:solidFill>
                </w14:textFill>
              </w:rPr>
              <w:t>完全满足以上要求的得3分，投标人</w:t>
            </w:r>
            <w:r>
              <w:rPr>
                <w:rFonts w:hint="eastAsia" w:ascii="仿宋" w:hAnsi="仿宋" w:eastAsia="仿宋" w:cs="华文细黑"/>
                <w:bCs w:val="0"/>
                <w:color w:val="000000" w:themeColor="text1"/>
                <w:sz w:val="28"/>
                <w:szCs w:val="28"/>
                <w:highlight w:val="none"/>
                <w14:textFill>
                  <w14:solidFill>
                    <w14:schemeClr w14:val="tx1"/>
                  </w14:solidFill>
                </w14:textFill>
              </w:rPr>
              <w:t>应同时提供上述人员</w:t>
            </w:r>
            <w:r>
              <w:rPr>
                <w:rFonts w:hint="eastAsia" w:ascii="仿宋" w:hAnsi="仿宋" w:eastAsia="仿宋" w:cs="华文细黑"/>
                <w:bCs w:val="0"/>
                <w:color w:val="000000" w:themeColor="text1"/>
                <w:sz w:val="28"/>
                <w:szCs w:val="28"/>
                <w:highlight w:val="none"/>
                <w:lang w:val="en-US" w:eastAsia="zh-CN"/>
                <w14:textFill>
                  <w14:solidFill>
                    <w14:schemeClr w14:val="tx1"/>
                  </w14:solidFill>
                </w14:textFill>
              </w:rPr>
              <w:t>的</w:t>
            </w:r>
            <w:r>
              <w:rPr>
                <w:rFonts w:hint="eastAsia" w:ascii="仿宋" w:hAnsi="仿宋" w:eastAsia="仿宋" w:cs="华文细黑"/>
                <w:color w:val="000000" w:themeColor="text1"/>
                <w:kern w:val="2"/>
                <w:sz w:val="28"/>
                <w:szCs w:val="28"/>
                <w:highlight w:val="none"/>
                <w14:textFill>
                  <w14:solidFill>
                    <w14:schemeClr w14:val="tx1"/>
                  </w14:solidFill>
                </w14:textFill>
              </w:rPr>
              <w:t>投标截止时间</w:t>
            </w:r>
            <w:r>
              <w:rPr>
                <w:rFonts w:hint="eastAsia" w:ascii="仿宋" w:hAnsi="仿宋" w:eastAsia="仿宋" w:cs="华文细黑"/>
                <w:color w:val="000000" w:themeColor="text1"/>
                <w:sz w:val="28"/>
                <w:szCs w:val="28"/>
                <w:highlight w:val="none"/>
                <w14:textFill>
                  <w14:solidFill>
                    <w14:schemeClr w14:val="tx1"/>
                  </w14:solidFill>
                </w14:textFill>
              </w:rPr>
              <w:t>前三个月内任一个月投标人为其缴纳社保的证明（投标当月新成立尚未缴纳社保的企业，或享受社保减免政策的企业，提供说明或社保减免证明，视为社保资料符合要求）并加盖投标人公章，否则不得分。</w:t>
            </w:r>
          </w:p>
        </w:tc>
        <w:tc>
          <w:tcPr>
            <w:tcW w:w="1099" w:type="dxa"/>
            <w:vAlign w:val="center"/>
          </w:tcPr>
          <w:p w14:paraId="3488A8C9">
            <w:pPr>
              <w:spacing w:line="500" w:lineRule="exact"/>
              <w:ind w:right="31" w:rightChars="15"/>
              <w:jc w:val="center"/>
              <w:rPr>
                <w:rFonts w:hint="default" w:ascii="仿宋" w:hAnsi="仿宋" w:eastAsia="仿宋" w:cs="华文细黑"/>
                <w:color w:val="000000" w:themeColor="text1"/>
                <w:sz w:val="28"/>
                <w:szCs w:val="28"/>
                <w:highlight w:val="none"/>
                <w:lang w:val="en-US" w:eastAsia="zh-CN"/>
                <w14:textFill>
                  <w14:solidFill>
                    <w14:schemeClr w14:val="tx1"/>
                  </w14:solidFill>
                </w14:textFill>
              </w:rPr>
            </w:pPr>
            <w:r>
              <w:rPr>
                <w:rFonts w:hint="eastAsia" w:ascii="仿宋" w:hAnsi="仿宋" w:eastAsia="仿宋" w:cs="华文细黑"/>
                <w:color w:val="000000" w:themeColor="text1"/>
                <w:sz w:val="28"/>
                <w:szCs w:val="28"/>
                <w:highlight w:val="none"/>
                <w:lang w:val="en-US" w:eastAsia="zh-CN"/>
                <w14:textFill>
                  <w14:solidFill>
                    <w14:schemeClr w14:val="tx1"/>
                  </w14:solidFill>
                </w14:textFill>
              </w:rPr>
              <w:t>3分</w:t>
            </w:r>
          </w:p>
        </w:tc>
      </w:tr>
    </w:tbl>
    <w:p w14:paraId="6E1FA06C">
      <w:pPr>
        <w:spacing w:before="120" w:beforeLines="50" w:line="500" w:lineRule="exact"/>
        <w:ind w:firstLine="314"/>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（3）价格分F3（满分</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40</w:t>
      </w:r>
      <w:r>
        <w:rPr>
          <w:rFonts w:hint="eastAsia" w:ascii="仿宋" w:hAnsi="仿宋" w:eastAsia="仿宋" w:cs="华文细黑"/>
          <w:b/>
          <w:color w:val="000000" w:themeColor="text1"/>
          <w:sz w:val="32"/>
          <w:szCs w:val="32"/>
          <w:highlight w:val="none"/>
          <w14:textFill>
            <w14:solidFill>
              <w14:schemeClr w14:val="tx1"/>
            </w14:solidFill>
          </w14:textFill>
        </w:rPr>
        <w:t>分）</w:t>
      </w:r>
    </w:p>
    <w:p w14:paraId="67FA75C1">
      <w:pPr>
        <w:spacing w:line="500" w:lineRule="exact"/>
        <w:ind w:firstLine="633" w:firstLineChars="198"/>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评标基准价计算方法采用低价优先法，即满足招标文件要求且评标价最低的评标价作为评标基准价，其价格分为满分。其他投标人价格分按下列公式计算：</w:t>
      </w:r>
    </w:p>
    <w:p w14:paraId="5E205663">
      <w:pPr>
        <w:spacing w:line="500" w:lineRule="exact"/>
        <w:ind w:firstLine="315" w:firstLineChars="98"/>
        <w:rPr>
          <w:rFonts w:hint="default" w:ascii="仿宋" w:hAnsi="仿宋" w:eastAsia="仿宋" w:cs="华文细黑"/>
          <w:b/>
          <w:color w:val="000000" w:themeColor="text1"/>
          <w:sz w:val="32"/>
          <w:szCs w:val="32"/>
          <w:highlight w:val="none"/>
          <w:lang w:val="en-US" w:eastAsia="zh-CN"/>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价格分=评标基准价/投标人的评标价×</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40</w:t>
      </w:r>
    </w:p>
    <w:p w14:paraId="6A70A4FD">
      <w:pPr>
        <w:spacing w:line="500" w:lineRule="exact"/>
        <w:ind w:firstLine="313" w:firstLineChars="98"/>
        <w:rPr>
          <w:rFonts w:ascii="仿宋" w:hAnsi="仿宋" w:eastAsia="仿宋" w:cs="华文细黑"/>
          <w:color w:val="000000" w:themeColor="text1"/>
          <w:spacing w:val="-4"/>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注：如投标人的投标报价存在</w:t>
      </w:r>
      <w:r>
        <w:rPr>
          <w:rFonts w:hint="eastAsia" w:ascii="仿宋" w:hAnsi="仿宋" w:eastAsia="仿宋" w:cs="华文细黑"/>
          <w:color w:val="000000" w:themeColor="text1"/>
          <w:spacing w:val="-4"/>
          <w:sz w:val="32"/>
          <w:szCs w:val="32"/>
          <w:highlight w:val="none"/>
          <w14:textFill>
            <w14:solidFill>
              <w14:schemeClr w14:val="tx1"/>
            </w14:solidFill>
          </w14:textFill>
        </w:rPr>
        <w:t>漏（缺）项的，按</w:t>
      </w:r>
      <w:r>
        <w:rPr>
          <w:rFonts w:hint="eastAsia" w:ascii="仿宋" w:hAnsi="仿宋" w:eastAsia="仿宋" w:cs="华文细黑"/>
          <w:color w:val="000000" w:themeColor="text1"/>
          <w:spacing w:val="-4"/>
          <w:sz w:val="32"/>
          <w:szCs w:val="32"/>
          <w:highlight w:val="none"/>
          <w:lang w:val="en-US" w:eastAsia="zh-CN"/>
          <w14:textFill>
            <w14:solidFill>
              <w14:schemeClr w14:val="tx1"/>
            </w14:solidFill>
          </w14:textFill>
        </w:rPr>
        <w:t>投标无效</w:t>
      </w:r>
      <w:r>
        <w:rPr>
          <w:rFonts w:hint="eastAsia" w:ascii="仿宋" w:hAnsi="仿宋" w:eastAsia="仿宋" w:cs="华文细黑"/>
          <w:color w:val="000000" w:themeColor="text1"/>
          <w:spacing w:val="-4"/>
          <w:sz w:val="32"/>
          <w:szCs w:val="32"/>
          <w:highlight w:val="none"/>
          <w14:textFill>
            <w14:solidFill>
              <w14:schemeClr w14:val="tx1"/>
            </w14:solidFill>
          </w14:textFill>
        </w:rPr>
        <w:t>处理。</w:t>
      </w:r>
    </w:p>
    <w:p w14:paraId="1E718F31">
      <w:pPr>
        <w:spacing w:line="500" w:lineRule="exact"/>
        <w:ind w:firstLine="321" w:firstLineChars="100"/>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 xml:space="preserve">（4）各初审合格投标人综合得分= F1＋F2＋F3 </w:t>
      </w:r>
    </w:p>
    <w:p w14:paraId="6B648B1C">
      <w:pPr>
        <w:spacing w:line="500" w:lineRule="exact"/>
        <w:ind w:firstLine="320" w:firstLineChars="1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说明：计算技术汇总得分、商务汇总得分及价格分时，经四舍五入后保留三位小数，计算投标人综合得分时，经四舍五入后保留两位小数。</w:t>
      </w:r>
    </w:p>
    <w:p w14:paraId="4737D77F">
      <w:pPr>
        <w:spacing w:line="500" w:lineRule="exact"/>
        <w:ind w:firstLine="643" w:firstLineChars="200"/>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18.2推荐中标候选人原则</w:t>
      </w:r>
    </w:p>
    <w:p w14:paraId="6B68F87F">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18.2.1排名及排名规则：评标委员会根据以下原则对初审合格的投标人进行排名：</w:t>
      </w:r>
    </w:p>
    <w:p w14:paraId="3EEC0BE1">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（1）综合得分高者排名在前，即：综合得分最高者排名第一，综合得分次高者排名第二，以此类推。</w:t>
      </w:r>
    </w:p>
    <w:p w14:paraId="1A848F97">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（2）综合得分相同时，投标报价低者排名在前；</w:t>
      </w:r>
    </w:p>
    <w:p w14:paraId="3A8D5426">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（3）综合得分相同且投标报价相同时，技术分得分高者（即F1得分高者）排名在前；</w:t>
      </w:r>
    </w:p>
    <w:p w14:paraId="524B69A4">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（4）以上办法都不能确定排名时，评标委员会根据有利于项目实施的原则确定排名。</w:t>
      </w:r>
    </w:p>
    <w:p w14:paraId="1006B2B6">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18.2.2推荐中标候选人：评标委员会将按比较与评价最优先原则，推荐出中标候选单位，其余的合格投标单位为备选供应商。</w:t>
      </w:r>
    </w:p>
    <w:p w14:paraId="2349B089">
      <w:pPr>
        <w:ind w:firstLine="643" w:firstLineChars="200"/>
        <w:rPr>
          <w:rFonts w:ascii="仿宋" w:hAnsi="仿宋" w:eastAsia="仿宋"/>
          <w:b/>
          <w:color w:val="000000" w:themeColor="text1"/>
          <w:sz w:val="32"/>
          <w:highlight w:val="none"/>
          <w14:textFill>
            <w14:solidFill>
              <w14:schemeClr w14:val="tx1"/>
            </w14:solidFill>
          </w14:textFill>
        </w:rPr>
      </w:pPr>
    </w:p>
    <w:p w14:paraId="1CE6F71B">
      <w:pPr>
        <w:ind w:firstLine="643" w:firstLineChars="200"/>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18.3.定标准则</w:t>
      </w:r>
    </w:p>
    <w:p w14:paraId="118FE49C">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1招标人将按照评标报告中推荐的中标候选人顺序确定拟中标人。</w:t>
      </w:r>
    </w:p>
    <w:p w14:paraId="258E8251">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2招标人将审查拟中标人的投标人资格、信誉、生产条件、产品技术状态、性能以及其它投标人认为有必要了解的问题。</w:t>
      </w:r>
    </w:p>
    <w:p w14:paraId="3E09E716">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3如果确定拟中标人无能力履行合同，其投标将被拒绝，招标人将对下一个可能中标的投标人做类似审查。</w:t>
      </w:r>
    </w:p>
    <w:p w14:paraId="2570D070">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18.3.4接受审查的拟中标人必须如实回答询问或接受招标人的考察，并提供所需的有关资料。</w:t>
      </w:r>
    </w:p>
    <w:p w14:paraId="57702173">
      <w:pPr>
        <w:adjustRightInd w:val="0"/>
        <w:snapToGrid w:val="0"/>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5中标通知书生效后，如果已中标的投标人不能按投标文件中承诺的条件履行签约行为，招标人有权在评标委员会推荐的中标候选人名单中按顺序选择新的合同授予人。</w:t>
      </w:r>
    </w:p>
    <w:p w14:paraId="4E31701B">
      <w:pPr>
        <w:adjustRightInd w:val="0"/>
        <w:snapToGrid w:val="0"/>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招标人有权在任何时间终止本项目的招标程序，投标人应承担项目终止的所有风险，招标人对此不承担任何责任并且无需向投标人作出任何解释。</w:t>
      </w:r>
    </w:p>
    <w:p w14:paraId="5422BA40">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77" w:name="_Toc191892321"/>
      <w:bookmarkStart w:id="278" w:name="_Toc28650"/>
      <w:bookmarkStart w:id="279" w:name="_Toc192925669"/>
      <w:bookmarkStart w:id="280" w:name="_Toc20239"/>
      <w:bookmarkStart w:id="281" w:name="_Toc11421"/>
      <w:bookmarkStart w:id="282" w:name="_Toc4446"/>
      <w:bookmarkStart w:id="283" w:name="_Toc11519"/>
      <w:bookmarkStart w:id="284" w:name="_Toc23490"/>
      <w:r>
        <w:rPr>
          <w:rFonts w:hint="eastAsia" w:ascii="仿宋" w:hAnsi="仿宋" w:eastAsia="仿宋"/>
          <w:color w:val="000000" w:themeColor="text1"/>
          <w:sz w:val="32"/>
          <w:highlight w:val="none"/>
          <w14:textFill>
            <w14:solidFill>
              <w14:schemeClr w14:val="tx1"/>
            </w14:solidFill>
          </w14:textFill>
        </w:rPr>
        <w:t>19. 投标文件的澄清</w:t>
      </w:r>
      <w:bookmarkEnd w:id="277"/>
      <w:bookmarkEnd w:id="278"/>
      <w:bookmarkEnd w:id="279"/>
      <w:bookmarkEnd w:id="280"/>
      <w:bookmarkEnd w:id="281"/>
      <w:bookmarkEnd w:id="282"/>
      <w:bookmarkEnd w:id="283"/>
      <w:bookmarkEnd w:id="284"/>
    </w:p>
    <w:p w14:paraId="5ABB835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58E0EBE2">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85" w:name="_Toc7762"/>
      <w:bookmarkStart w:id="286" w:name="_Toc22129"/>
      <w:bookmarkStart w:id="287" w:name="_Toc1354"/>
      <w:bookmarkStart w:id="288" w:name="_Toc4605"/>
      <w:bookmarkStart w:id="289" w:name="_Toc28053"/>
      <w:bookmarkStart w:id="290" w:name="_Toc28359"/>
      <w:bookmarkStart w:id="291" w:name="_Toc192925670"/>
      <w:bookmarkStart w:id="292" w:name="_Toc191892322"/>
      <w:r>
        <w:rPr>
          <w:rFonts w:hint="eastAsia" w:ascii="仿宋" w:hAnsi="仿宋" w:eastAsia="仿宋"/>
          <w:color w:val="000000" w:themeColor="text1"/>
          <w:sz w:val="32"/>
          <w:highlight w:val="none"/>
          <w14:textFill>
            <w14:solidFill>
              <w14:schemeClr w14:val="tx1"/>
            </w14:solidFill>
          </w14:textFill>
        </w:rPr>
        <w:t>20. 比较与评价</w:t>
      </w:r>
      <w:bookmarkEnd w:id="285"/>
      <w:bookmarkEnd w:id="286"/>
      <w:bookmarkEnd w:id="287"/>
      <w:bookmarkEnd w:id="288"/>
      <w:bookmarkEnd w:id="289"/>
      <w:bookmarkEnd w:id="290"/>
      <w:bookmarkEnd w:id="291"/>
      <w:bookmarkEnd w:id="292"/>
    </w:p>
    <w:p w14:paraId="40B3FF4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20.1 评标委员会将根据评标方法与标准，对资格性检查和符合性检查合格的投标文件，进行商务和技术评估，综合比较与评价。  </w:t>
      </w:r>
    </w:p>
    <w:p w14:paraId="49BAD5E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5691476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7F39CC2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20.4评标委员会将按比较与评价最优在先原则, 排列评价顺序, 根据在投标人须知前附表中确定的</w:t>
      </w:r>
      <w:bookmarkStart w:id="293" w:name="OLE_LINK1"/>
      <w:r>
        <w:rPr>
          <w:rFonts w:hint="eastAsia" w:ascii="仿宋" w:hAnsi="仿宋" w:eastAsia="仿宋"/>
          <w:color w:val="000000" w:themeColor="text1"/>
          <w:sz w:val="32"/>
          <w:szCs w:val="32"/>
          <w:highlight w:val="none"/>
          <w14:textFill>
            <w14:solidFill>
              <w14:schemeClr w14:val="tx1"/>
            </w14:solidFill>
          </w14:textFill>
        </w:rPr>
        <w:t>中标候选人</w:t>
      </w:r>
      <w:bookmarkEnd w:id="293"/>
      <w:r>
        <w:rPr>
          <w:rFonts w:hint="eastAsia" w:ascii="仿宋" w:hAnsi="仿宋" w:eastAsia="仿宋"/>
          <w:color w:val="000000" w:themeColor="text1"/>
          <w:sz w:val="32"/>
          <w:szCs w:val="32"/>
          <w:highlight w:val="none"/>
          <w14:textFill>
            <w14:solidFill>
              <w14:schemeClr w14:val="tx1"/>
            </w14:solidFill>
          </w14:textFill>
        </w:rPr>
        <w:t>数量，推荐出中标候选人。</w:t>
      </w:r>
    </w:p>
    <w:p w14:paraId="498ED55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20.5 在评标期间，若出现符合本须知规定的所有投标条件的投标人不足三家情形的，本次招标程序终止，除招标任务取消情形外，招标人将依法重新组织招标或者采取竞争性谈判等其他方式采购。</w:t>
      </w:r>
    </w:p>
    <w:p w14:paraId="5FB8AF4F">
      <w:pPr>
        <w:pStyle w:val="4"/>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294" w:name="_Toc10918"/>
      <w:bookmarkStart w:id="295" w:name="_Toc10718"/>
      <w:bookmarkStart w:id="296" w:name="_Toc17627"/>
      <w:bookmarkStart w:id="297" w:name="_Toc191892323"/>
      <w:bookmarkStart w:id="298" w:name="_Toc2497"/>
      <w:bookmarkStart w:id="299" w:name="_Toc192925671"/>
      <w:bookmarkStart w:id="300" w:name="_Toc27949"/>
      <w:bookmarkStart w:id="301" w:name="_Toc5947"/>
      <w:r>
        <w:rPr>
          <w:rFonts w:hint="eastAsia" w:ascii="仿宋" w:hAnsi="仿宋" w:eastAsia="仿宋"/>
          <w:color w:val="000000" w:themeColor="text1"/>
          <w:sz w:val="32"/>
          <w:highlight w:val="none"/>
          <w14:textFill>
            <w14:solidFill>
              <w14:schemeClr w14:val="tx1"/>
            </w14:solidFill>
          </w14:textFill>
        </w:rPr>
        <w:t>第六节 定标与签订合同</w:t>
      </w:r>
      <w:bookmarkEnd w:id="294"/>
      <w:bookmarkEnd w:id="295"/>
      <w:bookmarkEnd w:id="296"/>
      <w:bookmarkEnd w:id="297"/>
      <w:bookmarkEnd w:id="298"/>
      <w:bookmarkEnd w:id="299"/>
      <w:bookmarkEnd w:id="300"/>
      <w:bookmarkEnd w:id="301"/>
    </w:p>
    <w:p w14:paraId="2C1107F1">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02" w:name="_Toc17489"/>
      <w:bookmarkStart w:id="303" w:name="_Toc12667"/>
      <w:bookmarkStart w:id="304" w:name="_Toc27933"/>
      <w:bookmarkStart w:id="305" w:name="_Toc27202"/>
      <w:bookmarkStart w:id="306" w:name="_Toc192925672"/>
      <w:bookmarkStart w:id="307" w:name="_Toc19252"/>
      <w:bookmarkStart w:id="308" w:name="_Toc19656"/>
      <w:bookmarkStart w:id="309" w:name="_Toc191892324"/>
      <w:r>
        <w:rPr>
          <w:rFonts w:hint="eastAsia" w:ascii="仿宋" w:hAnsi="仿宋" w:eastAsia="仿宋"/>
          <w:color w:val="000000" w:themeColor="text1"/>
          <w:sz w:val="32"/>
          <w:highlight w:val="none"/>
          <w14:textFill>
            <w14:solidFill>
              <w14:schemeClr w14:val="tx1"/>
            </w14:solidFill>
          </w14:textFill>
        </w:rPr>
        <w:t>21</w:t>
      </w:r>
      <w:r>
        <w:rPr>
          <w:rFonts w:ascii="仿宋" w:hAnsi="仿宋" w:eastAsia="仿宋"/>
          <w:color w:val="000000" w:themeColor="text1"/>
          <w:sz w:val="32"/>
          <w:highlight w:val="none"/>
          <w14:textFill>
            <w14:solidFill>
              <w14:schemeClr w14:val="tx1"/>
            </w14:solidFill>
          </w14:textFill>
        </w:rPr>
        <w:t>.</w:t>
      </w:r>
      <w:r>
        <w:rPr>
          <w:rFonts w:hint="eastAsia" w:ascii="仿宋" w:hAnsi="仿宋" w:eastAsia="仿宋"/>
          <w:color w:val="000000" w:themeColor="text1"/>
          <w:sz w:val="32"/>
          <w:highlight w:val="none"/>
          <w14:textFill>
            <w14:solidFill>
              <w14:schemeClr w14:val="tx1"/>
            </w14:solidFill>
          </w14:textFill>
        </w:rPr>
        <w:t xml:space="preserve"> 定标准则</w:t>
      </w:r>
      <w:bookmarkEnd w:id="302"/>
      <w:bookmarkEnd w:id="303"/>
      <w:bookmarkEnd w:id="304"/>
      <w:bookmarkEnd w:id="305"/>
      <w:bookmarkEnd w:id="306"/>
      <w:bookmarkEnd w:id="307"/>
      <w:bookmarkEnd w:id="308"/>
      <w:bookmarkEnd w:id="309"/>
    </w:p>
    <w:p w14:paraId="501082B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投标人的投标文件符合招标文件要求，按招标文件确定评标标准、方法，经评委评审并推荐中标候选人。</w:t>
      </w:r>
    </w:p>
    <w:p w14:paraId="21606614">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10" w:name="_Toc17621"/>
      <w:bookmarkStart w:id="311" w:name="_Toc191892325"/>
      <w:bookmarkStart w:id="312" w:name="_Toc7629"/>
      <w:bookmarkStart w:id="313" w:name="_Toc27495"/>
      <w:bookmarkStart w:id="314" w:name="_Toc192925673"/>
      <w:bookmarkStart w:id="315" w:name="_Toc26356"/>
      <w:bookmarkStart w:id="316" w:name="_Toc16690"/>
      <w:bookmarkStart w:id="317" w:name="_Toc13099"/>
      <w:r>
        <w:rPr>
          <w:rFonts w:hint="eastAsia" w:ascii="仿宋" w:hAnsi="仿宋" w:eastAsia="仿宋"/>
          <w:color w:val="000000" w:themeColor="text1"/>
          <w:sz w:val="32"/>
          <w:highlight w:val="none"/>
          <w14:textFill>
            <w14:solidFill>
              <w14:schemeClr w14:val="tx1"/>
            </w14:solidFill>
          </w14:textFill>
        </w:rPr>
        <w:t>22</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中标通知</w:t>
      </w:r>
      <w:bookmarkEnd w:id="310"/>
      <w:bookmarkEnd w:id="311"/>
      <w:bookmarkEnd w:id="312"/>
      <w:bookmarkEnd w:id="313"/>
      <w:bookmarkEnd w:id="314"/>
      <w:bookmarkEnd w:id="315"/>
      <w:bookmarkEnd w:id="316"/>
      <w:bookmarkEnd w:id="317"/>
    </w:p>
    <w:p w14:paraId="0D22FCF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w:t>
      </w:r>
      <w:r>
        <w:rPr>
          <w:rFonts w:ascii="仿宋" w:hAnsi="仿宋" w:eastAsia="仿宋"/>
          <w:color w:val="000000" w:themeColor="text1"/>
          <w:sz w:val="32"/>
          <w:szCs w:val="32"/>
          <w:highlight w:val="none"/>
          <w14:textFill>
            <w14:solidFill>
              <w14:schemeClr w14:val="tx1"/>
            </w14:solidFill>
          </w14:textFill>
        </w:rPr>
        <w:t xml:space="preserve">.1 </w:t>
      </w:r>
      <w:r>
        <w:rPr>
          <w:rFonts w:hint="eastAsia" w:ascii="仿宋" w:hAnsi="仿宋" w:eastAsia="仿宋"/>
          <w:color w:val="000000" w:themeColor="text1"/>
          <w:sz w:val="32"/>
          <w:szCs w:val="32"/>
          <w:highlight w:val="none"/>
          <w14:textFill>
            <w14:solidFill>
              <w14:schemeClr w14:val="tx1"/>
            </w14:solidFill>
          </w14:textFill>
        </w:rPr>
        <w:t>评标结束后，评标结果经招标人流程确认后，招标人将向中标人发出中标通知书。中标通知书对招标人和中标人具有同等法律效力。中标通知书发出后，中标人放弃中标，应承担相应的法律责任。</w:t>
      </w:r>
    </w:p>
    <w:p w14:paraId="795B909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22.2 招标人将向中标单位发出《中标通知书》，没有中标的其它投标人不另行通知。</w:t>
      </w:r>
    </w:p>
    <w:p w14:paraId="78E0C00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3《中标通知书》将作为签订合同的依据。合同签订后，《中标通知书》成为合同的一部分。</w:t>
      </w:r>
    </w:p>
    <w:p w14:paraId="6DA75E1F">
      <w:pPr>
        <w:pStyle w:val="5"/>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18" w:name="_Toc10717"/>
      <w:bookmarkStart w:id="319" w:name="_Toc11601"/>
      <w:bookmarkStart w:id="320" w:name="_Toc7310"/>
      <w:bookmarkStart w:id="321" w:name="_Toc192925674"/>
      <w:bookmarkStart w:id="322" w:name="_Toc191892326"/>
      <w:bookmarkStart w:id="323" w:name="_Toc1619"/>
      <w:bookmarkStart w:id="324" w:name="_Toc8654"/>
      <w:bookmarkStart w:id="325" w:name="_Toc32598"/>
      <w:r>
        <w:rPr>
          <w:rFonts w:hint="eastAsia" w:ascii="仿宋" w:hAnsi="仿宋" w:eastAsia="仿宋"/>
          <w:color w:val="000000" w:themeColor="text1"/>
          <w:sz w:val="32"/>
          <w:highlight w:val="none"/>
          <w14:textFill>
            <w14:solidFill>
              <w14:schemeClr w14:val="tx1"/>
            </w14:solidFill>
          </w14:textFill>
        </w:rPr>
        <w:t>23. 签订合同</w:t>
      </w:r>
      <w:bookmarkEnd w:id="318"/>
      <w:bookmarkEnd w:id="319"/>
      <w:bookmarkEnd w:id="320"/>
      <w:bookmarkEnd w:id="321"/>
      <w:bookmarkEnd w:id="322"/>
      <w:bookmarkEnd w:id="323"/>
      <w:bookmarkEnd w:id="324"/>
      <w:bookmarkEnd w:id="325"/>
    </w:p>
    <w:p w14:paraId="40A7610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1中标人在《中标通知书》发出之日起30日内，根据招标文件确定的事项和中标人投标文件，与招标人签订合同。双方所签订的合同，不得对招标文件和中标人投标文件作实质性修改。逾期未签订合同，按照有关法律规定承担相应的法律责任；属于中标人责任的，招标人将没收其投标保证金，以抵偿对招标人造成的损失。</w:t>
      </w:r>
    </w:p>
    <w:p w14:paraId="544014A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1C143BC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3中标人因不可抗力或者自身原因不能履行合同的，招标人将与排位在中标人之后第一位的中标候选人签订合同，以此类推。</w:t>
      </w:r>
    </w:p>
    <w:p w14:paraId="78EBB043">
      <w:pPr>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bookmarkStart w:id="326" w:name="OLE_LINK10"/>
      <w:r>
        <w:rPr>
          <w:rFonts w:hint="eastAsia" w:ascii="仿宋" w:hAnsi="仿宋" w:eastAsia="仿宋"/>
          <w:color w:val="000000" w:themeColor="text1"/>
          <w:sz w:val="32"/>
          <w:szCs w:val="32"/>
          <w:highlight w:val="none"/>
          <w14:textFill>
            <w14:solidFill>
              <w14:schemeClr w14:val="tx1"/>
            </w14:solidFill>
          </w14:textFill>
        </w:rPr>
        <w:t xml:space="preserve">23.4 </w:t>
      </w:r>
      <w:bookmarkEnd w:id="326"/>
      <w:r>
        <w:rPr>
          <w:rFonts w:hint="eastAsia" w:ascii="仿宋" w:hAnsi="仿宋" w:eastAsia="仿宋"/>
          <w:color w:val="000000" w:themeColor="text1"/>
          <w:sz w:val="32"/>
          <w:szCs w:val="32"/>
          <w:highlight w:val="none"/>
          <w14:textFill>
            <w14:solidFill>
              <w14:schemeClr w14:val="tx1"/>
            </w14:solidFill>
          </w14:textFill>
        </w:rPr>
        <w:t>中标人未能按招标人的要求，随时提供投标文件中出具的相关证明材料的原件，招标人有权认定投标人存在弄虚作假、骗取中标的行为。</w:t>
      </w:r>
    </w:p>
    <w:p w14:paraId="3C46CA1C">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hint="eastAsia" w:ascii="仿宋" w:hAnsi="仿宋" w:eastAsia="仿宋"/>
          <w:color w:val="000000" w:themeColor="text1"/>
          <w:sz w:val="32"/>
          <w:szCs w:val="32"/>
          <w:highlight w:val="none"/>
          <w:lang w:val="en-US" w:eastAsia="zh-CN"/>
          <w14:textFill>
            <w14:solidFill>
              <w14:schemeClr w14:val="tx1"/>
            </w14:solidFill>
          </w14:textFill>
        </w:rPr>
        <w:t>5 本合同签订主体公司为上海贸城物业服务有限公司北京分公司。</w:t>
      </w:r>
    </w:p>
    <w:p w14:paraId="7A52D7D3">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p>
    <w:p w14:paraId="75D906DD">
      <w:pPr>
        <w:pStyle w:val="3"/>
        <w:keepNext w:val="0"/>
        <w:keepLines w:val="0"/>
        <w:spacing w:before="0" w:after="0" w:line="360" w:lineRule="auto"/>
        <w:jc w:val="center"/>
        <w:rPr>
          <w:rFonts w:ascii="仿宋" w:hAnsi="仿宋" w:eastAsia="仿宋"/>
          <w:color w:val="000000" w:themeColor="text1"/>
          <w:szCs w:val="32"/>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bookmarkStart w:id="327" w:name="_Toc4511"/>
      <w:bookmarkStart w:id="328" w:name="_Toc9955"/>
      <w:bookmarkStart w:id="329" w:name="_Toc29426"/>
      <w:bookmarkStart w:id="330" w:name="_Toc7393"/>
      <w:bookmarkStart w:id="331" w:name="_Toc27457"/>
      <w:bookmarkStart w:id="332" w:name="_Toc13798"/>
      <w:r>
        <w:rPr>
          <w:rFonts w:hint="eastAsia" w:ascii="仿宋" w:hAnsi="仿宋" w:eastAsia="仿宋"/>
          <w:color w:val="000000" w:themeColor="text1"/>
          <w:szCs w:val="32"/>
          <w:highlight w:val="none"/>
          <w14:textFill>
            <w14:solidFill>
              <w14:schemeClr w14:val="tx1"/>
            </w14:solidFill>
          </w14:textFill>
        </w:rPr>
        <w:t>第三章　招标内容及要求</w:t>
      </w:r>
      <w:bookmarkEnd w:id="327"/>
      <w:bookmarkEnd w:id="328"/>
      <w:bookmarkEnd w:id="329"/>
      <w:bookmarkEnd w:id="330"/>
      <w:bookmarkEnd w:id="331"/>
      <w:bookmarkEnd w:id="332"/>
    </w:p>
    <w:p w14:paraId="0F57C4B9">
      <w:pPr>
        <w:rPr>
          <w:color w:val="000000" w:themeColor="text1"/>
          <w:sz w:val="32"/>
          <w:szCs w:val="32"/>
          <w:highlight w:val="none"/>
          <w14:textFill>
            <w14:solidFill>
              <w14:schemeClr w14:val="tx1"/>
            </w14:solidFill>
          </w14:textFill>
        </w:rPr>
      </w:pPr>
    </w:p>
    <w:p w14:paraId="2721235D">
      <w:pPr>
        <w:pStyle w:val="4"/>
        <w:keepNext w:val="0"/>
        <w:keepLines w:val="0"/>
        <w:spacing w:before="0" w:after="0" w:line="360" w:lineRule="auto"/>
        <w:jc w:val="center"/>
        <w:rPr>
          <w:rFonts w:ascii="仿宋" w:hAnsi="仿宋" w:eastAsia="仿宋"/>
          <w:color w:val="000000" w:themeColor="text1"/>
          <w:sz w:val="32"/>
          <w:highlight w:val="none"/>
          <w14:textFill>
            <w14:solidFill>
              <w14:schemeClr w14:val="tx1"/>
            </w14:solidFill>
          </w14:textFill>
        </w:rPr>
      </w:pPr>
      <w:bookmarkStart w:id="333" w:name="_Toc21494"/>
      <w:bookmarkStart w:id="334" w:name="_Toc25327"/>
      <w:bookmarkStart w:id="335" w:name="_Toc23376"/>
      <w:bookmarkStart w:id="336" w:name="_Toc19827"/>
      <w:bookmarkStart w:id="337" w:name="_Toc26876"/>
      <w:bookmarkStart w:id="338" w:name="_Toc11543"/>
      <w:r>
        <w:rPr>
          <w:rFonts w:hint="eastAsia" w:ascii="仿宋" w:hAnsi="仿宋" w:eastAsia="仿宋"/>
          <w:color w:val="000000" w:themeColor="text1"/>
          <w:sz w:val="32"/>
          <w:highlight w:val="none"/>
          <w14:textFill>
            <w14:solidFill>
              <w14:schemeClr w14:val="tx1"/>
            </w14:solidFill>
          </w14:textFill>
        </w:rPr>
        <w:t>第一节 项目需求</w:t>
      </w:r>
      <w:bookmarkEnd w:id="333"/>
      <w:bookmarkEnd w:id="334"/>
      <w:bookmarkEnd w:id="335"/>
      <w:bookmarkEnd w:id="336"/>
      <w:bookmarkEnd w:id="337"/>
      <w:bookmarkEnd w:id="338"/>
    </w:p>
    <w:p w14:paraId="1DC1C49C">
      <w:pPr>
        <w:spacing w:line="500" w:lineRule="exact"/>
        <w:ind w:firstLine="0" w:firstLineChars="0"/>
        <w:rPr>
          <w:rFonts w:ascii="仿宋" w:hAnsi="仿宋" w:eastAsia="仿宋"/>
          <w:b/>
          <w:color w:val="000000" w:themeColor="text1"/>
          <w:sz w:val="32"/>
          <w:szCs w:val="32"/>
          <w:highlight w:val="none"/>
          <w14:textFill>
            <w14:solidFill>
              <w14:schemeClr w14:val="tx1"/>
            </w14:solidFill>
          </w14:textFill>
        </w:rPr>
      </w:pPr>
      <w:bookmarkStart w:id="339" w:name="_bookmark18"/>
      <w:bookmarkEnd w:id="339"/>
      <w:r>
        <w:rPr>
          <w:rFonts w:hint="eastAsia" w:ascii="仿宋" w:hAnsi="仿宋" w:eastAsia="仿宋"/>
          <w:b/>
          <w:color w:val="000000" w:themeColor="text1"/>
          <w:sz w:val="32"/>
          <w:szCs w:val="32"/>
          <w:highlight w:val="none"/>
          <w14:textFill>
            <w14:solidFill>
              <w14:schemeClr w14:val="tx1"/>
            </w14:solidFill>
          </w14:textFill>
        </w:rPr>
        <w:t>一、项目基本情况概述</w:t>
      </w:r>
    </w:p>
    <w:p w14:paraId="1B6389BE">
      <w:pPr>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北京瑨上雅园项目</w:t>
      </w:r>
      <w:r>
        <w:rPr>
          <w:rFonts w:hint="eastAsia" w:ascii="仿宋" w:hAnsi="仿宋" w:eastAsia="仿宋"/>
          <w:color w:val="000000" w:themeColor="text1"/>
          <w:sz w:val="32"/>
          <w:szCs w:val="32"/>
          <w:highlight w:val="none"/>
          <w14:textFill>
            <w14:solidFill>
              <w14:schemeClr w14:val="tx1"/>
            </w14:solidFill>
          </w14:textFill>
        </w:rPr>
        <w:t>位于</w:t>
      </w:r>
      <w:r>
        <w:rPr>
          <w:rFonts w:hint="eastAsia" w:ascii="仿宋" w:hAnsi="仿宋" w:eastAsia="仿宋"/>
          <w:color w:val="000000" w:themeColor="text1"/>
          <w:sz w:val="32"/>
          <w:szCs w:val="32"/>
          <w:highlight w:val="none"/>
          <w:lang w:val="en-US" w:eastAsia="zh-CN"/>
          <w14:textFill>
            <w14:solidFill>
              <w14:schemeClr w14:val="tx1"/>
            </w14:solidFill>
          </w14:textFill>
        </w:rPr>
        <w:t>北京市通州区宋庄镇徐宋路57号院、59号院</w:t>
      </w:r>
      <w:r>
        <w:rPr>
          <w:rFonts w:hint="eastAsia" w:ascii="仿宋" w:hAnsi="仿宋" w:eastAsia="仿宋"/>
          <w:color w:val="000000" w:themeColor="text1"/>
          <w:sz w:val="32"/>
          <w:szCs w:val="32"/>
          <w:highlight w:val="none"/>
          <w14:textFill>
            <w14:solidFill>
              <w14:schemeClr w14:val="tx1"/>
            </w14:solidFill>
          </w14:textFill>
        </w:rPr>
        <w:t>，本物业由</w:t>
      </w:r>
      <w:r>
        <w:rPr>
          <w:rFonts w:hint="eastAsia" w:ascii="仿宋" w:hAnsi="仿宋" w:eastAsia="仿宋"/>
          <w:color w:val="000000" w:themeColor="text1"/>
          <w:sz w:val="32"/>
          <w:szCs w:val="32"/>
          <w:highlight w:val="none"/>
          <w:lang w:val="en-US" w:eastAsia="zh-CN"/>
          <w14:textFill>
            <w14:solidFill>
              <w14:schemeClr w14:val="tx1"/>
            </w14:solidFill>
          </w14:textFill>
        </w:rPr>
        <w:t>上海贸城物业服务有限公司北京分公司</w:t>
      </w:r>
      <w:r>
        <w:rPr>
          <w:rFonts w:hint="eastAsia" w:ascii="仿宋" w:hAnsi="仿宋" w:eastAsia="仿宋"/>
          <w:color w:val="000000" w:themeColor="text1"/>
          <w:sz w:val="32"/>
          <w:szCs w:val="32"/>
          <w:highlight w:val="none"/>
          <w14:textFill>
            <w14:solidFill>
              <w14:schemeClr w14:val="tx1"/>
            </w14:solidFill>
          </w14:textFill>
        </w:rPr>
        <w:t>进行管理，共有</w:t>
      </w:r>
      <w:r>
        <w:rPr>
          <w:rFonts w:hint="eastAsia" w:ascii="仿宋" w:hAnsi="仿宋" w:eastAsia="仿宋"/>
          <w:color w:val="000000" w:themeColor="text1"/>
          <w:sz w:val="32"/>
          <w:szCs w:val="32"/>
          <w:highlight w:val="none"/>
          <w:lang w:val="en-US" w:eastAsia="zh-CN"/>
          <w14:textFill>
            <w14:solidFill>
              <w14:schemeClr w14:val="tx1"/>
            </w14:solidFill>
          </w14:textFill>
        </w:rPr>
        <w:t>15</w:t>
      </w:r>
      <w:r>
        <w:rPr>
          <w:rFonts w:hint="eastAsia" w:ascii="仿宋" w:hAnsi="仿宋" w:eastAsia="仿宋"/>
          <w:color w:val="000000" w:themeColor="text1"/>
          <w:sz w:val="32"/>
          <w:szCs w:val="32"/>
          <w:highlight w:val="none"/>
          <w14:textFill>
            <w14:solidFill>
              <w14:schemeClr w14:val="tx1"/>
            </w14:solidFill>
          </w14:textFill>
        </w:rPr>
        <w:t>栋，</w:t>
      </w:r>
      <w:r>
        <w:rPr>
          <w:rFonts w:hint="eastAsia" w:ascii="仿宋" w:hAnsi="仿宋" w:eastAsia="仿宋"/>
          <w:color w:val="000000" w:themeColor="text1"/>
          <w:sz w:val="32"/>
          <w:szCs w:val="32"/>
          <w:highlight w:val="none"/>
          <w:lang w:val="en-US" w:eastAsia="zh-CN"/>
          <w14:textFill>
            <w14:solidFill>
              <w14:schemeClr w14:val="tx1"/>
            </w14:solidFill>
          </w14:textFill>
        </w:rPr>
        <w:t>总</w:t>
      </w:r>
      <w:r>
        <w:rPr>
          <w:rFonts w:hint="eastAsia" w:ascii="仿宋" w:hAnsi="仿宋" w:eastAsia="仿宋"/>
          <w:color w:val="000000" w:themeColor="text1"/>
          <w:sz w:val="32"/>
          <w:szCs w:val="32"/>
          <w:highlight w:val="none"/>
          <w14:textFill>
            <w14:solidFill>
              <w14:schemeClr w14:val="tx1"/>
            </w14:solidFill>
          </w14:textFill>
        </w:rPr>
        <w:t>建筑面积约</w:t>
      </w:r>
      <w:r>
        <w:rPr>
          <w:rFonts w:hint="eastAsia" w:ascii="仿宋" w:hAnsi="仿宋" w:eastAsia="仿宋"/>
          <w:color w:val="000000" w:themeColor="text1"/>
          <w:sz w:val="32"/>
          <w:szCs w:val="32"/>
          <w:highlight w:val="none"/>
          <w:lang w:val="en-US" w:eastAsia="zh-CN"/>
          <w14:textFill>
            <w14:solidFill>
              <w14:schemeClr w14:val="tx1"/>
            </w14:solidFill>
          </w14:textFill>
        </w:rPr>
        <w:t>95975.8</w:t>
      </w:r>
      <w:r>
        <w:rPr>
          <w:rFonts w:hint="eastAsia" w:ascii="仿宋" w:hAnsi="仿宋" w:eastAsia="仿宋"/>
          <w:color w:val="000000" w:themeColor="text1"/>
          <w:sz w:val="32"/>
          <w:szCs w:val="32"/>
          <w:highlight w:val="none"/>
          <w14:textFill>
            <w14:solidFill>
              <w14:schemeClr w14:val="tx1"/>
            </w14:solidFill>
          </w14:textFill>
        </w:rPr>
        <w:t>平方米</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总户数542户、地下车位数715个</w:t>
      </w:r>
      <w:r>
        <w:rPr>
          <w:rFonts w:hint="eastAsia" w:ascii="仿宋" w:hAnsi="仿宋" w:eastAsia="仿宋"/>
          <w:color w:val="000000" w:themeColor="text1"/>
          <w:sz w:val="32"/>
          <w:szCs w:val="32"/>
          <w:highlight w:val="none"/>
          <w14:textFill>
            <w14:solidFill>
              <w14:schemeClr w14:val="tx1"/>
            </w14:solidFill>
          </w14:textFill>
        </w:rPr>
        <w:t>。</w:t>
      </w:r>
    </w:p>
    <w:p w14:paraId="14A899F3">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w:t>
      </w:r>
      <w:r>
        <w:rPr>
          <w:rFonts w:hint="eastAsia" w:ascii="仿宋" w:hAnsi="仿宋" w:eastAsia="仿宋"/>
          <w:b/>
          <w:color w:val="000000" w:themeColor="text1"/>
          <w:sz w:val="32"/>
          <w:szCs w:val="32"/>
          <w:highlight w:val="none"/>
          <w14:textFill>
            <w14:solidFill>
              <w14:schemeClr w14:val="tx1"/>
            </w14:solidFill>
          </w14:textFill>
        </w:rPr>
        <w:t>、服务总体目标与原则</w:t>
      </w:r>
    </w:p>
    <w:p w14:paraId="524AFB3F">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 核心目标：保障小区治安、消防安全、通行秩序，零重大安全事故，业主满意度达标</w:t>
      </w:r>
    </w:p>
    <w:p w14:paraId="43334692">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 合规要求：遵守（《保安服务管理条例》《物业管理条例》《北京市消防条例》等）</w:t>
      </w:r>
    </w:p>
    <w:p w14:paraId="69D1ED3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 管理原则：服从甲方统一调度、文明执勤、服务优先、安全第一</w:t>
      </w:r>
    </w:p>
    <w:p w14:paraId="264935D2">
      <w:pPr>
        <w:widowControl/>
        <w:adjustRightInd/>
        <w:snapToGrid/>
        <w:spacing w:before="0" w:beforeLines="-2147483648" w:after="0" w:afterLines="-2147483648" w:line="240" w:lineRule="auto"/>
        <w:ind w:firstLine="0" w:firstLineChars="0"/>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三、服务内容清单</w:t>
      </w:r>
    </w:p>
    <w:p w14:paraId="442C8F13">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 门岗值守服务</w:t>
      </w:r>
    </w:p>
    <w:p w14:paraId="622BD93B">
      <w:pPr>
        <w:widowControl/>
        <w:adjustRightInd w:val="0"/>
        <w:snapToGrid w:val="0"/>
        <w:spacing w:before="60" w:beforeLines="25" w:after="60" w:afterLines="25"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24小时值守要求、岗位数量：2</w:t>
      </w:r>
    </w:p>
    <w:p w14:paraId="0650CD90">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外来人员/访客/施工人员登记、放行流程</w:t>
      </w:r>
    </w:p>
    <w:p w14:paraId="59E1F75C">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大件物品、装修材料进出管控（放行条核对）</w:t>
      </w:r>
    </w:p>
    <w:p w14:paraId="4C864D38">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 园区巡逻服务</w:t>
      </w:r>
    </w:p>
    <w:p w14:paraId="4B343965">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巡逻范围（园区道路、楼栋周边、消防通道、地下车库等）</w:t>
      </w:r>
    </w:p>
    <w:p w14:paraId="110F3783">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巡逻频次：日间/夜间不同频次（日间每3小时1次，夜间每2小时1次）</w:t>
      </w:r>
    </w:p>
    <w:p w14:paraId="61B010FD">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巡逻重点：门窗、消防设施、偏僻角落、电动车停放区</w:t>
      </w:r>
    </w:p>
    <w:p w14:paraId="2921CD03">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异常情况处置：发现隐患、违规行为的处理流程（劝阻、上报、记录）</w:t>
      </w:r>
    </w:p>
    <w:p w14:paraId="204440A6">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禁入物品（易燃易爆、管制器具等）管控</w:t>
      </w:r>
    </w:p>
    <w:p w14:paraId="5AEAE518">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 车辆与停车秩序管理</w:t>
      </w:r>
    </w:p>
    <w:p w14:paraId="0D2DE9ED">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地面/地下车位管控，违规停放劝阻</w:t>
      </w:r>
    </w:p>
    <w:p w14:paraId="19A73074">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早晚高峰车流疏导，出入口拥堵处置</w:t>
      </w:r>
    </w:p>
    <w:p w14:paraId="206DD3F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车辆剐蹭、纠纷协助处理流程</w:t>
      </w:r>
    </w:p>
    <w:p w14:paraId="680B2EBB">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机动车乱停乱放整治</w:t>
      </w:r>
    </w:p>
    <w:p w14:paraId="15A729CF">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 监控中心值守</w:t>
      </w:r>
    </w:p>
    <w:p w14:paraId="39C78AF9">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24小时专人在岗要求</w:t>
      </w:r>
    </w:p>
    <w:p w14:paraId="5E974D5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监控画面巡查频次，异常情况联动处置流程</w:t>
      </w:r>
    </w:p>
    <w:p w14:paraId="117C30C1">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监控录像调取、保密管理要求</w:t>
      </w:r>
    </w:p>
    <w:p w14:paraId="259441CD">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设备故障上报流程</w:t>
      </w:r>
    </w:p>
    <w:p w14:paraId="16D923CF">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5. </w:t>
      </w:r>
      <w:r>
        <w:rPr>
          <w:rFonts w:hint="eastAsia" w:ascii="仿宋" w:hAnsi="仿宋" w:eastAsia="仿宋"/>
          <w:color w:val="000000" w:themeColor="text1"/>
          <w:sz w:val="32"/>
          <w:szCs w:val="32"/>
          <w:highlight w:val="none"/>
          <w:lang w:val="en-US" w:eastAsia="zh-CN"/>
          <w14:textFill>
            <w14:solidFill>
              <w14:schemeClr w14:val="tx1"/>
            </w14:solidFill>
          </w14:textFill>
        </w:rPr>
        <w:t>装修与施工秩序管控</w:t>
      </w:r>
    </w:p>
    <w:p w14:paraId="6E6D79F0">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装修人员出入证办理、核验</w:t>
      </w:r>
    </w:p>
    <w:p w14:paraId="23FC6851">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装修噪音管控时段、违规施工劝阻</w:t>
      </w:r>
    </w:p>
    <w:p w14:paraId="0CC5D458">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装修垃圾堆放管控，占用公共区域整治</w:t>
      </w:r>
    </w:p>
    <w:p w14:paraId="24817A43">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装修现场消防安全巡查（动火、私拉电线）</w:t>
      </w:r>
    </w:p>
    <w:p w14:paraId="34EC54CE">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 消防安全管理</w:t>
      </w:r>
    </w:p>
    <w:p w14:paraId="565D3982">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通道、消防设施日常巡查</w:t>
      </w:r>
    </w:p>
    <w:p w14:paraId="2986221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消防隐患排查、上报、整改闭环</w:t>
      </w:r>
    </w:p>
    <w:p w14:paraId="717336E1">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消防应急演练配合要求</w:t>
      </w:r>
    </w:p>
    <w:p w14:paraId="7F7507A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初期火灾处置流程</w:t>
      </w:r>
    </w:p>
    <w:p w14:paraId="7C58E308">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 应急事件处置</w:t>
      </w:r>
    </w:p>
    <w:p w14:paraId="32DAE1E1">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需处置的突发事件类型：火灾、治安事件、业主纠纷、极端天气（防汛/防雪）、高空坠物、突发疾病等</w:t>
      </w:r>
    </w:p>
    <w:p w14:paraId="66FC4E20">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处置流程：第一时间响应、现场控制、上报甲方/相关部门、协助救援</w:t>
      </w:r>
    </w:p>
    <w:p w14:paraId="256236A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应急值守、备勤要求</w:t>
      </w:r>
    </w:p>
    <w:p w14:paraId="0CB5128F">
      <w:pPr>
        <w:widowControl/>
        <w:numPr>
          <w:ilvl w:val="0"/>
          <w:numId w:val="2"/>
        </w:numPr>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人员薪资保险</w:t>
      </w:r>
    </w:p>
    <w:p w14:paraId="185D7738">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default" w:ascii="仿宋" w:hAnsi="仿宋" w:eastAsia="仿宋"/>
          <w:color w:val="000000" w:themeColor="text1"/>
          <w:sz w:val="32"/>
          <w:szCs w:val="32"/>
          <w:highlight w:val="none"/>
          <w:lang w:val="en-US" w:eastAsia="zh-CN"/>
          <w14:textFill>
            <w14:solidFill>
              <w14:schemeClr w14:val="tx1"/>
            </w14:solidFill>
          </w14:textFill>
        </w:rPr>
        <w:t>投标人应依法与其人员建立劳动合同关系，并保证该劳动合同关系在本项目履行期间合法存续，且相关劳动合同等人事（档案和用工报备等）均由投标人管理，自行负责和承担其人员的工资（含加班费等投标人员工应该获得的所有收入）、各项保险（含社会保险、人身意外伤害保险或法律法规规定的其他保险）、劳保福利及其他一切费用，</w:t>
      </w:r>
      <w:r>
        <w:rPr>
          <w:rFonts w:hint="eastAsia" w:ascii="仿宋" w:hAnsi="仿宋" w:eastAsia="仿宋"/>
          <w:color w:val="000000" w:themeColor="text1"/>
          <w:sz w:val="32"/>
          <w:szCs w:val="32"/>
          <w:highlight w:val="none"/>
          <w:lang w:val="en-US" w:eastAsia="zh-CN"/>
          <w14:textFill>
            <w14:solidFill>
              <w14:schemeClr w14:val="tx1"/>
            </w14:solidFill>
          </w14:textFill>
        </w:rPr>
        <w:tab/>
      </w:r>
    </w:p>
    <w:p w14:paraId="202912E3">
      <w:pPr>
        <w:widowControl/>
        <w:numPr>
          <w:ilvl w:val="0"/>
          <w:numId w:val="2"/>
        </w:numPr>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人员招聘</w:t>
      </w:r>
    </w:p>
    <w:p w14:paraId="278A45AC">
      <w:pPr>
        <w:widowControl/>
        <w:adjustRightInd w:val="0"/>
        <w:snapToGrid w:val="0"/>
        <w:spacing w:before="60" w:beforeLines="25" w:after="60" w:afterLines="25"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default" w:ascii="仿宋" w:hAnsi="仿宋" w:eastAsia="仿宋"/>
          <w:color w:val="000000" w:themeColor="text1"/>
          <w:sz w:val="32"/>
          <w:szCs w:val="32"/>
          <w:highlight w:val="none"/>
          <w:lang w:val="en-US" w:eastAsia="zh-CN"/>
          <w14:textFill>
            <w14:solidFill>
              <w14:schemeClr w14:val="tx1"/>
            </w14:solidFill>
          </w14:textFill>
        </w:rPr>
        <w:t>投标人负责其人员的招聘、培训等管理工作，同时按本项目约定秩序维护服务质量标准对其人员进行严格的队伍管理、业务培训、职责培训和纪律培训，并按照招标人制定的演练计划每年组织消防演练和防恐演练不得少于4次。</w:t>
      </w:r>
    </w:p>
    <w:p w14:paraId="4D30414A">
      <w:pPr>
        <w:widowControl/>
        <w:numPr>
          <w:ilvl w:val="0"/>
          <w:numId w:val="2"/>
        </w:numPr>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考核办法</w:t>
      </w:r>
    </w:p>
    <w:p w14:paraId="649066E4">
      <w:pPr>
        <w:widowControl/>
        <w:adjustRightInd w:val="0"/>
        <w:snapToGrid w:val="0"/>
        <w:spacing w:before="60" w:beforeLines="25" w:after="60" w:afterLines="25"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default" w:ascii="仿宋" w:hAnsi="仿宋" w:eastAsia="仿宋"/>
          <w:color w:val="000000" w:themeColor="text1"/>
          <w:sz w:val="32"/>
          <w:szCs w:val="32"/>
          <w:highlight w:val="none"/>
          <w:lang w:val="en-US" w:eastAsia="zh-CN"/>
          <w14:textFill>
            <w14:solidFill>
              <w14:schemeClr w14:val="tx1"/>
            </w14:solidFill>
          </w14:textFill>
        </w:rPr>
        <w:t>投标人须接受本项目规定的考核办法</w:t>
      </w:r>
      <w:r>
        <w:rPr>
          <w:rFonts w:hint="eastAsia" w:ascii="仿宋" w:hAnsi="仿宋" w:eastAsia="仿宋"/>
          <w:color w:val="000000" w:themeColor="text1"/>
          <w:sz w:val="32"/>
          <w:szCs w:val="32"/>
          <w:highlight w:val="none"/>
          <w:lang w:val="en-US" w:eastAsia="zh-CN"/>
          <w14:textFill>
            <w14:solidFill>
              <w14:schemeClr w14:val="tx1"/>
            </w14:solidFill>
          </w14:textFill>
        </w:rPr>
        <w:t>（神秘客考核、客户满意度考核）</w:t>
      </w:r>
      <w:r>
        <w:rPr>
          <w:rFonts w:hint="default" w:ascii="仿宋" w:hAnsi="仿宋" w:eastAsia="仿宋"/>
          <w:color w:val="000000" w:themeColor="text1"/>
          <w:sz w:val="32"/>
          <w:szCs w:val="32"/>
          <w:highlight w:val="none"/>
          <w:lang w:val="en-US" w:eastAsia="zh-CN"/>
          <w14:textFill>
            <w14:solidFill>
              <w14:schemeClr w14:val="tx1"/>
            </w14:solidFill>
          </w14:textFill>
        </w:rPr>
        <w:t>，招标人有权为共同达到更好的服务质量，在合同签订时或合同执行过程中酌情修改考核办法，投标人必须接受。</w:t>
      </w:r>
    </w:p>
    <w:p w14:paraId="4D103806">
      <w:pPr>
        <w:widowControl/>
        <w:numPr>
          <w:ilvl w:val="0"/>
          <w:numId w:val="2"/>
        </w:numPr>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监督检查</w:t>
      </w:r>
    </w:p>
    <w:p w14:paraId="4E8D9BE8">
      <w:pPr>
        <w:widowControl/>
        <w:numPr>
          <w:ilvl w:val="-1"/>
          <w:numId w:val="0"/>
        </w:numPr>
        <w:adjustRightInd w:val="0"/>
        <w:snapToGrid w:val="0"/>
        <w:spacing w:before="60" w:beforeLines="25" w:after="60" w:afterLines="25"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default" w:ascii="仿宋" w:hAnsi="仿宋" w:eastAsia="仿宋"/>
          <w:color w:val="000000" w:themeColor="text1"/>
          <w:sz w:val="32"/>
          <w:szCs w:val="32"/>
          <w:highlight w:val="none"/>
          <w:lang w:val="en-US" w:eastAsia="zh-CN"/>
          <w14:textFill>
            <w14:solidFill>
              <w14:schemeClr w14:val="tx1"/>
            </w14:solidFill>
          </w14:textFill>
        </w:rPr>
        <w:t>投标人须配合招标人现场管理人员每日执行考勤人员现场核验及影像归档。（包含：上下班人脸识别原始图像、现场定位坐标、考勤时间戳、检查项目信息标识）影像资料保存期限不低于1年。</w:t>
      </w:r>
    </w:p>
    <w:p w14:paraId="2D98717C">
      <w:pPr>
        <w:widowControl/>
        <w:numPr>
          <w:ilvl w:val="-1"/>
          <w:numId w:val="0"/>
        </w:numPr>
        <w:adjustRightInd w:val="0"/>
        <w:snapToGrid w:val="0"/>
        <w:spacing w:before="60" w:beforeLines="25" w:after="60" w:afterLines="25"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default" w:ascii="仿宋" w:hAnsi="仿宋" w:eastAsia="仿宋"/>
          <w:color w:val="000000" w:themeColor="text1"/>
          <w:sz w:val="32"/>
          <w:szCs w:val="32"/>
          <w:highlight w:val="none"/>
          <w:lang w:val="en-US" w:eastAsia="zh-CN"/>
          <w14:textFill>
            <w14:solidFill>
              <w14:schemeClr w14:val="tx1"/>
            </w14:solidFill>
          </w14:textFill>
        </w:rPr>
        <w:t>招标人有权不定期开展突击检查。</w:t>
      </w:r>
    </w:p>
    <w:p w14:paraId="405B9353">
      <w:pPr>
        <w:widowControl/>
        <w:numPr>
          <w:ilvl w:val="-1"/>
          <w:numId w:val="0"/>
        </w:numPr>
        <w:adjustRightInd w:val="0"/>
        <w:snapToGrid w:val="0"/>
        <w:spacing w:before="60" w:beforeLines="25" w:after="60" w:afterLines="25"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default" w:ascii="仿宋" w:hAnsi="仿宋" w:eastAsia="仿宋"/>
          <w:color w:val="000000" w:themeColor="text1"/>
          <w:sz w:val="32"/>
          <w:szCs w:val="32"/>
          <w:highlight w:val="none"/>
          <w:lang w:val="en-US" w:eastAsia="zh-CN"/>
          <w14:textFill>
            <w14:solidFill>
              <w14:schemeClr w14:val="tx1"/>
            </w14:solidFill>
          </w14:textFill>
        </w:rPr>
        <w:t>每次检查须由现场管理单位负责人与检查人员共同签字确认，检查结果纳入供方年度服务评价体系，违规行为与服务费结算直接挂钩。</w:t>
      </w:r>
    </w:p>
    <w:p w14:paraId="7785BD3D">
      <w:pPr>
        <w:widowControl/>
        <w:adjustRightInd w:val="0"/>
        <w:snapToGrid w:val="0"/>
        <w:spacing w:before="60" w:beforeLines="25" w:after="60" w:afterLines="25"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default" w:ascii="仿宋" w:hAnsi="仿宋" w:eastAsia="仿宋"/>
          <w:color w:val="000000" w:themeColor="text1"/>
          <w:sz w:val="32"/>
          <w:szCs w:val="32"/>
          <w:highlight w:val="none"/>
          <w:lang w:val="en-US" w:eastAsia="zh-CN"/>
          <w14:textFill>
            <w14:solidFill>
              <w14:schemeClr w14:val="tx1"/>
            </w14:solidFill>
          </w14:textFill>
        </w:rPr>
        <w:t>如因投标人原因，包括但不限于投标人由于技能不足、人员未遵守工作纪律（缺岗、脱岗、睡岗等）、违反作业操作规程等原因，造成服务区域内发生盗抢、财产损坏或人员安全事件，投标人应承担全部责任。若导致招标人或本项目对应服务项目遭受行政处罚的，投标人应无条件配合招标人处理协调，涉及行政罚款及损失赔偿的，应由投标人承担全部责任。</w:t>
      </w:r>
    </w:p>
    <w:p w14:paraId="0E3E3364">
      <w:pPr>
        <w:widowControl/>
        <w:adjustRightInd w:val="0"/>
        <w:snapToGrid w:val="0"/>
        <w:spacing w:before="60" w:beforeLines="25" w:after="60" w:afterLines="25" w:line="500" w:lineRule="exact"/>
        <w:ind w:firstLine="0" w:firstLineChars="0"/>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四、人员配置与资质要求 </w:t>
      </w:r>
    </w:p>
    <w:p w14:paraId="3C949D82">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 人员配置</w:t>
      </w:r>
    </w:p>
    <w:p w14:paraId="25549D04">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总人数16人、岗位分工（领班1人、门岗4人、巡逻2人、监控8人、机动1人）</w:t>
      </w:r>
    </w:p>
    <w:p w14:paraId="3FDA851D">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班次设置（两班倒）</w:t>
      </w:r>
    </w:p>
    <w:p w14:paraId="101B1359">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 资质与条件</w:t>
      </w:r>
    </w:p>
    <w:p w14:paraId="7DBF17F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保安员证：所有人员必须持证上岗</w:t>
      </w:r>
    </w:p>
    <w:p w14:paraId="644032D8">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年龄</w:t>
      </w:r>
      <w:bookmarkStart w:id="340" w:name="OLE_LINK9"/>
      <w:r>
        <w:rPr>
          <w:rFonts w:hint="eastAsia" w:ascii="仿宋" w:hAnsi="仿宋" w:eastAsia="仿宋"/>
          <w:color w:val="000000" w:themeColor="text1"/>
          <w:sz w:val="32"/>
          <w:szCs w:val="32"/>
          <w:highlight w:val="none"/>
          <w:lang w:val="en-US" w:eastAsia="zh-CN"/>
          <w14:textFill>
            <w14:solidFill>
              <w14:schemeClr w14:val="tx1"/>
            </w14:solidFill>
          </w14:textFill>
        </w:rPr>
        <w:t>、</w:t>
      </w:r>
      <w:bookmarkEnd w:id="340"/>
      <w:r>
        <w:rPr>
          <w:rFonts w:hint="eastAsia" w:ascii="仿宋" w:hAnsi="仿宋" w:eastAsia="仿宋"/>
          <w:color w:val="000000" w:themeColor="text1"/>
          <w:sz w:val="32"/>
          <w:szCs w:val="32"/>
          <w:highlight w:val="none"/>
          <w:lang w:val="en-US" w:eastAsia="zh-CN"/>
          <w14:textFill>
            <w14:solidFill>
              <w14:schemeClr w14:val="tx1"/>
            </w14:solidFill>
          </w14:textFill>
        </w:rPr>
        <w:t>健康要求：所有人员18-45周岁，无犯罪记录、无纹身</w:t>
      </w:r>
    </w:p>
    <w:p w14:paraId="3C19F69E">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领班/负责人资质：具有3年以上小区秩序管理经验，持高级保安员证优先</w:t>
      </w:r>
    </w:p>
    <w:p w14:paraId="42EB640F">
      <w:pPr>
        <w:widowControl/>
        <w:adjustRightInd w:val="0"/>
        <w:snapToGrid w:val="0"/>
        <w:spacing w:before="60" w:beforeLines="25" w:after="60" w:afterLines="25"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身高要求：消控岗、机动岗≥170cm；领班、门岗、巡逻岗≥175cm</w:t>
      </w:r>
    </w:p>
    <w:p w14:paraId="3BD2650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培训要求：岗前培训、在岗定期培训（礼仪、应急、法规）</w:t>
      </w:r>
    </w:p>
    <w:p w14:paraId="3517C269">
      <w:pPr>
        <w:widowControl/>
        <w:adjustRightInd w:val="0"/>
        <w:snapToGrid w:val="0"/>
        <w:spacing w:before="60" w:beforeLines="25" w:after="60" w:afterLines="25" w:line="500" w:lineRule="exact"/>
        <w:ind w:firstLine="0" w:firstLineChars="0"/>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lang w:val="en-US" w:eastAsia="zh-CN"/>
          <w14:textFill>
            <w14:solidFill>
              <w14:schemeClr w14:val="tx1"/>
            </w14:solidFill>
          </w14:textFill>
        </w:rPr>
        <w:t>五、</w:t>
      </w:r>
      <w:r>
        <w:rPr>
          <w:rFonts w:hint="eastAsia" w:ascii="仿宋" w:hAnsi="仿宋" w:eastAsia="仿宋"/>
          <w:b/>
          <w:bCs/>
          <w:color w:val="000000" w:themeColor="text1"/>
          <w:sz w:val="32"/>
          <w:szCs w:val="32"/>
          <w:highlight w:val="none"/>
          <w14:textFill>
            <w14:solidFill>
              <w14:schemeClr w14:val="tx1"/>
            </w14:solidFill>
          </w14:textFill>
        </w:rPr>
        <w:t>服务标准与考核要求</w:t>
      </w:r>
    </w:p>
    <w:p w14:paraId="521EFC7C">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 量化服务标准</w:t>
      </w:r>
    </w:p>
    <w:p w14:paraId="0DECF27A">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重大安全事故：0发生</w:t>
      </w:r>
    </w:p>
    <w:p w14:paraId="64659B74">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业主有效投诉：每月不超过3起，整改率100%</w:t>
      </w:r>
    </w:p>
    <w:p w14:paraId="33F4150E">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隐患排查整改：及时率100%</w:t>
      </w:r>
    </w:p>
    <w:p w14:paraId="6F140DF5">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人员在岗率：100%，脱岗睡岗0容忍</w:t>
      </w:r>
    </w:p>
    <w:p w14:paraId="06ACF0CD">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 考核机制</w:t>
      </w:r>
    </w:p>
    <w:p w14:paraId="3506E30B">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甲方按月考核，考核结果与服务费挂钩</w:t>
      </w:r>
    </w:p>
    <w:p w14:paraId="29C339B3">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不合格项的整改、扣分、处罚规则</w:t>
      </w:r>
    </w:p>
    <w:p w14:paraId="373A5B74">
      <w:pPr>
        <w:widowControl/>
        <w:adjustRightInd/>
        <w:snapToGrid/>
        <w:spacing w:before="0" w:beforeLines="-2147483648" w:after="0" w:afterLines="-2147483648" w:line="500" w:lineRule="exact"/>
        <w:ind w:firstLine="0" w:firstLineChars="0"/>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六、</w:t>
      </w:r>
      <w:r>
        <w:rPr>
          <w:rFonts w:hint="eastAsia" w:ascii="仿宋" w:hAnsi="仿宋" w:eastAsia="仿宋"/>
          <w:b/>
          <w:bCs/>
          <w:color w:val="000000" w:themeColor="text1"/>
          <w:sz w:val="32"/>
          <w:szCs w:val="32"/>
          <w:highlight w:val="none"/>
          <w14:textFill>
            <w14:solidFill>
              <w14:schemeClr w14:val="tx1"/>
            </w14:solidFill>
          </w14:textFill>
        </w:rPr>
        <w:t>踏勘现场</w:t>
      </w:r>
    </w:p>
    <w:p w14:paraId="626AF04A">
      <w:pPr>
        <w:spacing w:line="5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本项目招标人不组织集中现场踏勘，有意向的投标人可自行前往项目现场及周围环境进行踏勘，以便获取有关编制投标文件和签署合同所涉及现场的资料。投标人应根据项目内容及要求，自行测算费用及服务风险，投标人应自行承担踏勘现场所发生的费用。</w:t>
      </w:r>
    </w:p>
    <w:p w14:paraId="4F8E79BB">
      <w:pPr>
        <w:spacing w:line="5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踏勘联系人及联系方式：吴先生 13622176727</w:t>
      </w:r>
    </w:p>
    <w:p w14:paraId="063135E4">
      <w:pPr>
        <w:spacing w:line="5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投标人及其人员经项目现场管理人员同意，可进入项目现场踏勘。但投标人及其人员不得因此要求招标人及其人员承担任何责任或赔偿任何损失。投标人应对因踏勘现场而导致的死亡、人身伤害、财产损失及其他任何损害、费用和开支承担全部责任。</w:t>
      </w:r>
    </w:p>
    <w:p w14:paraId="1ADF0C6B">
      <w:pPr>
        <w:spacing w:line="500" w:lineRule="exact"/>
        <w:ind w:firstLine="640" w:firstLineChars="200"/>
        <w:rPr>
          <w:rFonts w:hint="default" w:ascii="仿宋" w:hAnsi="仿宋" w:eastAsia="仿宋"/>
          <w:color w:val="000000" w:themeColor="text1"/>
          <w:sz w:val="32"/>
          <w:szCs w:val="32"/>
          <w:highlight w:val="none"/>
          <w:lang w:val="en-US"/>
          <w14:textFill>
            <w14:solidFill>
              <w14:schemeClr w14:val="tx1"/>
            </w14:solidFill>
          </w14:textFill>
        </w:rPr>
        <w:sectPr>
          <w:footerReference r:id="rId3" w:type="default"/>
          <w:pgSz w:w="11907" w:h="16860"/>
          <w:pgMar w:top="1418" w:right="1418" w:bottom="1418" w:left="1418" w:header="857" w:footer="999" w:gutter="0"/>
          <w:pgNumType w:start="1"/>
          <w:cols w:space="720" w:num="1"/>
          <w:docGrid w:linePitch="286" w:charSpace="0"/>
        </w:sectPr>
      </w:pPr>
      <w:r>
        <w:rPr>
          <w:rFonts w:hint="eastAsia" w:ascii="仿宋" w:hAnsi="仿宋" w:eastAsia="仿宋"/>
          <w:color w:val="000000" w:themeColor="text1"/>
          <w:sz w:val="32"/>
          <w:szCs w:val="32"/>
          <w:lang w:val="en-US" w:eastAsia="zh-CN"/>
          <w14:textFill>
            <w14:solidFill>
              <w14:schemeClr w14:val="tx1"/>
            </w14:solidFill>
          </w14:textFill>
        </w:rPr>
        <w:t>招标人向投标人提供的有关现场的资料和数据，是招标人现有的能被投标人利用的资料。招标人对投标人做出的理解、推</w:t>
      </w:r>
      <w:r>
        <w:rPr>
          <w:rFonts w:hint="eastAsia" w:ascii="仿宋" w:hAnsi="仿宋" w:eastAsia="仿宋"/>
          <w:bCs w:val="0"/>
          <w:color w:val="000000" w:themeColor="text1"/>
          <w:sz w:val="32"/>
          <w:szCs w:val="32"/>
          <w:highlight w:val="none"/>
          <w14:textFill>
            <w14:solidFill>
              <w14:schemeClr w14:val="tx1"/>
            </w14:solidFill>
          </w14:textFill>
        </w:rPr>
        <w:t>论和结论均不负责任</w:t>
      </w:r>
      <w:r>
        <w:rPr>
          <w:rFonts w:hint="eastAsia" w:ascii="仿宋" w:hAnsi="仿宋" w:eastAsia="仿宋"/>
          <w:bCs w:val="0"/>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 xml:space="preserve">         </w:t>
      </w:r>
    </w:p>
    <w:p w14:paraId="0EBF1F97">
      <w:pPr>
        <w:pStyle w:val="4"/>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341" w:name="_Toc5800"/>
      <w:bookmarkStart w:id="342" w:name="_Toc6304"/>
      <w:bookmarkStart w:id="343" w:name="_Toc29721"/>
      <w:bookmarkStart w:id="344" w:name="_Toc29123"/>
      <w:bookmarkStart w:id="345" w:name="_Toc3858"/>
      <w:bookmarkStart w:id="346" w:name="_Toc8099"/>
      <w:r>
        <w:rPr>
          <w:rFonts w:hint="eastAsia" w:ascii="仿宋" w:hAnsi="仿宋" w:eastAsia="仿宋"/>
          <w:color w:val="000000" w:themeColor="text1"/>
          <w:sz w:val="32"/>
          <w:highlight w:val="none"/>
          <w14:textFill>
            <w14:solidFill>
              <w14:schemeClr w14:val="tx1"/>
            </w14:solidFill>
          </w14:textFill>
        </w:rPr>
        <w:t>第二节 商务技术响应要求</w:t>
      </w:r>
      <w:bookmarkEnd w:id="341"/>
      <w:bookmarkEnd w:id="342"/>
      <w:bookmarkEnd w:id="343"/>
      <w:bookmarkEnd w:id="344"/>
      <w:bookmarkEnd w:id="345"/>
      <w:bookmarkEnd w:id="346"/>
    </w:p>
    <w:p w14:paraId="03177D4D">
      <w:pPr>
        <w:spacing w:line="500" w:lineRule="exac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一、商务要求</w:t>
      </w:r>
    </w:p>
    <w:p w14:paraId="0DAB2AD1">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1、投标人应具备独立的法人资格，</w:t>
      </w:r>
      <w:r>
        <w:rPr>
          <w:rFonts w:hint="eastAsia" w:ascii="仿宋" w:hAnsi="仿宋" w:eastAsia="仿宋"/>
          <w:color w:val="000000" w:themeColor="text1"/>
          <w:sz w:val="32"/>
          <w:szCs w:val="32"/>
          <w:highlight w:val="none"/>
          <w14:textFill>
            <w14:solidFill>
              <w14:schemeClr w14:val="tx1"/>
            </w14:solidFill>
          </w14:textFill>
        </w:rPr>
        <w:t>营业执照注册资金应不低于</w:t>
      </w:r>
      <w:r>
        <w:rPr>
          <w:rFonts w:hint="eastAsia" w:ascii="仿宋" w:hAnsi="仿宋" w:eastAsia="仿宋"/>
          <w:color w:val="000000" w:themeColor="text1"/>
          <w:sz w:val="32"/>
          <w:szCs w:val="32"/>
          <w:highlight w:val="none"/>
          <w:lang w:val="en-US" w:eastAsia="zh-CN"/>
          <w14:textFill>
            <w14:solidFill>
              <w14:schemeClr w14:val="tx1"/>
            </w14:solidFill>
          </w14:textFill>
        </w:rPr>
        <w:t>300</w:t>
      </w:r>
      <w:r>
        <w:rPr>
          <w:rFonts w:hint="eastAsia" w:ascii="仿宋" w:hAnsi="仿宋" w:eastAsia="仿宋"/>
          <w:color w:val="000000" w:themeColor="text1"/>
          <w:sz w:val="32"/>
          <w:szCs w:val="32"/>
          <w:highlight w:val="none"/>
          <w14:textFill>
            <w14:solidFill>
              <w14:schemeClr w14:val="tx1"/>
            </w14:solidFill>
          </w14:textFill>
        </w:rPr>
        <w:t>万人民币，</w:t>
      </w:r>
      <w:r>
        <w:rPr>
          <w:rFonts w:ascii="仿宋" w:hAnsi="仿宋" w:eastAsia="仿宋"/>
          <w:color w:val="000000" w:themeColor="text1"/>
          <w:sz w:val="32"/>
          <w:szCs w:val="32"/>
          <w:highlight w:val="none"/>
          <w14:textFill>
            <w14:solidFill>
              <w14:schemeClr w14:val="tx1"/>
            </w14:solidFill>
          </w14:textFill>
        </w:rPr>
        <w:t>并提供营业执照复印件(加盖</w:t>
      </w:r>
      <w:r>
        <w:rPr>
          <w:rFonts w:hint="eastAsia" w:ascii="仿宋" w:hAnsi="仿宋" w:eastAsia="仿宋"/>
          <w:color w:val="000000" w:themeColor="text1"/>
          <w:sz w:val="32"/>
          <w:szCs w:val="32"/>
          <w:highlight w:val="none"/>
          <w14:textFill>
            <w14:solidFill>
              <w14:schemeClr w14:val="tx1"/>
            </w14:solidFill>
          </w14:textFill>
        </w:rPr>
        <w:t>投标人</w:t>
      </w:r>
      <w:r>
        <w:rPr>
          <w:rFonts w:ascii="仿宋" w:hAnsi="仿宋" w:eastAsia="仿宋"/>
          <w:color w:val="000000" w:themeColor="text1"/>
          <w:sz w:val="32"/>
          <w:szCs w:val="32"/>
          <w:highlight w:val="none"/>
          <w14:textFill>
            <w14:solidFill>
              <w14:schemeClr w14:val="tx1"/>
            </w14:solidFill>
          </w14:textFill>
        </w:rPr>
        <w:t>公章)。</w:t>
      </w:r>
    </w:p>
    <w:p w14:paraId="5EA61050">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2、投标人</w:t>
      </w:r>
      <w:r>
        <w:rPr>
          <w:rFonts w:hint="eastAsia" w:ascii="仿宋" w:hAnsi="仿宋" w:eastAsia="仿宋"/>
          <w:color w:val="000000" w:themeColor="text1"/>
          <w:sz w:val="32"/>
          <w:szCs w:val="32"/>
          <w:highlight w:val="none"/>
          <w14:textFill>
            <w14:solidFill>
              <w14:schemeClr w14:val="tx1"/>
            </w14:solidFill>
          </w14:textFill>
        </w:rPr>
        <w:t>授</w:t>
      </w:r>
      <w:r>
        <w:rPr>
          <w:rFonts w:ascii="仿宋" w:hAnsi="仿宋" w:eastAsia="仿宋"/>
          <w:color w:val="000000" w:themeColor="text1"/>
          <w:sz w:val="32"/>
          <w:szCs w:val="32"/>
          <w:highlight w:val="none"/>
          <w14:textFill>
            <w14:solidFill>
              <w14:schemeClr w14:val="tx1"/>
            </w14:solidFill>
          </w14:textFill>
        </w:rPr>
        <w:t>权代表若不是企业法定代表人，应提供法人授权书原件，并提供被授权代表身份证复印件。</w:t>
      </w:r>
    </w:p>
    <w:p w14:paraId="634DD1CC">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投标人必须提供自</w:t>
      </w:r>
      <w:r>
        <w:rPr>
          <w:rFonts w:hint="eastAsia"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6月1日</w:t>
      </w:r>
      <w:r>
        <w:rPr>
          <w:rFonts w:hint="eastAsia" w:ascii="仿宋" w:hAnsi="仿宋" w:eastAsia="仿宋"/>
          <w:color w:val="000000" w:themeColor="text1"/>
          <w:sz w:val="32"/>
          <w:szCs w:val="32"/>
          <w:highlight w:val="none"/>
          <w14:textFill>
            <w14:solidFill>
              <w14:schemeClr w14:val="tx1"/>
            </w14:solidFill>
          </w14:textFill>
        </w:rPr>
        <w:t>起至今不少于</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个</w:t>
      </w:r>
      <w:r>
        <w:rPr>
          <w:rFonts w:hint="eastAsia" w:ascii="仿宋" w:hAnsi="仿宋" w:eastAsia="仿宋"/>
          <w:color w:val="000000" w:themeColor="text1"/>
          <w:sz w:val="32"/>
          <w:szCs w:val="32"/>
          <w:highlight w:val="none"/>
          <w:lang w:val="en-US" w:eastAsia="zh-CN"/>
          <w14:textFill>
            <w14:solidFill>
              <w14:schemeClr w14:val="tx1"/>
            </w14:solidFill>
          </w14:textFill>
        </w:rPr>
        <w:t>住宅项目秩序服务</w:t>
      </w:r>
      <w:r>
        <w:rPr>
          <w:rFonts w:ascii="仿宋" w:hAnsi="仿宋" w:eastAsia="仿宋"/>
          <w:color w:val="000000" w:themeColor="text1"/>
          <w:sz w:val="32"/>
          <w:szCs w:val="32"/>
          <w:highlight w:val="none"/>
          <w14:textFill>
            <w14:solidFill>
              <w14:schemeClr w14:val="tx1"/>
            </w14:solidFill>
          </w14:textFill>
        </w:rPr>
        <w:t>类项目的经营业绩经验的有效证明文件（需提供合同或验收报告的复印件</w:t>
      </w: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原件备查）</w:t>
      </w:r>
      <w:r>
        <w:rPr>
          <w:rFonts w:hint="eastAsia" w:ascii="仿宋" w:hAnsi="仿宋" w:eastAsia="仿宋"/>
          <w:color w:val="000000" w:themeColor="text1"/>
          <w:sz w:val="32"/>
          <w:szCs w:val="32"/>
          <w:highlight w:val="none"/>
          <w14:textFill>
            <w14:solidFill>
              <w14:schemeClr w14:val="tx1"/>
            </w14:solidFill>
          </w14:textFill>
        </w:rPr>
        <w:t>。</w:t>
      </w:r>
    </w:p>
    <w:p w14:paraId="2850DED7">
      <w:pPr>
        <w:widowControl/>
        <w:adjustRightInd w:val="0"/>
        <w:snapToGrid w:val="0"/>
        <w:spacing w:before="60" w:beforeLines="25" w:after="60" w:afterLines="25" w:line="500" w:lineRule="exact"/>
        <w:ind w:firstLine="0" w:firstLineChars="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二、技术要求</w:t>
      </w:r>
    </w:p>
    <w:p w14:paraId="1A753CB0">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1、投标人提供的服务方案必须满足招标人的实际需求，招标人不再支付因投标人方案不完整而引起的费用。</w:t>
      </w:r>
    </w:p>
    <w:p w14:paraId="73A89D4E">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★2、投标人应根据本项目的特点，承诺其工作计划将根据招标人的实际需要进行完善和补充，在工作内容不改变的情况下不得追加任何费用，投标人在投标文件中应做出书面承诺。</w:t>
      </w:r>
    </w:p>
    <w:p w14:paraId="4C8ACD01">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投标人应在投标文件中对项目工作所需时间，工作内容、承诺</w:t>
      </w:r>
      <w:r>
        <w:rPr>
          <w:rFonts w:hint="eastAsia" w:ascii="仿宋" w:hAnsi="仿宋" w:eastAsia="仿宋"/>
          <w:color w:val="000000" w:themeColor="text1"/>
          <w:sz w:val="32"/>
          <w:szCs w:val="32"/>
          <w:highlight w:val="none"/>
          <w14:textFill>
            <w14:solidFill>
              <w14:schemeClr w14:val="tx1"/>
            </w14:solidFill>
          </w14:textFill>
        </w:rPr>
        <w:t>情况进行详细的书面说明及承诺。</w:t>
      </w:r>
    </w:p>
    <w:p w14:paraId="493C62B7">
      <w:pPr>
        <w:widowControl/>
        <w:adjustRightInd w:val="0"/>
        <w:snapToGrid w:val="0"/>
        <w:spacing w:before="60" w:beforeLines="25" w:after="60"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若中标后未履行相关承诺，招标人有权扣除投标保证金和其他款项。</w:t>
      </w:r>
    </w:p>
    <w:p w14:paraId="7CE5BD30">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、投标人须提交《作业安全承诺书》并加盖公章（详见附件）。</w:t>
      </w:r>
    </w:p>
    <w:p w14:paraId="0AE7445C">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、严格执行服务承诺。</w:t>
      </w:r>
    </w:p>
    <w:p w14:paraId="76E4544F">
      <w:pPr>
        <w:widowControl/>
        <w:adjustRightInd w:val="0"/>
        <w:snapToGrid w:val="0"/>
        <w:spacing w:before="60" w:beforeLines="25" w:after="60" w:afterLines="25"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、中标人应严格依据投标文件所做承诺履行职责，如有违约，招标人有权根据协议、合同采取措施追究违约方的违约责任。</w:t>
      </w:r>
    </w:p>
    <w:p w14:paraId="24FC41D9">
      <w:pPr>
        <w:widowControl/>
        <w:adjustRightInd w:val="0"/>
        <w:snapToGrid w:val="0"/>
        <w:spacing w:before="60" w:beforeLines="25" w:after="60" w:afterLines="25"/>
        <w:ind w:firstLine="640" w:firstLineChars="200"/>
        <w:rPr>
          <w:rFonts w:hint="eastAsia" w:ascii="仿宋" w:hAnsi="仿宋" w:eastAsia="仿宋"/>
          <w:color w:val="000000" w:themeColor="text1"/>
          <w:sz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w:t>
      </w:r>
      <w:r>
        <w:rPr>
          <w:rFonts w:hint="eastAsia" w:ascii="仿宋" w:hAnsi="仿宋" w:eastAsia="仿宋"/>
          <w:color w:val="000000" w:themeColor="text1"/>
          <w:sz w:val="32"/>
          <w:szCs w:val="32"/>
          <w:highlight w:val="none"/>
          <w14:textFill>
            <w14:solidFill>
              <w14:schemeClr w14:val="tx1"/>
            </w14:solidFill>
          </w14:textFill>
        </w:rPr>
        <w:t>、中标人应当按照合同约定履行义务，不得将本项目（转包）给他人，一经发现，招标人有权立即终止合同，并追究中标人的违约责任和要求赔偿。</w:t>
      </w:r>
      <w:bookmarkStart w:id="347" w:name="_Toc9057"/>
      <w:bookmarkStart w:id="348" w:name="_Toc468718876"/>
      <w:r>
        <w:rPr>
          <w:rFonts w:hint="eastAsia" w:ascii="仿宋" w:hAnsi="仿宋" w:eastAsia="仿宋"/>
          <w:color w:val="000000" w:themeColor="text1"/>
          <w:sz w:val="32"/>
          <w:highlight w:val="none"/>
          <w14:textFill>
            <w14:solidFill>
              <w14:schemeClr w14:val="tx1"/>
            </w14:solidFill>
          </w14:textFill>
        </w:rPr>
        <w:br w:type="page"/>
      </w:r>
    </w:p>
    <w:p w14:paraId="1F2FDE8B">
      <w:pPr>
        <w:pStyle w:val="4"/>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349" w:name="_Toc11276"/>
      <w:bookmarkStart w:id="350" w:name="_Toc16107"/>
      <w:bookmarkStart w:id="351" w:name="_Toc16006"/>
      <w:bookmarkStart w:id="352" w:name="_Toc1105"/>
      <w:bookmarkStart w:id="353" w:name="_Toc10079"/>
      <w:r>
        <w:rPr>
          <w:rFonts w:hint="eastAsia" w:ascii="仿宋" w:hAnsi="仿宋" w:eastAsia="仿宋"/>
          <w:color w:val="000000" w:themeColor="text1"/>
          <w:sz w:val="32"/>
          <w:highlight w:val="none"/>
          <w14:textFill>
            <w14:solidFill>
              <w14:schemeClr w14:val="tx1"/>
            </w14:solidFill>
          </w14:textFill>
        </w:rPr>
        <w:t>第三节 报价要求</w:t>
      </w:r>
      <w:bookmarkEnd w:id="347"/>
      <w:bookmarkEnd w:id="348"/>
      <w:bookmarkEnd w:id="349"/>
      <w:bookmarkEnd w:id="350"/>
      <w:bookmarkEnd w:id="351"/>
      <w:bookmarkEnd w:id="352"/>
      <w:bookmarkEnd w:id="353"/>
    </w:p>
    <w:p w14:paraId="4881EC34">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354" w:name="_Toc468718878"/>
      <w:bookmarkStart w:id="355" w:name="_Toc306290240"/>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、报价以人民币为货币单位，应分单价、小计和总价。</w:t>
      </w:r>
    </w:p>
    <w:p w14:paraId="40DFA04D">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72C5AD96">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、投标人漏报的单价或每单价报价中漏报、少报的费用，视为此项费用已隐含在投标报价中，中标后不得再向招标人收取任何费用。</w:t>
      </w:r>
    </w:p>
    <w:p w14:paraId="5056C718">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、投标人对本项目只能有一个报价，招标人不接受有选择的报价。</w:t>
      </w:r>
    </w:p>
    <w:p w14:paraId="62B7BE67">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、中标人在提供服务的过程中，若出现安全事故，其责任及相应的赔偿均由中标人承担，</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招</w:t>
      </w:r>
      <w:r>
        <w:rPr>
          <w:rFonts w:hint="eastAsia" w:ascii="仿宋" w:hAnsi="仿宋" w:eastAsia="仿宋" w:cs="Times New Roman"/>
          <w:color w:val="000000" w:themeColor="text1"/>
          <w:sz w:val="32"/>
          <w:szCs w:val="32"/>
          <w:highlight w:val="none"/>
          <w14:textFill>
            <w14:solidFill>
              <w14:schemeClr w14:val="tx1"/>
            </w14:solidFill>
          </w14:textFill>
        </w:rPr>
        <w:t>标</w:t>
      </w:r>
      <w:r>
        <w:rPr>
          <w:rFonts w:hint="eastAsia" w:ascii="仿宋" w:hAnsi="仿宋" w:eastAsia="仿宋"/>
          <w:color w:val="000000" w:themeColor="text1"/>
          <w:sz w:val="32"/>
          <w:szCs w:val="32"/>
          <w:highlight w:val="none"/>
          <w14:textFill>
            <w14:solidFill>
              <w14:schemeClr w14:val="tx1"/>
            </w14:solidFill>
          </w14:textFill>
        </w:rPr>
        <w:t>人不承担所有责任及义务。</w:t>
      </w:r>
    </w:p>
    <w:p w14:paraId="0C3836FC">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w:t>
      </w:r>
      <w:bookmarkEnd w:id="354"/>
      <w:bookmarkEnd w:id="355"/>
      <w:r>
        <w:rPr>
          <w:rFonts w:hint="eastAsia" w:ascii="仿宋" w:hAnsi="仿宋" w:eastAsia="仿宋"/>
          <w:color w:val="000000" w:themeColor="text1"/>
          <w:sz w:val="32"/>
          <w:szCs w:val="32"/>
          <w:highlight w:val="none"/>
          <w14:textFill>
            <w14:solidFill>
              <w14:schemeClr w14:val="tx1"/>
            </w14:solidFill>
          </w14:textFill>
        </w:rPr>
        <w:t>履约保证金：中标人须向招标人缴交履约保证金，履约保证金在双方合同终止、交接清楚、质保期结束和债权债务等关系理顺后30日历天内无息返还。</w:t>
      </w:r>
    </w:p>
    <w:p w14:paraId="7874B7E4">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13987366">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631D46C4">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687E8268">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1F50DAFB">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bookmarkEnd w:id="8"/>
    <w:p w14:paraId="3637477E">
      <w:pPr>
        <w:keepNext w:val="0"/>
        <w:keepLines w:val="0"/>
        <w:spacing w:before="0" w:after="0"/>
        <w:jc w:val="center"/>
        <w:rPr>
          <w:rFonts w:hint="eastAsia"/>
          <w:color w:val="000000" w:themeColor="text1"/>
          <w14:textFill>
            <w14:solidFill>
              <w14:schemeClr w14:val="tx1"/>
            </w14:solidFill>
          </w14:textFill>
        </w:rPr>
      </w:pPr>
      <w:bookmarkStart w:id="356" w:name="_Toc12196"/>
    </w:p>
    <w:p w14:paraId="4653BD21">
      <w:pPr>
        <w:keepNext w:val="0"/>
        <w:keepLines w:val="0"/>
        <w:spacing w:before="0" w:after="0"/>
        <w:jc w:val="center"/>
        <w:rPr>
          <w:rFonts w:hint="eastAsia"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br w:type="page"/>
      </w:r>
    </w:p>
    <w:p w14:paraId="5AA686A4">
      <w:pPr>
        <w:rPr>
          <w:rFonts w:hint="eastAsia"/>
          <w:color w:val="000000" w:themeColor="text1"/>
          <w14:textFill>
            <w14:solidFill>
              <w14:schemeClr w14:val="tx1"/>
            </w14:solidFill>
          </w14:textFill>
        </w:rPr>
      </w:pPr>
    </w:p>
    <w:p w14:paraId="0E8FF54D">
      <w:pPr>
        <w:pStyle w:val="3"/>
        <w:keepNext w:val="0"/>
        <w:keepLines w:val="0"/>
        <w:numPr>
          <w:ilvl w:val="0"/>
          <w:numId w:val="3"/>
        </w:numPr>
        <w:spacing w:before="0" w:after="0" w:line="500" w:lineRule="exact"/>
        <w:ind w:firstLine="420" w:firstLineChars="0"/>
        <w:jc w:val="center"/>
        <w:rPr>
          <w:rFonts w:hint="eastAsia" w:ascii="仿宋" w:hAnsi="仿宋" w:eastAsia="仿宋" w:cs="Times New Roman"/>
          <w:color w:val="000000" w:themeColor="text1"/>
          <w:sz w:val="32"/>
          <w:szCs w:val="44"/>
          <w:highlight w:val="none"/>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 xml:space="preserve"> </w:t>
      </w:r>
      <w:bookmarkStart w:id="357" w:name="_Toc9113"/>
      <w:bookmarkStart w:id="358" w:name="_Toc16344"/>
      <w:bookmarkStart w:id="359" w:name="_Toc32601"/>
      <w:r>
        <w:rPr>
          <w:rFonts w:hint="eastAsia" w:ascii="仿宋" w:hAnsi="仿宋" w:eastAsia="仿宋" w:cs="Times New Roman"/>
          <w:color w:val="000000" w:themeColor="text1"/>
          <w:sz w:val="32"/>
          <w:szCs w:val="44"/>
          <w:highlight w:val="none"/>
          <w14:textFill>
            <w14:solidFill>
              <w14:schemeClr w14:val="tx1"/>
            </w14:solidFill>
          </w14:textFill>
        </w:rPr>
        <w:t>合同条款及格式</w:t>
      </w:r>
      <w:bookmarkEnd w:id="357"/>
      <w:bookmarkEnd w:id="358"/>
      <w:bookmarkEnd w:id="359"/>
    </w:p>
    <w:p w14:paraId="7073FD35">
      <w:pPr>
        <w:numPr>
          <w:ilvl w:val="-1"/>
          <w:numId w:val="0"/>
        </w:numPr>
        <w:rPr>
          <w:color w:val="000000" w:themeColor="text1"/>
          <w14:textFill>
            <w14:solidFill>
              <w14:schemeClr w14:val="tx1"/>
            </w14:solidFill>
          </w14:textFill>
        </w:rPr>
      </w:pPr>
    </w:p>
    <w:p w14:paraId="57ECFD30">
      <w:pPr>
        <w:pStyle w:val="13"/>
        <w:numPr>
          <w:ilvl w:val="0"/>
          <w:numId w:val="0"/>
        </w:numPr>
        <w:tabs>
          <w:tab w:val="left" w:pos="0"/>
          <w:tab w:val="left" w:pos="851"/>
          <w:tab w:val="left" w:pos="938"/>
          <w:tab w:val="clear" w:pos="1140"/>
        </w:tabs>
        <w:spacing w:line="360" w:lineRule="auto"/>
        <w:ind w:firstLine="643" w:firstLineChars="200"/>
        <w:jc w:val="center"/>
        <w:rPr>
          <w:rFonts w:hint="eastAsia" w:ascii="仿宋" w:hAnsi="仿宋" w:eastAsia="仿宋" w:cs="Times New Roman"/>
          <w:b/>
          <w:bCs/>
          <w:color w:val="000000" w:themeColor="text1"/>
          <w:kern w:val="44"/>
          <w:sz w:val="32"/>
          <w:szCs w:val="44"/>
          <w:highlight w:val="none"/>
          <w14:textFill>
            <w14:solidFill>
              <w14:schemeClr w14:val="tx1"/>
            </w14:solidFill>
          </w14:textFill>
        </w:rPr>
      </w:pPr>
      <w:r>
        <w:rPr>
          <w:rFonts w:hint="eastAsia" w:ascii="仿宋" w:hAnsi="仿宋" w:eastAsia="仿宋" w:cs="Times New Roman"/>
          <w:b/>
          <w:bCs/>
          <w:color w:val="000000" w:themeColor="text1"/>
          <w:kern w:val="44"/>
          <w:sz w:val="32"/>
          <w:szCs w:val="44"/>
          <w:highlight w:val="none"/>
          <w:lang w:val="en-US" w:eastAsia="zh-CN" w:bidi="ar-SA"/>
          <w14:textFill>
            <w14:solidFill>
              <w14:schemeClr w14:val="tx1"/>
            </w14:solidFill>
          </w14:textFill>
        </w:rPr>
        <w:t>秩序维护服务合同（参考文本）</w:t>
      </w:r>
      <w:bookmarkStart w:id="360" w:name="_Toc452989477"/>
      <w:bookmarkStart w:id="361" w:name="_Toc451441137"/>
    </w:p>
    <w:tbl>
      <w:tblPr>
        <w:tblStyle w:val="20"/>
        <w:tblW w:w="889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8893"/>
      </w:tblGrid>
      <w:tr w14:paraId="6524420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447" w:hRule="atLeast"/>
          <w:jc w:val="center"/>
        </w:trPr>
        <w:tc>
          <w:tcPr>
            <w:tcW w:w="8893" w:type="dxa"/>
            <w:noWrap w:val="0"/>
            <w:tcMar>
              <w:top w:w="0" w:type="dxa"/>
              <w:left w:w="108" w:type="dxa"/>
              <w:bottom w:w="0" w:type="dxa"/>
              <w:right w:w="108" w:type="dxa"/>
            </w:tcMar>
            <w:vAlign w:val="top"/>
          </w:tcPr>
          <w:p w14:paraId="6A387A84">
            <w:pPr>
              <w:widowControl/>
              <w:spacing w:line="420" w:lineRule="exact"/>
              <w:jc w:val="left"/>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注释：</w:t>
            </w:r>
          </w:p>
          <w:p w14:paraId="246CC4EA">
            <w:pPr>
              <w:widowControl/>
              <w:spacing w:line="420" w:lineRule="exact"/>
              <w:ind w:firstLine="480"/>
              <w:jc w:val="left"/>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本格式条款仅作为双方签订合同的参考，为阐明各方的权利和义务，经协商可增加新的条款、修改相关条款，但不得与招标文件、投标文件的实质性内容相背离。</w:t>
            </w:r>
          </w:p>
        </w:tc>
      </w:tr>
      <w:bookmarkEnd w:id="360"/>
      <w:bookmarkEnd w:id="361"/>
    </w:tbl>
    <w:p w14:paraId="5FE1A91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color w:val="000000" w:themeColor="text1"/>
          <w:sz w:val="24"/>
          <w14:textFill>
            <w14:solidFill>
              <w14:schemeClr w14:val="tx1"/>
            </w14:solidFill>
          </w14:textFill>
        </w:rPr>
      </w:pPr>
    </w:p>
    <w:p w14:paraId="58FBAC08">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 xml:space="preserve">合同编号：  </w:t>
      </w:r>
    </w:p>
    <w:p w14:paraId="49C7FD82">
      <w:pPr>
        <w:spacing w:line="360" w:lineRule="auto"/>
        <w:rPr>
          <w:rFonts w:ascii="宋体" w:hAnsi="宋体"/>
          <w:b/>
          <w:color w:val="000000" w:themeColor="text1"/>
          <w:sz w:val="24"/>
          <w:highlight w:val="none"/>
          <w14:textFill>
            <w14:solidFill>
              <w14:schemeClr w14:val="tx1"/>
            </w14:solidFill>
          </w14:textFill>
        </w:rPr>
      </w:pPr>
    </w:p>
    <w:p w14:paraId="5D5FA5FF">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甲方：    </w:t>
      </w:r>
    </w:p>
    <w:p w14:paraId="009FA7B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法定代表人：    </w:t>
      </w:r>
    </w:p>
    <w:p w14:paraId="42779CC2">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住所地：      </w:t>
      </w:r>
    </w:p>
    <w:p w14:paraId="6463E210">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乙方：           </w:t>
      </w:r>
    </w:p>
    <w:p w14:paraId="594CE11C">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法定代表人：            </w:t>
      </w:r>
    </w:p>
    <w:p w14:paraId="4C5FA814">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住所地：          </w:t>
      </w:r>
    </w:p>
    <w:p w14:paraId="76682CD8">
      <w:pPr>
        <w:spacing w:line="480" w:lineRule="exact"/>
        <w:jc w:val="left"/>
        <w:rPr>
          <w:rFonts w:asciiTheme="minorEastAsia" w:hAnsiTheme="minorEastAsia" w:eastAsiaTheme="minorEastAsia" w:cstheme="majorEastAsia"/>
          <w:color w:val="000000" w:themeColor="text1"/>
          <w:sz w:val="24"/>
          <w14:textFill>
            <w14:solidFill>
              <w14:schemeClr w14:val="tx1"/>
            </w14:solidFill>
          </w14:textFill>
        </w:rPr>
      </w:pPr>
    </w:p>
    <w:p w14:paraId="57151270">
      <w:pPr>
        <w:adjustRightInd w:val="0"/>
        <w:snapToGrid w:val="0"/>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根据《中华人民共和国民法典》等相关法律法规，在甲乙双方自愿、平等互利、协商一致的基础上，甲方将实施物业管理服务的</w:t>
      </w:r>
      <w:r>
        <w:rPr>
          <w:rFonts w:hint="eastAsia" w:asciiTheme="minorEastAsia" w:hAnsiTheme="minorEastAsia" w:eastAsiaTheme="minorEastAsia" w:cstheme="maj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z w:val="24"/>
          <w14:textFill>
            <w14:solidFill>
              <w14:schemeClr w14:val="tx1"/>
            </w14:solidFill>
          </w14:textFill>
        </w:rPr>
        <w:t>项目（以下简称“本项目”）秩序维护服务委托乙方。为明确双方的义务并保障双方权益，特订立本合同。</w:t>
      </w:r>
    </w:p>
    <w:p w14:paraId="493A93BF">
      <w:pPr>
        <w:rPr>
          <w:color w:val="000000" w:themeColor="text1"/>
          <w14:textFill>
            <w14:solidFill>
              <w14:schemeClr w14:val="tx1"/>
            </w14:solidFill>
          </w14:textFill>
        </w:rPr>
      </w:pPr>
    </w:p>
    <w:p w14:paraId="4B3830FB">
      <w:pPr>
        <w:ind w:firstLine="482"/>
        <w:jc w:val="left"/>
        <w:rPr>
          <w:rFonts w:hint="eastAsia"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第一条  合同标的、期限及总价</w:t>
      </w:r>
    </w:p>
    <w:p w14:paraId="71503660">
      <w:pPr>
        <w:adjustRightInd w:val="0"/>
        <w:snapToGrid w:val="0"/>
        <w:spacing w:line="460" w:lineRule="exact"/>
        <w:ind w:firstLine="500" w:firstLineChars="200"/>
        <w:jc w:val="left"/>
        <w:rPr>
          <w:rFonts w:asciiTheme="minorEastAsia" w:hAnsiTheme="minorEastAsia" w:eastAsiaTheme="minorEastAsia" w:cstheme="majorEastAsia"/>
          <w:color w:val="000000" w:themeColor="text1"/>
          <w:spacing w:val="29"/>
          <w:sz w:val="24"/>
          <w14:textFill>
            <w14:solidFill>
              <w14:schemeClr w14:val="tx1"/>
            </w14:solidFill>
          </w14:textFill>
        </w:rPr>
      </w:pPr>
      <w:r>
        <w:rPr>
          <w:rFonts w:asciiTheme="minorEastAsia" w:hAnsiTheme="minorEastAsia" w:eastAsiaTheme="minorEastAsia" w:cstheme="majorEastAsia"/>
          <w:color w:val="000000" w:themeColor="text1"/>
          <w:spacing w:val="5"/>
          <w:sz w:val="24"/>
          <w14:textFill>
            <w14:solidFill>
              <w14:schemeClr w14:val="tx1"/>
            </w14:solidFill>
          </w14:textFill>
        </w:rPr>
        <w:t>1</w:t>
      </w:r>
      <w:r>
        <w:rPr>
          <w:rFonts w:hint="eastAsia" w:asciiTheme="minorEastAsia" w:hAnsiTheme="minorEastAsia" w:eastAsiaTheme="minorEastAsia" w:cstheme="majorEastAsia"/>
          <w:color w:val="000000" w:themeColor="text1"/>
          <w:spacing w:val="5"/>
          <w:sz w:val="24"/>
          <w14:textFill>
            <w14:solidFill>
              <w14:schemeClr w14:val="tx1"/>
            </w14:solidFill>
          </w14:textFill>
        </w:rPr>
        <w:t>、</w:t>
      </w:r>
      <w:r>
        <w:rPr>
          <w:rFonts w:hint="eastAsia" w:asciiTheme="minorEastAsia" w:hAnsiTheme="minorEastAsia" w:eastAsiaTheme="minorEastAsia" w:cstheme="majorEastAsia"/>
          <w:color w:val="000000" w:themeColor="text1"/>
          <w:spacing w:val="29"/>
          <w:sz w:val="24"/>
          <w14:textFill>
            <w14:solidFill>
              <w14:schemeClr w14:val="tx1"/>
            </w14:solidFill>
          </w14:textFill>
        </w:rPr>
        <w:t>合同期限：</w:t>
      </w:r>
    </w:p>
    <w:p w14:paraId="7CA8BD16">
      <w:pPr>
        <w:pStyle w:val="9"/>
        <w:adjustRightInd w:val="0"/>
        <w:snapToGrid w:val="0"/>
        <w:spacing w:line="460" w:lineRule="exact"/>
        <w:ind w:firstLine="504" w:firstLineChars="200"/>
        <w:rPr>
          <w:rFonts w:asciiTheme="minorEastAsia" w:hAnsiTheme="minorEastAsia" w:eastAsiaTheme="minorEastAsia" w:cstheme="majorEastAsia"/>
          <w:color w:val="000000" w:themeColor="text1"/>
          <w:spacing w:val="6"/>
          <w:sz w:val="24"/>
          <w14:textFill>
            <w14:solidFill>
              <w14:schemeClr w14:val="tx1"/>
            </w14:solidFill>
          </w14:textFill>
        </w:rPr>
      </w:pPr>
      <w:r>
        <w:rPr>
          <w:rFonts w:asciiTheme="minorEastAsia" w:hAnsiTheme="minorEastAsia" w:eastAsiaTheme="minorEastAsia" w:cstheme="majorEastAsia"/>
          <w:color w:val="000000" w:themeColor="text1"/>
          <w:spacing w:val="6"/>
          <w:sz w:val="24"/>
          <w14:textFill>
            <w14:solidFill>
              <w14:schemeClr w14:val="tx1"/>
            </w14:solidFill>
          </w14:textFill>
        </w:rPr>
        <w:t>1</w:t>
      </w:r>
      <w:r>
        <w:rPr>
          <w:rFonts w:hint="eastAsia" w:asciiTheme="minorEastAsia" w:hAnsiTheme="minorEastAsia" w:eastAsiaTheme="minorEastAsia" w:cstheme="majorEastAsia"/>
          <w:color w:val="000000" w:themeColor="text1"/>
          <w:spacing w:val="6"/>
          <w:sz w:val="24"/>
          <w14:textFill>
            <w14:solidFill>
              <w14:schemeClr w14:val="tx1"/>
            </w14:solidFill>
          </w14:textFill>
        </w:rPr>
        <w:t>.1合同期限为</w:t>
      </w:r>
      <w:r>
        <w:rPr>
          <w:rFonts w:hint="eastAsia" w:asciiTheme="minorEastAsia" w:hAnsiTheme="minorEastAsia" w:eastAsiaTheme="minorEastAsia" w:cstheme="majorEastAsia"/>
          <w:color w:val="000000" w:themeColor="text1"/>
          <w:spacing w:val="6"/>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6"/>
          <w:sz w:val="24"/>
          <w14:textFill>
            <w14:solidFill>
              <w14:schemeClr w14:val="tx1"/>
            </w14:solidFill>
          </w14:textFill>
        </w:rPr>
        <w:t>个月，即自</w:t>
      </w:r>
      <w:r>
        <w:rPr>
          <w:rFonts w:hint="eastAsia" w:asciiTheme="minorEastAsia" w:hAnsiTheme="minorEastAsia" w:eastAsiaTheme="minorEastAsia" w:cstheme="majorEastAsia"/>
          <w:color w:val="000000" w:themeColor="text1"/>
          <w:spacing w:val="6"/>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6"/>
          <w:sz w:val="24"/>
          <w14:textFill>
            <w14:solidFill>
              <w14:schemeClr w14:val="tx1"/>
            </w14:solidFill>
          </w14:textFill>
        </w:rPr>
        <w:t>年</w:t>
      </w:r>
      <w:r>
        <w:rPr>
          <w:rFonts w:hint="eastAsia" w:asciiTheme="minorEastAsia" w:hAnsiTheme="minorEastAsia" w:eastAsiaTheme="minorEastAsia" w:cstheme="majorEastAsia"/>
          <w:color w:val="000000" w:themeColor="text1"/>
          <w:spacing w:val="6"/>
          <w:sz w:val="24"/>
          <w:u w:val="single"/>
          <w:lang w:eastAsia="zh-CN"/>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6"/>
          <w:sz w:val="24"/>
          <w:u w:val="single"/>
          <w:lang w:val="en-US" w:eastAsia="zh-CN"/>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6"/>
          <w:sz w:val="24"/>
          <w14:textFill>
            <w14:solidFill>
              <w14:schemeClr w14:val="tx1"/>
            </w14:solidFill>
          </w14:textFill>
        </w:rPr>
        <w:t>月</w:t>
      </w:r>
      <w:r>
        <w:rPr>
          <w:rFonts w:hint="eastAsia" w:asciiTheme="minorEastAsia" w:hAnsiTheme="minorEastAsia" w:eastAsiaTheme="minorEastAsia" w:cstheme="majorEastAsia"/>
          <w:color w:val="000000" w:themeColor="text1"/>
          <w:spacing w:val="6"/>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6"/>
          <w:sz w:val="24"/>
          <w14:textFill>
            <w14:solidFill>
              <w14:schemeClr w14:val="tx1"/>
            </w14:solidFill>
          </w14:textFill>
        </w:rPr>
        <w:t>日起至</w:t>
      </w:r>
      <w:r>
        <w:rPr>
          <w:rFonts w:hint="eastAsia" w:asciiTheme="minorEastAsia" w:hAnsiTheme="minorEastAsia" w:eastAsiaTheme="minorEastAsia" w:cstheme="majorEastAsia"/>
          <w:color w:val="000000" w:themeColor="text1"/>
          <w:spacing w:val="6"/>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6"/>
          <w:sz w:val="24"/>
          <w14:textFill>
            <w14:solidFill>
              <w14:schemeClr w14:val="tx1"/>
            </w14:solidFill>
          </w14:textFill>
        </w:rPr>
        <w:t>年</w:t>
      </w:r>
      <w:r>
        <w:rPr>
          <w:rFonts w:hint="eastAsia" w:asciiTheme="minorEastAsia" w:hAnsiTheme="minorEastAsia" w:eastAsiaTheme="minorEastAsia" w:cstheme="majorEastAsia"/>
          <w:color w:val="000000" w:themeColor="text1"/>
          <w:spacing w:val="6"/>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6"/>
          <w:sz w:val="24"/>
          <w14:textFill>
            <w14:solidFill>
              <w14:schemeClr w14:val="tx1"/>
            </w14:solidFill>
          </w14:textFill>
        </w:rPr>
        <w:t>月</w:t>
      </w:r>
      <w:r>
        <w:rPr>
          <w:rFonts w:hint="eastAsia" w:asciiTheme="minorEastAsia" w:hAnsiTheme="minorEastAsia" w:eastAsiaTheme="minorEastAsia" w:cstheme="majorEastAsia"/>
          <w:color w:val="000000" w:themeColor="text1"/>
          <w:spacing w:val="6"/>
          <w:sz w:val="24"/>
          <w:u w:val="single"/>
          <w:lang w:val="en-US" w:eastAsia="zh-CN"/>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6"/>
          <w:sz w:val="24"/>
          <w14:textFill>
            <w14:solidFill>
              <w14:schemeClr w14:val="tx1"/>
            </w14:solidFill>
          </w14:textFill>
        </w:rPr>
        <w:t>日止。</w:t>
      </w:r>
    </w:p>
    <w:p w14:paraId="14340270">
      <w:pPr>
        <w:pStyle w:val="9"/>
        <w:adjustRightInd w:val="0"/>
        <w:snapToGrid w:val="0"/>
        <w:spacing w:line="460" w:lineRule="exact"/>
        <w:ind w:firstLine="504" w:firstLineChars="200"/>
        <w:rPr>
          <w:rFonts w:asciiTheme="minorEastAsia" w:hAnsiTheme="minorEastAsia" w:eastAsiaTheme="minorEastAsia" w:cstheme="majorEastAsia"/>
          <w:color w:val="000000" w:themeColor="text1"/>
          <w:spacing w:val="6"/>
          <w:sz w:val="24"/>
          <w14:textFill>
            <w14:solidFill>
              <w14:schemeClr w14:val="tx1"/>
            </w14:solidFill>
          </w14:textFill>
        </w:rPr>
      </w:pPr>
      <w:r>
        <w:rPr>
          <w:rFonts w:asciiTheme="minorEastAsia" w:hAnsiTheme="minorEastAsia" w:eastAsiaTheme="minorEastAsia" w:cstheme="majorEastAsia"/>
          <w:color w:val="000000" w:themeColor="text1"/>
          <w:spacing w:val="6"/>
          <w:sz w:val="24"/>
          <w14:textFill>
            <w14:solidFill>
              <w14:schemeClr w14:val="tx1"/>
            </w14:solidFill>
          </w14:textFill>
        </w:rPr>
        <w:t>1</w:t>
      </w:r>
      <w:r>
        <w:rPr>
          <w:rFonts w:hint="eastAsia" w:asciiTheme="minorEastAsia" w:hAnsiTheme="minorEastAsia" w:eastAsiaTheme="minorEastAsia" w:cstheme="majorEastAsia"/>
          <w:color w:val="000000" w:themeColor="text1"/>
          <w:spacing w:val="6"/>
          <w:sz w:val="24"/>
          <w14:textFill>
            <w14:solidFill>
              <w14:schemeClr w14:val="tx1"/>
            </w14:solidFill>
          </w14:textFill>
        </w:rPr>
        <w:t>.2合同期内，若甲方终止本项目的物业管理服务，则本合同自然同日终止，甲乙双方互不承担违约责任。</w:t>
      </w:r>
    </w:p>
    <w:p w14:paraId="119017F8">
      <w:pPr>
        <w:pStyle w:val="9"/>
        <w:adjustRightInd w:val="0"/>
        <w:snapToGrid w:val="0"/>
        <w:spacing w:line="460" w:lineRule="exact"/>
        <w:ind w:firstLine="504" w:firstLineChars="200"/>
        <w:rPr>
          <w:rFonts w:asciiTheme="minorEastAsia" w:hAnsiTheme="minorEastAsia" w:eastAsiaTheme="minorEastAsia" w:cstheme="majorEastAsia"/>
          <w:color w:val="000000" w:themeColor="text1"/>
          <w:spacing w:val="6"/>
          <w:sz w:val="24"/>
          <w14:textFill>
            <w14:solidFill>
              <w14:schemeClr w14:val="tx1"/>
            </w14:solidFill>
          </w14:textFill>
        </w:rPr>
      </w:pPr>
      <w:r>
        <w:rPr>
          <w:rFonts w:asciiTheme="minorEastAsia" w:hAnsiTheme="minorEastAsia" w:eastAsiaTheme="minorEastAsia" w:cstheme="majorEastAsia"/>
          <w:color w:val="000000" w:themeColor="text1"/>
          <w:spacing w:val="6"/>
          <w:sz w:val="24"/>
          <w14:textFill>
            <w14:solidFill>
              <w14:schemeClr w14:val="tx1"/>
            </w14:solidFill>
          </w14:textFill>
        </w:rPr>
        <w:t>2</w:t>
      </w:r>
      <w:r>
        <w:rPr>
          <w:rFonts w:hint="eastAsia" w:asciiTheme="minorEastAsia" w:hAnsiTheme="minorEastAsia" w:eastAsiaTheme="minorEastAsia" w:cstheme="majorEastAsia"/>
          <w:color w:val="000000" w:themeColor="text1"/>
          <w:spacing w:val="6"/>
          <w:sz w:val="24"/>
          <w14:textFill>
            <w14:solidFill>
              <w14:schemeClr w14:val="tx1"/>
            </w14:solidFill>
          </w14:textFill>
        </w:rPr>
        <w:t>、合同总价：含税金额人民币</w:t>
      </w:r>
      <w:r>
        <w:rPr>
          <w:rFonts w:hint="eastAsia" w:ascii="宋体" w:hAnsi="宋体"/>
          <w:b/>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p>
    <w:p w14:paraId="1CF41058">
      <w:pPr>
        <w:pStyle w:val="9"/>
        <w:adjustRightInd w:val="0"/>
        <w:snapToGrid w:val="0"/>
        <w:spacing w:line="460" w:lineRule="exact"/>
        <w:ind w:firstLine="504" w:firstLineChars="200"/>
        <w:rPr>
          <w:rFonts w:asciiTheme="minorEastAsia" w:hAnsiTheme="minorEastAsia" w:eastAsiaTheme="minorEastAsia" w:cstheme="majorEastAsia"/>
          <w:color w:val="000000" w:themeColor="text1"/>
          <w:spacing w:val="6"/>
          <w:sz w:val="24"/>
          <w14:textFill>
            <w14:solidFill>
              <w14:schemeClr w14:val="tx1"/>
            </w14:solidFill>
          </w14:textFill>
        </w:rPr>
      </w:pPr>
      <w:r>
        <w:rPr>
          <w:rFonts w:asciiTheme="minorEastAsia" w:hAnsiTheme="minorEastAsia" w:eastAsiaTheme="minorEastAsia" w:cstheme="majorEastAsia"/>
          <w:color w:val="000000" w:themeColor="text1"/>
          <w:spacing w:val="6"/>
          <w:sz w:val="24"/>
          <w14:textFill>
            <w14:solidFill>
              <w14:schemeClr w14:val="tx1"/>
            </w14:solidFill>
          </w14:textFill>
        </w:rPr>
        <w:t>3</w:t>
      </w:r>
      <w:r>
        <w:rPr>
          <w:rFonts w:hint="eastAsia" w:asciiTheme="minorEastAsia" w:hAnsiTheme="minorEastAsia" w:eastAsiaTheme="minorEastAsia" w:cstheme="majorEastAsia"/>
          <w:color w:val="000000" w:themeColor="text1"/>
          <w:spacing w:val="6"/>
          <w:sz w:val="24"/>
          <w14:textFill>
            <w14:solidFill>
              <w14:schemeClr w14:val="tx1"/>
            </w14:solidFill>
          </w14:textFill>
        </w:rPr>
        <w:t>、合同单价：《各岗位人员服务费用明细》详见下表</w:t>
      </w:r>
    </w:p>
    <w:p w14:paraId="52876A26">
      <w:pPr>
        <w:spacing w:line="23" w:lineRule="exact"/>
        <w:rPr>
          <w:rFonts w:asciiTheme="minorEastAsia" w:hAnsiTheme="minorEastAsia" w:eastAsiaTheme="minorEastAsia"/>
          <w:color w:val="000000" w:themeColor="text1"/>
          <w14:textFill>
            <w14:solidFill>
              <w14:schemeClr w14:val="tx1"/>
            </w14:solidFill>
          </w14:textFill>
        </w:rPr>
      </w:pPr>
    </w:p>
    <w:tbl>
      <w:tblPr>
        <w:tblStyle w:val="37"/>
        <w:tblW w:w="84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916"/>
        <w:gridCol w:w="1701"/>
        <w:gridCol w:w="1559"/>
        <w:gridCol w:w="1559"/>
        <w:gridCol w:w="1701"/>
      </w:tblGrid>
      <w:tr w14:paraId="1B482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9" w:type="dxa"/>
            <w:vAlign w:val="center"/>
          </w:tcPr>
          <w:p w14:paraId="6397F02B">
            <w:pPr>
              <w:pStyle w:val="36"/>
              <w:adjustRightInd w:val="0"/>
              <w:snapToGrid w:val="0"/>
              <w:spacing w:before="74" w:line="240" w:lineRule="exact"/>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pacing w:val="4"/>
                <w14:textFill>
                  <w14:solidFill>
                    <w14:schemeClr w14:val="tx1"/>
                  </w14:solidFill>
                </w14:textFill>
              </w:rPr>
              <w:t>岗位</w:t>
            </w:r>
          </w:p>
        </w:tc>
        <w:tc>
          <w:tcPr>
            <w:tcW w:w="916" w:type="dxa"/>
            <w:vAlign w:val="center"/>
          </w:tcPr>
          <w:p w14:paraId="2C34A923">
            <w:pPr>
              <w:pStyle w:val="36"/>
              <w:adjustRightInd w:val="0"/>
              <w:snapToGrid w:val="0"/>
              <w:spacing w:before="75" w:line="240" w:lineRule="exact"/>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pacing w:val="4"/>
                <w14:textFill>
                  <w14:solidFill>
                    <w14:schemeClr w14:val="tx1"/>
                  </w14:solidFill>
                </w14:textFill>
              </w:rPr>
              <w:t>人数</w:t>
            </w:r>
          </w:p>
        </w:tc>
        <w:tc>
          <w:tcPr>
            <w:tcW w:w="1701" w:type="dxa"/>
            <w:vAlign w:val="center"/>
          </w:tcPr>
          <w:p w14:paraId="5BCD5FBA">
            <w:pPr>
              <w:pStyle w:val="36"/>
              <w:adjustRightInd w:val="0"/>
              <w:snapToGrid w:val="0"/>
              <w:spacing w:before="40" w:line="240" w:lineRule="exact"/>
              <w:ind w:left="163" w:right="49" w:hanging="59"/>
              <w:rPr>
                <w:rFonts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spacing w:val="-3"/>
                <w:lang w:eastAsia="zh-CN"/>
                <w14:textFill>
                  <w14:solidFill>
                    <w14:schemeClr w14:val="tx1"/>
                  </w14:solidFill>
                </w14:textFill>
              </w:rPr>
              <w:t>月单价(元</w:t>
            </w:r>
            <w:r>
              <w:rPr>
                <w:rFonts w:asciiTheme="minorEastAsia" w:hAnsiTheme="minorEastAsia" w:eastAsiaTheme="minorEastAsia"/>
                <w:color w:val="000000" w:themeColor="text1"/>
                <w:lang w:eastAsia="zh-CN"/>
                <w14:textFill>
                  <w14:solidFill>
                    <w14:schemeClr w14:val="tx1"/>
                  </w14:solidFill>
                </w14:textFill>
              </w:rPr>
              <w:t xml:space="preserve"> </w:t>
            </w:r>
            <w:r>
              <w:rPr>
                <w:rFonts w:asciiTheme="minorEastAsia" w:hAnsiTheme="minorEastAsia" w:eastAsiaTheme="minorEastAsia"/>
                <w:color w:val="000000" w:themeColor="text1"/>
                <w:spacing w:val="-24"/>
                <w:lang w:eastAsia="zh-CN"/>
                <w14:textFill>
                  <w14:solidFill>
                    <w14:schemeClr w14:val="tx1"/>
                  </w14:solidFill>
                </w14:textFill>
              </w:rPr>
              <w:t>/月 /</w:t>
            </w:r>
            <w:r>
              <w:rPr>
                <w:rFonts w:asciiTheme="minorEastAsia" w:hAnsiTheme="minorEastAsia" w:eastAsiaTheme="minorEastAsia"/>
                <w:color w:val="000000" w:themeColor="text1"/>
                <w:spacing w:val="-87"/>
                <w:lang w:eastAsia="zh-CN"/>
                <w14:textFill>
                  <w14:solidFill>
                    <w14:schemeClr w14:val="tx1"/>
                  </w14:solidFill>
                </w14:textFill>
              </w:rPr>
              <w:t xml:space="preserve"> </w:t>
            </w:r>
            <w:r>
              <w:rPr>
                <w:rFonts w:asciiTheme="minorEastAsia" w:hAnsiTheme="minorEastAsia" w:eastAsiaTheme="minorEastAsia"/>
                <w:color w:val="000000" w:themeColor="text1"/>
                <w:spacing w:val="-24"/>
                <w:lang w:eastAsia="zh-CN"/>
                <w14:textFill>
                  <w14:solidFill>
                    <w14:schemeClr w14:val="tx1"/>
                  </w14:solidFill>
                </w14:textFill>
              </w:rPr>
              <w:t>人，</w:t>
            </w:r>
            <w:r>
              <w:rPr>
                <w:rFonts w:asciiTheme="minorEastAsia" w:hAnsiTheme="minorEastAsia" w:eastAsiaTheme="minorEastAsia"/>
                <w:color w:val="000000" w:themeColor="text1"/>
                <w:lang w:eastAsia="zh-CN"/>
                <w14:textFill>
                  <w14:solidFill>
                    <w14:schemeClr w14:val="tx1"/>
                  </w14:solidFill>
                </w14:textFill>
              </w:rPr>
              <w:t xml:space="preserve"> </w:t>
            </w:r>
            <w:r>
              <w:rPr>
                <w:rFonts w:asciiTheme="minorEastAsia" w:hAnsiTheme="minorEastAsia" w:eastAsiaTheme="minorEastAsia"/>
                <w:color w:val="000000" w:themeColor="text1"/>
                <w:spacing w:val="26"/>
                <w:lang w:eastAsia="zh-CN"/>
                <w14:textFill>
                  <w14:solidFill>
                    <w14:schemeClr w14:val="tx1"/>
                  </w14:solidFill>
                </w14:textFill>
              </w:rPr>
              <w:t>含税价)</w:t>
            </w:r>
          </w:p>
        </w:tc>
        <w:tc>
          <w:tcPr>
            <w:tcW w:w="1559" w:type="dxa"/>
            <w:vAlign w:val="center"/>
          </w:tcPr>
          <w:p w14:paraId="314F6DF2">
            <w:pPr>
              <w:pStyle w:val="36"/>
              <w:adjustRightInd w:val="0"/>
              <w:snapToGrid w:val="0"/>
              <w:spacing w:before="54" w:line="240" w:lineRule="exact"/>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pacing w:val="3"/>
                <w14:textFill>
                  <w14:solidFill>
                    <w14:schemeClr w14:val="tx1"/>
                  </w14:solidFill>
                </w14:textFill>
              </w:rPr>
              <w:t>月小计</w:t>
            </w:r>
            <w:r>
              <w:rPr>
                <w:rFonts w:asciiTheme="minorEastAsia" w:hAnsiTheme="minorEastAsia" w:eastAsiaTheme="minorEastAsia"/>
                <w:color w:val="000000" w:themeColor="text1"/>
                <w:spacing w:val="1"/>
                <w14:textFill>
                  <w14:solidFill>
                    <w14:schemeClr w14:val="tx1"/>
                  </w14:solidFill>
                </w14:textFill>
              </w:rPr>
              <w:t>(元/月，含</w:t>
            </w:r>
            <w:r>
              <w:rPr>
                <w:rFonts w:asciiTheme="minorEastAsia" w:hAnsiTheme="minorEastAsia" w:eastAsiaTheme="minorEastAsia"/>
                <w:color w:val="000000" w:themeColor="text1"/>
                <w:spacing w:val="18"/>
                <w14:textFill>
                  <w14:solidFill>
                    <w14:schemeClr w14:val="tx1"/>
                  </w14:solidFill>
                </w14:textFill>
              </w:rPr>
              <w:t>税价)</w:t>
            </w:r>
          </w:p>
        </w:tc>
        <w:tc>
          <w:tcPr>
            <w:tcW w:w="1559" w:type="dxa"/>
            <w:vAlign w:val="center"/>
          </w:tcPr>
          <w:p w14:paraId="7EF04207">
            <w:pPr>
              <w:pStyle w:val="36"/>
              <w:adjustRightInd w:val="0"/>
              <w:snapToGrid w:val="0"/>
              <w:spacing w:before="54" w:line="240" w:lineRule="exact"/>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pacing w:val="-3"/>
                <w14:textFill>
                  <w14:solidFill>
                    <w14:schemeClr w14:val="tx1"/>
                  </w14:solidFill>
                </w14:textFill>
              </w:rPr>
              <w:t>年小计</w:t>
            </w:r>
            <w:r>
              <w:rPr>
                <w:rFonts w:asciiTheme="minorEastAsia" w:hAnsiTheme="minorEastAsia" w:eastAsiaTheme="minorEastAsia"/>
                <w:color w:val="000000" w:themeColor="text1"/>
                <w:spacing w:val="1"/>
                <w14:textFill>
                  <w14:solidFill>
                    <w14:schemeClr w14:val="tx1"/>
                  </w14:solidFill>
                </w14:textFill>
              </w:rPr>
              <w:t>(元/年，含</w:t>
            </w:r>
            <w:r>
              <w:rPr>
                <w:rFonts w:asciiTheme="minorEastAsia" w:hAnsiTheme="minorEastAsia" w:eastAsiaTheme="minorEastAsia"/>
                <w:color w:val="000000" w:themeColor="text1"/>
                <w:spacing w:val="15"/>
                <w14:textFill>
                  <w14:solidFill>
                    <w14:schemeClr w14:val="tx1"/>
                  </w14:solidFill>
                </w14:textFill>
              </w:rPr>
              <w:t>税价)</w:t>
            </w:r>
          </w:p>
        </w:tc>
        <w:tc>
          <w:tcPr>
            <w:tcW w:w="1701" w:type="dxa"/>
            <w:vAlign w:val="center"/>
          </w:tcPr>
          <w:p w14:paraId="0C1F646C">
            <w:pPr>
              <w:pStyle w:val="36"/>
              <w:adjustRightInd w:val="0"/>
              <w:snapToGrid w:val="0"/>
              <w:spacing w:before="54" w:line="240" w:lineRule="exact"/>
              <w:jc w:val="center"/>
              <w:rPr>
                <w:rFonts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spacing w:val="-3"/>
                <w:lang w:eastAsia="zh-CN"/>
                <w14:textFill>
                  <w14:solidFill>
                    <w14:schemeClr w14:val="tx1"/>
                  </w14:solidFill>
                </w14:textFill>
              </w:rPr>
              <w:t>年度</w:t>
            </w:r>
            <w:r>
              <w:rPr>
                <w:rFonts w:asciiTheme="minorEastAsia" w:hAnsiTheme="minorEastAsia" w:eastAsiaTheme="minorEastAsia"/>
                <w:color w:val="000000" w:themeColor="text1"/>
                <w:spacing w:val="-3"/>
                <w:lang w:eastAsia="zh-CN"/>
                <w14:textFill>
                  <w14:solidFill>
                    <w14:schemeClr w14:val="tx1"/>
                  </w14:solidFill>
                </w14:textFill>
              </w:rPr>
              <w:t>合计</w:t>
            </w:r>
            <w:r>
              <w:rPr>
                <w:rFonts w:asciiTheme="minorEastAsia" w:hAnsiTheme="minorEastAsia" w:eastAsiaTheme="minorEastAsia"/>
                <w:color w:val="000000" w:themeColor="text1"/>
                <w:spacing w:val="1"/>
                <w:lang w:eastAsia="zh-CN"/>
                <w14:textFill>
                  <w14:solidFill>
                    <w14:schemeClr w14:val="tx1"/>
                  </w14:solidFill>
                </w14:textFill>
              </w:rPr>
              <w:t>(元/年，含</w:t>
            </w:r>
            <w:r>
              <w:rPr>
                <w:rFonts w:asciiTheme="minorEastAsia" w:hAnsiTheme="minorEastAsia" w:eastAsiaTheme="minorEastAsia"/>
                <w:color w:val="000000" w:themeColor="text1"/>
                <w:spacing w:val="15"/>
                <w:lang w:eastAsia="zh-CN"/>
                <w14:textFill>
                  <w14:solidFill>
                    <w14:schemeClr w14:val="tx1"/>
                  </w14:solidFill>
                </w14:textFill>
              </w:rPr>
              <w:t>税价)</w:t>
            </w:r>
          </w:p>
        </w:tc>
      </w:tr>
      <w:tr w14:paraId="38BA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59" w:type="dxa"/>
            <w:vAlign w:val="center"/>
          </w:tcPr>
          <w:p w14:paraId="1A7C5C27">
            <w:pPr>
              <w:pStyle w:val="36"/>
              <w:spacing w:before="43" w:line="204" w:lineRule="auto"/>
              <w:jc w:val="center"/>
              <w:rPr>
                <w:rFonts w:asciiTheme="minorEastAsia" w:hAnsiTheme="minorEastAsia" w:eastAsiaTheme="minorEastAsia"/>
                <w:color w:val="000000" w:themeColor="text1"/>
                <w:spacing w:val="8"/>
                <w:lang w:eastAsia="zh-CN"/>
                <w14:textFill>
                  <w14:solidFill>
                    <w14:schemeClr w14:val="tx1"/>
                  </w14:solidFill>
                </w14:textFill>
              </w:rPr>
            </w:pPr>
            <w:r>
              <w:rPr>
                <w:rFonts w:hint="eastAsia" w:asciiTheme="minorEastAsia" w:hAnsiTheme="minorEastAsia" w:eastAsiaTheme="minorEastAsia"/>
                <w:color w:val="000000" w:themeColor="text1"/>
                <w:spacing w:val="8"/>
                <w:lang w:eastAsia="zh-CN"/>
                <w14:textFill>
                  <w14:solidFill>
                    <w14:schemeClr w14:val="tx1"/>
                  </w14:solidFill>
                </w14:textFill>
              </w:rPr>
              <w:t>主管岗</w:t>
            </w:r>
          </w:p>
        </w:tc>
        <w:tc>
          <w:tcPr>
            <w:tcW w:w="916" w:type="dxa"/>
            <w:vAlign w:val="center"/>
          </w:tcPr>
          <w:p w14:paraId="2AAC7CB8">
            <w:pPr>
              <w:pStyle w:val="36"/>
              <w:spacing w:before="67" w:line="185" w:lineRule="auto"/>
              <w:ind w:left="163"/>
              <w:rPr>
                <w:rFonts w:asciiTheme="minorEastAsia" w:hAnsiTheme="minorEastAsia" w:eastAsiaTheme="minorEastAsia"/>
                <w:color w:val="000000" w:themeColor="text1"/>
                <w14:textFill>
                  <w14:solidFill>
                    <w14:schemeClr w14:val="tx1"/>
                  </w14:solidFill>
                </w14:textFill>
              </w:rPr>
            </w:pPr>
          </w:p>
        </w:tc>
        <w:tc>
          <w:tcPr>
            <w:tcW w:w="1701" w:type="dxa"/>
            <w:vAlign w:val="center"/>
          </w:tcPr>
          <w:p w14:paraId="66744779">
            <w:pPr>
              <w:pStyle w:val="36"/>
              <w:spacing w:before="67" w:line="185" w:lineRule="auto"/>
              <w:ind w:left="214"/>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46355DD0">
            <w:pPr>
              <w:pStyle w:val="36"/>
              <w:spacing w:before="67" w:line="185" w:lineRule="auto"/>
              <w:ind w:left="105"/>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4E7390BC">
            <w:pPr>
              <w:pStyle w:val="36"/>
              <w:spacing w:before="67" w:line="185" w:lineRule="auto"/>
              <w:ind w:left="107"/>
              <w:rPr>
                <w:rFonts w:asciiTheme="minorEastAsia" w:hAnsiTheme="minorEastAsia" w:eastAsiaTheme="minorEastAsia"/>
                <w:color w:val="000000" w:themeColor="text1"/>
                <w14:textFill>
                  <w14:solidFill>
                    <w14:schemeClr w14:val="tx1"/>
                  </w14:solidFill>
                </w14:textFill>
              </w:rPr>
            </w:pPr>
          </w:p>
        </w:tc>
        <w:tc>
          <w:tcPr>
            <w:tcW w:w="1701" w:type="dxa"/>
            <w:vMerge w:val="restart"/>
            <w:vAlign w:val="center"/>
          </w:tcPr>
          <w:p w14:paraId="353F59E8">
            <w:pPr>
              <w:spacing w:line="459" w:lineRule="auto"/>
              <w:rPr>
                <w:rFonts w:asciiTheme="minorEastAsia" w:hAnsiTheme="minorEastAsia" w:eastAsiaTheme="minorEastAsia"/>
                <w:color w:val="000000" w:themeColor="text1"/>
                <w14:textFill>
                  <w14:solidFill>
                    <w14:schemeClr w14:val="tx1"/>
                  </w14:solidFill>
                </w14:textFill>
              </w:rPr>
            </w:pPr>
          </w:p>
          <w:p w14:paraId="7B2B7FE2">
            <w:pPr>
              <w:pStyle w:val="36"/>
              <w:spacing w:before="75" w:line="239" w:lineRule="auto"/>
              <w:ind w:left="68"/>
              <w:rPr>
                <w:rFonts w:asciiTheme="minorEastAsia" w:hAnsiTheme="minorEastAsia" w:eastAsiaTheme="minorEastAsia"/>
                <w:color w:val="000000" w:themeColor="text1"/>
                <w14:textFill>
                  <w14:solidFill>
                    <w14:schemeClr w14:val="tx1"/>
                  </w14:solidFill>
                </w14:textFill>
              </w:rPr>
            </w:pPr>
          </w:p>
        </w:tc>
      </w:tr>
      <w:tr w14:paraId="53D3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59" w:type="dxa"/>
            <w:vAlign w:val="center"/>
          </w:tcPr>
          <w:p w14:paraId="12C00211">
            <w:pPr>
              <w:pStyle w:val="36"/>
              <w:spacing w:before="43" w:line="204" w:lineRule="auto"/>
              <w:ind w:left="62"/>
              <w:jc w:val="center"/>
              <w:rPr>
                <w:rFonts w:asciiTheme="minorEastAsia" w:hAnsiTheme="minorEastAsia" w:eastAsiaTheme="minorEastAsia"/>
                <w:color w:val="000000" w:themeColor="text1"/>
                <w:spacing w:val="8"/>
                <w:lang w:eastAsia="zh-CN"/>
                <w14:textFill>
                  <w14:solidFill>
                    <w14:schemeClr w14:val="tx1"/>
                  </w14:solidFill>
                </w14:textFill>
              </w:rPr>
            </w:pPr>
            <w:r>
              <w:rPr>
                <w:rFonts w:hint="eastAsia" w:asciiTheme="minorEastAsia" w:hAnsiTheme="minorEastAsia" w:eastAsiaTheme="minorEastAsia"/>
                <w:color w:val="000000" w:themeColor="text1"/>
                <w:spacing w:val="8"/>
                <w:lang w:eastAsia="zh-CN"/>
                <w14:textFill>
                  <w14:solidFill>
                    <w14:schemeClr w14:val="tx1"/>
                  </w14:solidFill>
                </w14:textFill>
              </w:rPr>
              <w:t>领班岗</w:t>
            </w:r>
          </w:p>
        </w:tc>
        <w:tc>
          <w:tcPr>
            <w:tcW w:w="916" w:type="dxa"/>
            <w:vAlign w:val="center"/>
          </w:tcPr>
          <w:p w14:paraId="43E7EE13">
            <w:pPr>
              <w:pStyle w:val="36"/>
              <w:spacing w:before="67" w:line="185" w:lineRule="auto"/>
              <w:ind w:left="163"/>
              <w:rPr>
                <w:rFonts w:asciiTheme="minorEastAsia" w:hAnsiTheme="minorEastAsia" w:eastAsiaTheme="minorEastAsia"/>
                <w:color w:val="000000" w:themeColor="text1"/>
                <w14:textFill>
                  <w14:solidFill>
                    <w14:schemeClr w14:val="tx1"/>
                  </w14:solidFill>
                </w14:textFill>
              </w:rPr>
            </w:pPr>
          </w:p>
        </w:tc>
        <w:tc>
          <w:tcPr>
            <w:tcW w:w="1701" w:type="dxa"/>
            <w:vAlign w:val="center"/>
          </w:tcPr>
          <w:p w14:paraId="544E7D4B">
            <w:pPr>
              <w:pStyle w:val="36"/>
              <w:spacing w:before="67" w:line="185" w:lineRule="auto"/>
              <w:ind w:left="214"/>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6357EFF7">
            <w:pPr>
              <w:pStyle w:val="36"/>
              <w:spacing w:before="67" w:line="185" w:lineRule="auto"/>
              <w:ind w:left="105"/>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24952815">
            <w:pPr>
              <w:pStyle w:val="36"/>
              <w:spacing w:before="67" w:line="185" w:lineRule="auto"/>
              <w:ind w:left="107"/>
              <w:rPr>
                <w:rFonts w:asciiTheme="minorEastAsia" w:hAnsiTheme="minorEastAsia" w:eastAsiaTheme="minorEastAsia"/>
                <w:color w:val="000000" w:themeColor="text1"/>
                <w14:textFill>
                  <w14:solidFill>
                    <w14:schemeClr w14:val="tx1"/>
                  </w14:solidFill>
                </w14:textFill>
              </w:rPr>
            </w:pPr>
          </w:p>
        </w:tc>
        <w:tc>
          <w:tcPr>
            <w:tcW w:w="1701" w:type="dxa"/>
            <w:vMerge w:val="continue"/>
            <w:vAlign w:val="center"/>
          </w:tcPr>
          <w:p w14:paraId="105FC952">
            <w:pPr>
              <w:pStyle w:val="36"/>
              <w:spacing w:before="75" w:line="239" w:lineRule="auto"/>
              <w:ind w:left="68"/>
              <w:rPr>
                <w:rFonts w:asciiTheme="minorEastAsia" w:hAnsiTheme="minorEastAsia" w:eastAsiaTheme="minorEastAsia"/>
                <w:color w:val="000000" w:themeColor="text1"/>
                <w14:textFill>
                  <w14:solidFill>
                    <w14:schemeClr w14:val="tx1"/>
                  </w14:solidFill>
                </w14:textFill>
              </w:rPr>
            </w:pPr>
          </w:p>
        </w:tc>
      </w:tr>
      <w:tr w14:paraId="5D851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59" w:type="dxa"/>
            <w:vAlign w:val="center"/>
          </w:tcPr>
          <w:p w14:paraId="5D57E35F">
            <w:pPr>
              <w:pStyle w:val="36"/>
              <w:spacing w:before="43" w:line="204" w:lineRule="auto"/>
              <w:ind w:left="62"/>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pacing w:val="8"/>
                <w14:textFill>
                  <w14:solidFill>
                    <w14:schemeClr w14:val="tx1"/>
                  </w14:solidFill>
                </w14:textFill>
              </w:rPr>
              <w:t>消</w:t>
            </w:r>
            <w:r>
              <w:rPr>
                <w:rFonts w:hint="eastAsia" w:asciiTheme="minorEastAsia" w:hAnsiTheme="minorEastAsia" w:eastAsiaTheme="minorEastAsia"/>
                <w:color w:val="000000" w:themeColor="text1"/>
                <w:spacing w:val="8"/>
                <w:lang w:eastAsia="zh-CN"/>
                <w14:textFill>
                  <w14:solidFill>
                    <w14:schemeClr w14:val="tx1"/>
                  </w14:solidFill>
                </w14:textFill>
              </w:rPr>
              <w:t>（监）</w:t>
            </w:r>
            <w:r>
              <w:rPr>
                <w:rFonts w:asciiTheme="minorEastAsia" w:hAnsiTheme="minorEastAsia" w:eastAsiaTheme="minorEastAsia"/>
                <w:color w:val="000000" w:themeColor="text1"/>
                <w:spacing w:val="8"/>
                <w14:textFill>
                  <w14:solidFill>
                    <w14:schemeClr w14:val="tx1"/>
                  </w14:solidFill>
                </w14:textFill>
              </w:rPr>
              <w:t>控岗</w:t>
            </w:r>
          </w:p>
        </w:tc>
        <w:tc>
          <w:tcPr>
            <w:tcW w:w="916" w:type="dxa"/>
            <w:vAlign w:val="center"/>
          </w:tcPr>
          <w:p w14:paraId="4BE1F712">
            <w:pPr>
              <w:pStyle w:val="36"/>
              <w:spacing w:before="67" w:line="185" w:lineRule="auto"/>
              <w:ind w:left="163"/>
              <w:rPr>
                <w:rFonts w:asciiTheme="minorEastAsia" w:hAnsiTheme="minorEastAsia" w:eastAsiaTheme="minorEastAsia"/>
                <w:color w:val="000000" w:themeColor="text1"/>
                <w14:textFill>
                  <w14:solidFill>
                    <w14:schemeClr w14:val="tx1"/>
                  </w14:solidFill>
                </w14:textFill>
              </w:rPr>
            </w:pPr>
          </w:p>
        </w:tc>
        <w:tc>
          <w:tcPr>
            <w:tcW w:w="1701" w:type="dxa"/>
            <w:vAlign w:val="center"/>
          </w:tcPr>
          <w:p w14:paraId="7368610F">
            <w:pPr>
              <w:pStyle w:val="36"/>
              <w:spacing w:before="67" w:line="185" w:lineRule="auto"/>
              <w:ind w:left="214"/>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184400B6">
            <w:pPr>
              <w:pStyle w:val="36"/>
              <w:spacing w:before="67" w:line="185" w:lineRule="auto"/>
              <w:ind w:left="105"/>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7DED25B9">
            <w:pPr>
              <w:pStyle w:val="36"/>
              <w:spacing w:before="67" w:line="185" w:lineRule="auto"/>
              <w:ind w:left="107"/>
              <w:rPr>
                <w:rFonts w:asciiTheme="minorEastAsia" w:hAnsiTheme="minorEastAsia" w:eastAsiaTheme="minorEastAsia"/>
                <w:color w:val="000000" w:themeColor="text1"/>
                <w14:textFill>
                  <w14:solidFill>
                    <w14:schemeClr w14:val="tx1"/>
                  </w14:solidFill>
                </w14:textFill>
              </w:rPr>
            </w:pPr>
          </w:p>
        </w:tc>
        <w:tc>
          <w:tcPr>
            <w:tcW w:w="1701" w:type="dxa"/>
            <w:vMerge w:val="continue"/>
            <w:vAlign w:val="center"/>
          </w:tcPr>
          <w:p w14:paraId="189E3CD6">
            <w:pPr>
              <w:pStyle w:val="36"/>
              <w:spacing w:before="75" w:line="239" w:lineRule="auto"/>
              <w:ind w:left="68"/>
              <w:rPr>
                <w:rFonts w:asciiTheme="minorEastAsia" w:hAnsiTheme="minorEastAsia" w:eastAsiaTheme="minorEastAsia"/>
                <w:color w:val="000000" w:themeColor="text1"/>
                <w14:textFill>
                  <w14:solidFill>
                    <w14:schemeClr w14:val="tx1"/>
                  </w14:solidFill>
                </w14:textFill>
              </w:rPr>
            </w:pPr>
          </w:p>
        </w:tc>
      </w:tr>
      <w:tr w14:paraId="159FF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059" w:type="dxa"/>
            <w:vAlign w:val="center"/>
          </w:tcPr>
          <w:p w14:paraId="65EF28AD">
            <w:pPr>
              <w:pStyle w:val="36"/>
              <w:spacing w:before="56" w:line="203" w:lineRule="auto"/>
              <w:ind w:left="62"/>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pacing w:val="8"/>
                <w14:textFill>
                  <w14:solidFill>
                    <w14:schemeClr w14:val="tx1"/>
                  </w14:solidFill>
                </w14:textFill>
              </w:rPr>
              <w:t>形象岗</w:t>
            </w:r>
          </w:p>
        </w:tc>
        <w:tc>
          <w:tcPr>
            <w:tcW w:w="916" w:type="dxa"/>
            <w:vAlign w:val="center"/>
          </w:tcPr>
          <w:p w14:paraId="6872AB22">
            <w:pPr>
              <w:pStyle w:val="36"/>
              <w:spacing w:before="79" w:line="184" w:lineRule="auto"/>
              <w:ind w:left="224"/>
              <w:rPr>
                <w:rFonts w:asciiTheme="minorEastAsia" w:hAnsiTheme="minorEastAsia" w:eastAsiaTheme="minorEastAsia"/>
                <w:color w:val="000000" w:themeColor="text1"/>
                <w14:textFill>
                  <w14:solidFill>
                    <w14:schemeClr w14:val="tx1"/>
                  </w14:solidFill>
                </w14:textFill>
              </w:rPr>
            </w:pPr>
          </w:p>
        </w:tc>
        <w:tc>
          <w:tcPr>
            <w:tcW w:w="1701" w:type="dxa"/>
            <w:vAlign w:val="center"/>
          </w:tcPr>
          <w:p w14:paraId="3C4CE746">
            <w:pPr>
              <w:pStyle w:val="36"/>
              <w:spacing w:before="79" w:line="184" w:lineRule="auto"/>
              <w:ind w:left="214"/>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4BC32692">
            <w:pPr>
              <w:pStyle w:val="36"/>
              <w:spacing w:before="79" w:line="184" w:lineRule="auto"/>
              <w:ind w:left="165"/>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16480A71">
            <w:pPr>
              <w:pStyle w:val="36"/>
              <w:spacing w:before="79" w:line="184" w:lineRule="auto"/>
              <w:ind w:left="166"/>
              <w:rPr>
                <w:rFonts w:asciiTheme="minorEastAsia" w:hAnsiTheme="minorEastAsia" w:eastAsiaTheme="minorEastAsia"/>
                <w:color w:val="000000" w:themeColor="text1"/>
                <w14:textFill>
                  <w14:solidFill>
                    <w14:schemeClr w14:val="tx1"/>
                  </w14:solidFill>
                </w14:textFill>
              </w:rPr>
            </w:pPr>
          </w:p>
        </w:tc>
        <w:tc>
          <w:tcPr>
            <w:tcW w:w="1701" w:type="dxa"/>
            <w:vMerge w:val="continue"/>
            <w:vAlign w:val="center"/>
          </w:tcPr>
          <w:p w14:paraId="1E77FCB7">
            <w:pPr>
              <w:rPr>
                <w:rFonts w:asciiTheme="minorEastAsia" w:hAnsiTheme="minorEastAsia" w:eastAsiaTheme="minorEastAsia"/>
                <w:color w:val="000000" w:themeColor="text1"/>
                <w14:textFill>
                  <w14:solidFill>
                    <w14:schemeClr w14:val="tx1"/>
                  </w14:solidFill>
                </w14:textFill>
              </w:rPr>
            </w:pPr>
          </w:p>
        </w:tc>
      </w:tr>
      <w:tr w14:paraId="3305A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059" w:type="dxa"/>
            <w:vAlign w:val="center"/>
          </w:tcPr>
          <w:p w14:paraId="4C9D5DA2">
            <w:pPr>
              <w:pStyle w:val="36"/>
              <w:spacing w:before="188" w:line="220" w:lineRule="auto"/>
              <w:ind w:left="62"/>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其他</w:t>
            </w:r>
            <w:r>
              <w:rPr>
                <w:rFonts w:asciiTheme="minorEastAsia" w:hAnsiTheme="minorEastAsia" w:eastAsiaTheme="minorEastAsia"/>
                <w:color w:val="000000" w:themeColor="text1"/>
                <w14:textFill>
                  <w14:solidFill>
                    <w14:schemeClr w14:val="tx1"/>
                  </w14:solidFill>
                </w14:textFill>
              </w:rPr>
              <w:t>岗</w:t>
            </w:r>
          </w:p>
        </w:tc>
        <w:tc>
          <w:tcPr>
            <w:tcW w:w="916" w:type="dxa"/>
            <w:vAlign w:val="center"/>
          </w:tcPr>
          <w:p w14:paraId="076D8307">
            <w:pPr>
              <w:pStyle w:val="36"/>
              <w:spacing w:before="210" w:line="241" w:lineRule="auto"/>
              <w:ind w:left="163"/>
              <w:rPr>
                <w:rFonts w:asciiTheme="minorEastAsia" w:hAnsiTheme="minorEastAsia" w:eastAsiaTheme="minorEastAsia"/>
                <w:color w:val="000000" w:themeColor="text1"/>
                <w14:textFill>
                  <w14:solidFill>
                    <w14:schemeClr w14:val="tx1"/>
                  </w14:solidFill>
                </w14:textFill>
              </w:rPr>
            </w:pPr>
          </w:p>
        </w:tc>
        <w:tc>
          <w:tcPr>
            <w:tcW w:w="1701" w:type="dxa"/>
            <w:vAlign w:val="center"/>
          </w:tcPr>
          <w:p w14:paraId="541AE37A">
            <w:pPr>
              <w:pStyle w:val="36"/>
              <w:spacing w:before="210" w:line="239" w:lineRule="auto"/>
              <w:ind w:left="214"/>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3475F6A6">
            <w:pPr>
              <w:pStyle w:val="36"/>
              <w:spacing w:before="210" w:line="239" w:lineRule="auto"/>
              <w:ind w:left="226"/>
              <w:rPr>
                <w:rFonts w:asciiTheme="minorEastAsia" w:hAnsiTheme="minorEastAsia" w:eastAsiaTheme="minorEastAsia"/>
                <w:color w:val="000000" w:themeColor="text1"/>
                <w14:textFill>
                  <w14:solidFill>
                    <w14:schemeClr w14:val="tx1"/>
                  </w14:solidFill>
                </w14:textFill>
              </w:rPr>
            </w:pPr>
          </w:p>
        </w:tc>
        <w:tc>
          <w:tcPr>
            <w:tcW w:w="1559" w:type="dxa"/>
            <w:vAlign w:val="center"/>
          </w:tcPr>
          <w:p w14:paraId="47659CAB">
            <w:pPr>
              <w:pStyle w:val="36"/>
              <w:spacing w:before="210" w:line="239" w:lineRule="auto"/>
              <w:ind w:left="107"/>
              <w:rPr>
                <w:rFonts w:asciiTheme="minorEastAsia" w:hAnsiTheme="minorEastAsia" w:eastAsiaTheme="minorEastAsia"/>
                <w:color w:val="000000" w:themeColor="text1"/>
                <w14:textFill>
                  <w14:solidFill>
                    <w14:schemeClr w14:val="tx1"/>
                  </w14:solidFill>
                </w14:textFill>
              </w:rPr>
            </w:pPr>
          </w:p>
        </w:tc>
        <w:tc>
          <w:tcPr>
            <w:tcW w:w="1701" w:type="dxa"/>
            <w:vMerge w:val="continue"/>
            <w:vAlign w:val="center"/>
          </w:tcPr>
          <w:p w14:paraId="5AD58948">
            <w:pPr>
              <w:rPr>
                <w:rFonts w:asciiTheme="minorEastAsia" w:hAnsiTheme="minorEastAsia" w:eastAsiaTheme="minorEastAsia"/>
                <w:color w:val="000000" w:themeColor="text1"/>
                <w14:textFill>
                  <w14:solidFill>
                    <w14:schemeClr w14:val="tx1"/>
                  </w14:solidFill>
                </w14:textFill>
              </w:rPr>
            </w:pPr>
          </w:p>
        </w:tc>
      </w:tr>
    </w:tbl>
    <w:p w14:paraId="3B9D4688">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本项目按照各岗位人员每人每月服务单价包干，</w:t>
      </w:r>
      <w:r>
        <w:rPr>
          <w:rFonts w:hint="eastAsia" w:ascii="宋体" w:hAnsi="宋体"/>
          <w:color w:val="000000" w:themeColor="text1"/>
          <w:sz w:val="24"/>
          <w:highlight w:val="none"/>
          <w:lang w:val="en-US" w:eastAsia="zh-CN"/>
          <w14:textFill>
            <w14:solidFill>
              <w14:schemeClr w14:val="tx1"/>
            </w14:solidFill>
          </w14:textFill>
        </w:rPr>
        <w:t>合同期内不因任何原因</w:t>
      </w:r>
      <w:r>
        <w:rPr>
          <w:rFonts w:hint="eastAsia" w:ascii="宋体" w:hAnsi="宋体"/>
          <w:color w:val="000000" w:themeColor="text1"/>
          <w:sz w:val="24"/>
          <w:highlight w:val="none"/>
          <w14:textFill>
            <w14:solidFill>
              <w14:schemeClr w14:val="tx1"/>
            </w14:solidFill>
          </w14:textFill>
        </w:rPr>
        <w:t>（包括约定作业面积误差、抢工、物价上涨、最低工资标准或社保</w:t>
      </w:r>
      <w:r>
        <w:rPr>
          <w:rFonts w:hint="eastAsia" w:ascii="宋体" w:hAnsi="宋体"/>
          <w:color w:val="000000" w:themeColor="text1"/>
          <w:sz w:val="24"/>
          <w:highlight w:val="none"/>
          <w:lang w:eastAsia="zh-CN"/>
          <w14:textFill>
            <w14:solidFill>
              <w14:schemeClr w14:val="tx1"/>
            </w14:solidFill>
          </w14:textFill>
        </w:rPr>
        <w:t>缴费</w:t>
      </w:r>
      <w:r>
        <w:rPr>
          <w:rFonts w:hint="eastAsia" w:ascii="宋体" w:hAnsi="宋体"/>
          <w:color w:val="000000" w:themeColor="text1"/>
          <w:sz w:val="24"/>
          <w:highlight w:val="none"/>
          <w14:textFill>
            <w14:solidFill>
              <w14:schemeClr w14:val="tx1"/>
            </w14:solidFill>
          </w14:textFill>
        </w:rPr>
        <w:t>基数上调、人员配置增加、设备配置调整等）调增</w:t>
      </w:r>
      <w:r>
        <w:rPr>
          <w:rFonts w:hint="eastAsia" w:ascii="宋体" w:hAnsi="宋体"/>
          <w:color w:val="000000" w:themeColor="text1"/>
          <w:sz w:val="24"/>
          <w:highlight w:val="none"/>
          <w:lang w:eastAsia="zh-CN"/>
          <w14:textFill>
            <w14:solidFill>
              <w14:schemeClr w14:val="tx1"/>
            </w14:solidFill>
          </w14:textFill>
        </w:rPr>
        <w:t>；</w:t>
      </w:r>
      <w:r>
        <w:rPr>
          <w:rFonts w:hint="eastAsia" w:cs="仿宋" w:asciiTheme="minorEastAsia" w:hAnsiTheme="minorEastAsia" w:eastAsiaTheme="minorEastAsia"/>
          <w:color w:val="000000" w:themeColor="text1"/>
          <w:sz w:val="24"/>
          <w:lang w:val="en-US" w:eastAsia="zh-CN"/>
          <w14:textFill>
            <w14:solidFill>
              <w14:schemeClr w14:val="tx1"/>
            </w14:solidFill>
          </w14:textFill>
        </w:rPr>
        <w:t>费用中已包含</w:t>
      </w:r>
      <w:r>
        <w:rPr>
          <w:rFonts w:hint="eastAsia" w:cs="仿宋" w:asciiTheme="minorEastAsia" w:hAnsiTheme="minorEastAsia" w:eastAsiaTheme="minorEastAsia"/>
          <w:color w:val="000000" w:themeColor="text1"/>
          <w:sz w:val="24"/>
          <w14:textFill>
            <w14:solidFill>
              <w14:schemeClr w14:val="tx1"/>
            </w14:solidFill>
          </w14:textFill>
        </w:rPr>
        <w:t>但不限于：服务人员的基本工资、津贴(福利)、补贴、奖金、加班工资、社会保险、公积金、服装费、企业管理费、税费及其他费用[如：安保装备(含反光服、指挥棒、对讲机等)、交通费、通信费、招聘费、培训费、保险费、其他低值易耗品费用、税费、风险费</w:t>
      </w:r>
      <w:r>
        <w:rPr>
          <w:rFonts w:hint="eastAsia" w:ascii="宋体" w:hAnsi="宋体"/>
          <w:color w:val="000000" w:themeColor="text1"/>
          <w:sz w:val="24"/>
          <w:highlight w:val="none"/>
          <w14:textFill>
            <w14:solidFill>
              <w14:schemeClr w14:val="tx1"/>
            </w14:solidFill>
          </w14:textFill>
        </w:rPr>
        <w:t>等乙方履行本合同项下</w:t>
      </w:r>
      <w:r>
        <w:rPr>
          <w:rFonts w:hint="eastAsia" w:ascii="宋体" w:hAnsi="宋体"/>
          <w:color w:val="000000" w:themeColor="text1"/>
          <w:sz w:val="24"/>
          <w:highlight w:val="none"/>
          <w:lang w:val="en-US" w:eastAsia="zh-CN"/>
          <w14:textFill>
            <w14:solidFill>
              <w14:schemeClr w14:val="tx1"/>
            </w14:solidFill>
          </w14:textFill>
        </w:rPr>
        <w:t>秩序维护</w:t>
      </w:r>
      <w:r>
        <w:rPr>
          <w:rFonts w:hint="eastAsia" w:ascii="宋体" w:hAnsi="宋体"/>
          <w:color w:val="000000" w:themeColor="text1"/>
          <w:sz w:val="24"/>
          <w:highlight w:val="none"/>
          <w14:textFill>
            <w14:solidFill>
              <w14:schemeClr w14:val="tx1"/>
            </w14:solidFill>
          </w14:textFill>
        </w:rPr>
        <w:t>服务及其他约定义务所需的</w:t>
      </w:r>
      <w:r>
        <w:rPr>
          <w:rFonts w:hint="eastAsia" w:ascii="宋体" w:hAnsi="宋体"/>
          <w:color w:val="000000" w:themeColor="text1"/>
          <w:sz w:val="24"/>
          <w:highlight w:val="none"/>
          <w:lang w:val="en-US" w:eastAsia="zh-CN"/>
          <w14:textFill>
            <w14:solidFill>
              <w14:schemeClr w14:val="tx1"/>
            </w14:solidFill>
          </w14:textFill>
        </w:rPr>
        <w:t>一切</w:t>
      </w:r>
      <w:r>
        <w:rPr>
          <w:rFonts w:hint="eastAsia" w:ascii="宋体" w:hAnsi="宋体"/>
          <w:color w:val="000000" w:themeColor="text1"/>
          <w:sz w:val="24"/>
          <w:highlight w:val="none"/>
          <w14:textFill>
            <w14:solidFill>
              <w14:schemeClr w14:val="tx1"/>
            </w14:solidFill>
          </w14:textFill>
        </w:rPr>
        <w:t>费用</w:t>
      </w:r>
      <w:r>
        <w:rPr>
          <w:rFonts w:hint="eastAsia" w:cs="仿宋" w:asciiTheme="minorEastAsia" w:hAnsiTheme="minorEastAsia" w:eastAsiaTheme="minorEastAsia"/>
          <w:color w:val="000000" w:themeColor="text1"/>
          <w:sz w:val="24"/>
          <w14:textFill>
            <w14:solidFill>
              <w14:schemeClr w14:val="tx1"/>
            </w14:solidFill>
          </w14:textFill>
        </w:rPr>
        <w:t>，除此之外，甲方不再向乙方支付任何费用。</w:t>
      </w:r>
    </w:p>
    <w:p w14:paraId="28D96A2E">
      <w:pPr>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p>
    <w:p w14:paraId="08B12D86">
      <w:pPr>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第二条  秩序维护服务范围及内容</w:t>
      </w:r>
    </w:p>
    <w:p w14:paraId="52B78405">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1、乙方秩序维护范围为本项目的物业管理服务区域。</w:t>
      </w:r>
    </w:p>
    <w:p w14:paraId="24C7B5A2">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2、乙方</w:t>
      </w:r>
      <w:r>
        <w:rPr>
          <w:rFonts w:hint="eastAsia" w:asciiTheme="minorEastAsia" w:hAnsiTheme="minorEastAsia" w:eastAsiaTheme="minorEastAsia" w:cstheme="majorEastAsia"/>
          <w:color w:val="000000" w:themeColor="text1"/>
          <w:sz w:val="24"/>
          <w14:textFill>
            <w14:solidFill>
              <w14:schemeClr w14:val="tx1"/>
            </w14:solidFill>
          </w14:textFill>
        </w:rPr>
        <w:t>为本项目提供24小时秩序维护服务，确保现场安全秩序正常。</w:t>
      </w:r>
    </w:p>
    <w:p w14:paraId="15DD4657">
      <w:pPr>
        <w:adjustRightInd w:val="0"/>
        <w:snapToGrid w:val="0"/>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p>
    <w:p w14:paraId="7F7069E5">
      <w:pPr>
        <w:adjustRightInd w:val="0"/>
        <w:snapToGrid w:val="0"/>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第三条  秩序维护服务人员配置及要求</w:t>
      </w:r>
    </w:p>
    <w:p w14:paraId="7678021B">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1、秩序维护人员总人数为</w:t>
      </w:r>
      <w:r>
        <w:rPr>
          <w:rFonts w:hint="eastAsia" w:cs="仿宋" w:asciiTheme="minorEastAsia" w:hAnsiTheme="minorEastAsia" w:eastAsiaTheme="minorEastAsia"/>
          <w:color w:val="000000" w:themeColor="text1"/>
          <w:sz w:val="24"/>
          <w:u w:val="single"/>
          <w14:textFill>
            <w14:solidFill>
              <w14:schemeClr w14:val="tx1"/>
            </w14:solidFill>
          </w14:textFill>
        </w:rPr>
        <w:t xml:space="preserve">  </w:t>
      </w:r>
      <w:r>
        <w:rPr>
          <w:rFonts w:cs="仿宋"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14:textFill>
            <w14:solidFill>
              <w14:schemeClr w14:val="tx1"/>
            </w14:solidFill>
          </w14:textFill>
        </w:rPr>
        <w:t>人，若甲方根据工作需要减少秩序维护人员，需提前通知乙方，乙方须配合调整。</w:t>
      </w:r>
    </w:p>
    <w:p w14:paraId="4F5061F8">
      <w:pPr>
        <w:spacing w:line="460" w:lineRule="exact"/>
        <w:ind w:firstLine="472"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pacing w:val="-2"/>
          <w:sz w:val="24"/>
          <w14:textFill>
            <w14:solidFill>
              <w14:schemeClr w14:val="tx1"/>
            </w14:solidFill>
          </w14:textFill>
        </w:rPr>
        <w:t>2、各岗位人员配置要求(请根据项目要求填写相应标准):</w:t>
      </w:r>
    </w:p>
    <w:tbl>
      <w:tblPr>
        <w:tblStyle w:val="37"/>
        <w:tblW w:w="8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0"/>
        <w:gridCol w:w="1267"/>
        <w:gridCol w:w="845"/>
        <w:gridCol w:w="1276"/>
        <w:gridCol w:w="730"/>
        <w:gridCol w:w="637"/>
        <w:gridCol w:w="2769"/>
      </w:tblGrid>
      <w:tr w14:paraId="140A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993" w:type="dxa"/>
            <w:vAlign w:val="center"/>
          </w:tcPr>
          <w:p w14:paraId="233F3C34">
            <w:pPr>
              <w:pStyle w:val="36"/>
              <w:spacing w:before="45" w:line="220" w:lineRule="auto"/>
              <w:jc w:val="center"/>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3"/>
                <w:sz w:val="21"/>
                <w:szCs w:val="21"/>
                <w14:textFill>
                  <w14:solidFill>
                    <w14:schemeClr w14:val="tx1"/>
                  </w14:solidFill>
                </w14:textFill>
              </w:rPr>
              <w:t>岗位</w:t>
            </w:r>
          </w:p>
        </w:tc>
        <w:tc>
          <w:tcPr>
            <w:tcW w:w="1275" w:type="dxa"/>
            <w:vAlign w:val="center"/>
          </w:tcPr>
          <w:p w14:paraId="6E3D490D">
            <w:pPr>
              <w:pStyle w:val="36"/>
              <w:spacing w:before="25" w:line="219" w:lineRule="auto"/>
              <w:jc w:val="center"/>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3"/>
                <w:sz w:val="21"/>
                <w:szCs w:val="21"/>
                <w14:textFill>
                  <w14:solidFill>
                    <w14:schemeClr w14:val="tx1"/>
                  </w14:solidFill>
                </w14:textFill>
              </w:rPr>
              <w:t>年龄</w:t>
            </w:r>
          </w:p>
        </w:tc>
        <w:tc>
          <w:tcPr>
            <w:tcW w:w="851" w:type="dxa"/>
            <w:vAlign w:val="center"/>
          </w:tcPr>
          <w:p w14:paraId="513EBF3D">
            <w:pPr>
              <w:pStyle w:val="36"/>
              <w:spacing w:before="25" w:line="219" w:lineRule="auto"/>
              <w:jc w:val="center"/>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身高</w:t>
            </w:r>
          </w:p>
        </w:tc>
        <w:tc>
          <w:tcPr>
            <w:tcW w:w="1284" w:type="dxa"/>
            <w:vAlign w:val="center"/>
          </w:tcPr>
          <w:p w14:paraId="5D8596E8">
            <w:pPr>
              <w:pStyle w:val="36"/>
              <w:spacing w:before="55" w:line="219" w:lineRule="auto"/>
              <w:jc w:val="center"/>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14:textFill>
                  <w14:solidFill>
                    <w14:schemeClr w14:val="tx1"/>
                  </w14:solidFill>
                </w14:textFill>
              </w:rPr>
              <w:t>持证情况</w:t>
            </w:r>
          </w:p>
        </w:tc>
        <w:tc>
          <w:tcPr>
            <w:tcW w:w="680" w:type="dxa"/>
            <w:vAlign w:val="center"/>
          </w:tcPr>
          <w:p w14:paraId="051C49D4">
            <w:pPr>
              <w:pStyle w:val="36"/>
              <w:spacing w:before="55" w:line="219" w:lineRule="auto"/>
              <w:jc w:val="center"/>
              <w:rPr>
                <w:rFonts w:asciiTheme="minorEastAsia" w:hAnsiTheme="minorEastAsia" w:eastAsiaTheme="minorEastAsia" w:cstheme="majorEastAsia"/>
                <w:color w:val="000000" w:themeColor="text1"/>
                <w:spacing w:val="2"/>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lang w:eastAsia="zh-CN"/>
                <w14:textFill>
                  <w14:solidFill>
                    <w14:schemeClr w14:val="tx1"/>
                  </w14:solidFill>
                </w14:textFill>
              </w:rPr>
              <w:t>班制</w:t>
            </w:r>
          </w:p>
        </w:tc>
        <w:tc>
          <w:tcPr>
            <w:tcW w:w="641" w:type="dxa"/>
            <w:vAlign w:val="center"/>
          </w:tcPr>
          <w:p w14:paraId="193A9C98">
            <w:pPr>
              <w:pStyle w:val="36"/>
              <w:spacing w:before="55" w:line="219" w:lineRule="auto"/>
              <w:jc w:val="center"/>
              <w:rPr>
                <w:rFonts w:asciiTheme="minorEastAsia" w:hAnsiTheme="minorEastAsia" w:eastAsiaTheme="minorEastAsia" w:cstheme="majorEastAsia"/>
                <w:color w:val="000000" w:themeColor="text1"/>
                <w:spacing w:val="2"/>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lang w:eastAsia="zh-CN"/>
                <w14:textFill>
                  <w14:solidFill>
                    <w14:schemeClr w14:val="tx1"/>
                  </w14:solidFill>
                </w14:textFill>
              </w:rPr>
              <w:t>月休</w:t>
            </w:r>
          </w:p>
          <w:p w14:paraId="1134AE50">
            <w:pPr>
              <w:pStyle w:val="36"/>
              <w:spacing w:before="55" w:line="219" w:lineRule="auto"/>
              <w:jc w:val="center"/>
              <w:rPr>
                <w:rFonts w:asciiTheme="minorEastAsia" w:hAnsiTheme="minorEastAsia" w:eastAsiaTheme="minorEastAsia" w:cstheme="majorEastAsia"/>
                <w:color w:val="000000" w:themeColor="text1"/>
                <w:spacing w:val="2"/>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lang w:eastAsia="zh-CN"/>
                <w14:textFill>
                  <w14:solidFill>
                    <w14:schemeClr w14:val="tx1"/>
                  </w14:solidFill>
                </w14:textFill>
              </w:rPr>
              <w:t>天数</w:t>
            </w:r>
          </w:p>
        </w:tc>
        <w:tc>
          <w:tcPr>
            <w:tcW w:w="2790" w:type="dxa"/>
            <w:vAlign w:val="center"/>
          </w:tcPr>
          <w:p w14:paraId="2DC72995">
            <w:pPr>
              <w:pStyle w:val="36"/>
              <w:tabs>
                <w:tab w:val="left" w:pos="562"/>
              </w:tabs>
              <w:spacing w:before="55" w:line="219" w:lineRule="auto"/>
              <w:jc w:val="center"/>
              <w:rPr>
                <w:rFonts w:asciiTheme="minorEastAsia" w:hAnsiTheme="minorEastAsia" w:eastAsiaTheme="minorEastAsia" w:cstheme="majorEastAsia"/>
                <w:color w:val="000000" w:themeColor="text1"/>
                <w:spacing w:val="2"/>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lang w:eastAsia="zh-CN"/>
                <w14:textFill>
                  <w14:solidFill>
                    <w14:schemeClr w14:val="tx1"/>
                  </w14:solidFill>
                </w14:textFill>
              </w:rPr>
              <w:t>岗位其他要求</w:t>
            </w:r>
          </w:p>
        </w:tc>
      </w:tr>
      <w:tr w14:paraId="5ABC2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993" w:type="dxa"/>
            <w:vAlign w:val="center"/>
          </w:tcPr>
          <w:p w14:paraId="3C0DE840">
            <w:pPr>
              <w:pStyle w:val="36"/>
              <w:spacing w:before="78" w:line="219" w:lineRule="auto"/>
              <w:jc w:val="left"/>
              <w:rPr>
                <w:rFonts w:asciiTheme="minorEastAsia" w:hAnsiTheme="minorEastAsia" w:eastAsiaTheme="minorEastAsia" w:cstheme="majorEastAsia"/>
                <w:color w:val="000000" w:themeColor="text1"/>
                <w:spacing w:val="9"/>
                <w:sz w:val="21"/>
                <w:szCs w:val="21"/>
                <w14:textFill>
                  <w14:solidFill>
                    <w14:schemeClr w14:val="tx1"/>
                  </w14:solidFill>
                </w14:textFill>
              </w:rPr>
            </w:pPr>
          </w:p>
          <w:p w14:paraId="66B8AFED">
            <w:pPr>
              <w:jc w:val="left"/>
              <w:rPr>
                <w:rFonts w:asciiTheme="minorEastAsia" w:hAnsiTheme="minorEastAsia" w:eastAsiaTheme="minorEastAsia" w:cstheme="majorEastAsia"/>
                <w:color w:val="000000" w:themeColor="text1"/>
                <w:szCs w:val="21"/>
                <w14:textFill>
                  <w14:solidFill>
                    <w14:schemeClr w14:val="tx1"/>
                  </w14:solidFill>
                </w14:textFill>
              </w:rPr>
            </w:pPr>
            <w:r>
              <w:rPr>
                <w:rFonts w:hint="eastAsia" w:asciiTheme="minorEastAsia" w:hAnsiTheme="minorEastAsia" w:eastAsiaTheme="minorEastAsia" w:cstheme="majorEastAsia"/>
                <w:color w:val="000000" w:themeColor="text1"/>
                <w:szCs w:val="21"/>
                <w14:textFill>
                  <w14:solidFill>
                    <w14:schemeClr w14:val="tx1"/>
                  </w14:solidFill>
                </w14:textFill>
              </w:rPr>
              <w:t>主管岗</w:t>
            </w:r>
          </w:p>
        </w:tc>
        <w:tc>
          <w:tcPr>
            <w:tcW w:w="1275" w:type="dxa"/>
            <w:vAlign w:val="center"/>
          </w:tcPr>
          <w:p w14:paraId="5669B1FB">
            <w:pPr>
              <w:pStyle w:val="36"/>
              <w:spacing w:before="62" w:line="332" w:lineRule="auto"/>
              <w:ind w:left="1" w:right="-26" w:firstLine="10" w:firstLineChars="5"/>
              <w:jc w:val="left"/>
              <w:rPr>
                <w:rFonts w:asciiTheme="minorEastAsia" w:hAnsiTheme="minorEastAsia" w:eastAsiaTheme="minorEastAsia" w:cstheme="majorEastAsia"/>
                <w:color w:val="000000" w:themeColor="text1"/>
                <w:spacing w:val="4"/>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4"/>
                <w:sz w:val="21"/>
                <w:szCs w:val="21"/>
                <w:lang w:eastAsia="zh-CN"/>
                <w14:textFill>
                  <w14:solidFill>
                    <w14:schemeClr w14:val="tx1"/>
                  </w14:solidFill>
                </w14:textFill>
              </w:rPr>
              <w:t>男性≤ 周岁    女性≤ 周岁</w:t>
            </w:r>
          </w:p>
        </w:tc>
        <w:tc>
          <w:tcPr>
            <w:tcW w:w="851" w:type="dxa"/>
            <w:vAlign w:val="center"/>
          </w:tcPr>
          <w:p w14:paraId="503730FF">
            <w:pPr>
              <w:pStyle w:val="36"/>
              <w:spacing w:before="78" w:line="237" w:lineRule="auto"/>
              <w:jc w:val="left"/>
              <w:rPr>
                <w:rFonts w:asciiTheme="minorEastAsia" w:hAnsiTheme="minorEastAsia" w:eastAsiaTheme="minorEastAsia" w:cstheme="majorEastAsia"/>
                <w:color w:val="000000" w:themeColor="text1"/>
                <w:spacing w:val="-5"/>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w:t>
            </w:r>
            <w:r>
              <w:rPr>
                <w:rFonts w:hint="eastAsia" w:asciiTheme="minorEastAsia" w:hAnsiTheme="minorEastAsia" w:eastAsiaTheme="minorEastAsia" w:cstheme="majorEastAsia"/>
                <w:color w:val="000000" w:themeColor="text1"/>
                <w:spacing w:val="-5"/>
                <w:sz w:val="21"/>
                <w:szCs w:val="21"/>
                <w:lang w:eastAsia="zh-CN"/>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cm</w:t>
            </w:r>
          </w:p>
        </w:tc>
        <w:tc>
          <w:tcPr>
            <w:tcW w:w="1284" w:type="dxa"/>
            <w:vAlign w:val="center"/>
          </w:tcPr>
          <w:p w14:paraId="2439536B">
            <w:pPr>
              <w:pStyle w:val="36"/>
              <w:spacing w:before="78"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14:textFill>
                  <w14:solidFill>
                    <w14:schemeClr w14:val="tx1"/>
                  </w14:solidFill>
                </w14:textFill>
              </w:rPr>
              <w:t>保安员证</w:t>
            </w:r>
          </w:p>
        </w:tc>
        <w:tc>
          <w:tcPr>
            <w:tcW w:w="680" w:type="dxa"/>
            <w:vAlign w:val="center"/>
          </w:tcPr>
          <w:p w14:paraId="5C426212">
            <w:pPr>
              <w:pStyle w:val="36"/>
              <w:spacing w:before="78"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】小时制</w:t>
            </w:r>
          </w:p>
        </w:tc>
        <w:tc>
          <w:tcPr>
            <w:tcW w:w="641" w:type="dxa"/>
            <w:vAlign w:val="center"/>
          </w:tcPr>
          <w:p w14:paraId="6F58E9AC">
            <w:pPr>
              <w:pStyle w:val="36"/>
              <w:spacing w:before="78"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p>
        </w:tc>
        <w:tc>
          <w:tcPr>
            <w:tcW w:w="2790" w:type="dxa"/>
            <w:vAlign w:val="center"/>
          </w:tcPr>
          <w:p w14:paraId="65C9C685">
            <w:pPr>
              <w:pStyle w:val="36"/>
              <w:spacing w:before="78" w:line="220" w:lineRule="auto"/>
              <w:jc w:val="left"/>
              <w:rPr>
                <w:rFonts w:asciiTheme="minorEastAsia" w:hAnsiTheme="minorEastAsia" w:eastAsiaTheme="minorEastAsia" w:cstheme="maj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stheme="majorEastAsia"/>
                <w:color w:val="000000" w:themeColor="text1"/>
                <w:sz w:val="18"/>
                <w:szCs w:val="18"/>
                <w:lang w:eastAsia="zh-CN"/>
                <w14:textFill>
                  <w14:solidFill>
                    <w14:schemeClr w14:val="tx1"/>
                  </w14:solidFill>
                </w14:textFill>
              </w:rPr>
              <w:t>高中以上学历；体检合格上岗，无犯罪记录证明；本岗位3年以上工作经验，熟悉相应专业技能和服务意识</w:t>
            </w:r>
          </w:p>
        </w:tc>
      </w:tr>
      <w:tr w14:paraId="54E5F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93" w:type="dxa"/>
            <w:vAlign w:val="center"/>
          </w:tcPr>
          <w:p w14:paraId="635E2BE9">
            <w:pPr>
              <w:pStyle w:val="36"/>
              <w:spacing w:before="78" w:line="219" w:lineRule="auto"/>
              <w:jc w:val="left"/>
              <w:rPr>
                <w:rFonts w:asciiTheme="minorEastAsia" w:hAnsiTheme="minorEastAsia" w:eastAsiaTheme="minorEastAsia" w:cstheme="majorEastAsia"/>
                <w:color w:val="000000" w:themeColor="text1"/>
                <w:spacing w:val="9"/>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9"/>
                <w:sz w:val="21"/>
                <w:szCs w:val="21"/>
                <w:lang w:eastAsia="zh-CN"/>
                <w14:textFill>
                  <w14:solidFill>
                    <w14:schemeClr w14:val="tx1"/>
                  </w14:solidFill>
                </w14:textFill>
              </w:rPr>
              <w:t>领班岗</w:t>
            </w:r>
          </w:p>
        </w:tc>
        <w:tc>
          <w:tcPr>
            <w:tcW w:w="1275" w:type="dxa"/>
            <w:vAlign w:val="center"/>
          </w:tcPr>
          <w:p w14:paraId="3242177C">
            <w:pPr>
              <w:pStyle w:val="36"/>
              <w:spacing w:before="62" w:line="332" w:lineRule="auto"/>
              <w:ind w:left="13" w:hanging="13" w:hangingChars="6"/>
              <w:jc w:val="left"/>
              <w:rPr>
                <w:rFonts w:asciiTheme="minorEastAsia" w:hAnsiTheme="minorEastAsia" w:eastAsiaTheme="minorEastAsia" w:cstheme="majorEastAsia"/>
                <w:color w:val="000000" w:themeColor="text1"/>
                <w:spacing w:val="4"/>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4"/>
                <w:sz w:val="21"/>
                <w:szCs w:val="21"/>
                <w:lang w:eastAsia="zh-CN"/>
                <w14:textFill>
                  <w14:solidFill>
                    <w14:schemeClr w14:val="tx1"/>
                  </w14:solidFill>
                </w14:textFill>
              </w:rPr>
              <w:t>男性≤ 周岁    女性≤ 周岁</w:t>
            </w:r>
          </w:p>
        </w:tc>
        <w:tc>
          <w:tcPr>
            <w:tcW w:w="851" w:type="dxa"/>
            <w:vAlign w:val="center"/>
          </w:tcPr>
          <w:p w14:paraId="774885D3">
            <w:pPr>
              <w:pStyle w:val="36"/>
              <w:spacing w:before="78" w:line="237" w:lineRule="auto"/>
              <w:jc w:val="left"/>
              <w:rPr>
                <w:rFonts w:asciiTheme="minorEastAsia" w:hAnsiTheme="minorEastAsia" w:eastAsiaTheme="minorEastAsia" w:cstheme="majorEastAsia"/>
                <w:color w:val="000000" w:themeColor="text1"/>
                <w:spacing w:val="-5"/>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w:t>
            </w:r>
            <w:r>
              <w:rPr>
                <w:rFonts w:hint="eastAsia" w:asciiTheme="minorEastAsia" w:hAnsiTheme="minorEastAsia" w:eastAsiaTheme="minorEastAsia" w:cstheme="majorEastAsia"/>
                <w:color w:val="000000" w:themeColor="text1"/>
                <w:spacing w:val="-5"/>
                <w:sz w:val="21"/>
                <w:szCs w:val="21"/>
                <w:lang w:eastAsia="zh-CN"/>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cm</w:t>
            </w:r>
          </w:p>
        </w:tc>
        <w:tc>
          <w:tcPr>
            <w:tcW w:w="1284" w:type="dxa"/>
            <w:vAlign w:val="center"/>
          </w:tcPr>
          <w:p w14:paraId="53883472">
            <w:pPr>
              <w:pStyle w:val="36"/>
              <w:spacing w:before="78"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14:textFill>
                  <w14:solidFill>
                    <w14:schemeClr w14:val="tx1"/>
                  </w14:solidFill>
                </w14:textFill>
              </w:rPr>
              <w:t>保安员证</w:t>
            </w:r>
          </w:p>
        </w:tc>
        <w:tc>
          <w:tcPr>
            <w:tcW w:w="680" w:type="dxa"/>
            <w:vAlign w:val="center"/>
          </w:tcPr>
          <w:p w14:paraId="5A7B9A71">
            <w:pPr>
              <w:pStyle w:val="36"/>
              <w:spacing w:before="78"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】小时制</w:t>
            </w:r>
          </w:p>
        </w:tc>
        <w:tc>
          <w:tcPr>
            <w:tcW w:w="641" w:type="dxa"/>
            <w:vAlign w:val="center"/>
          </w:tcPr>
          <w:p w14:paraId="77B1376E">
            <w:pPr>
              <w:pStyle w:val="36"/>
              <w:spacing w:before="78"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p>
        </w:tc>
        <w:tc>
          <w:tcPr>
            <w:tcW w:w="2790" w:type="dxa"/>
            <w:vAlign w:val="center"/>
          </w:tcPr>
          <w:p w14:paraId="128A4F6B">
            <w:pPr>
              <w:pStyle w:val="36"/>
              <w:spacing w:before="78" w:line="220" w:lineRule="auto"/>
              <w:jc w:val="left"/>
              <w:rPr>
                <w:rFonts w:asciiTheme="minorEastAsia" w:hAnsiTheme="minorEastAsia" w:eastAsiaTheme="minorEastAsia" w:cstheme="maj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stheme="majorEastAsia"/>
                <w:color w:val="000000" w:themeColor="text1"/>
                <w:sz w:val="18"/>
                <w:szCs w:val="18"/>
                <w:lang w:eastAsia="zh-CN"/>
                <w14:textFill>
                  <w14:solidFill>
                    <w14:schemeClr w14:val="tx1"/>
                  </w14:solidFill>
                </w14:textFill>
              </w:rPr>
              <w:t>初中以上学历；体检合格上岗，无犯罪记录证明；本岗位2年以上工作经验，熟悉相应专业技能和服务意识</w:t>
            </w:r>
          </w:p>
        </w:tc>
      </w:tr>
      <w:tr w14:paraId="11DCE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993" w:type="dxa"/>
            <w:vAlign w:val="center"/>
          </w:tcPr>
          <w:p w14:paraId="2DFB8514">
            <w:pPr>
              <w:pStyle w:val="36"/>
              <w:spacing w:before="75" w:line="219" w:lineRule="auto"/>
              <w:jc w:val="left"/>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9"/>
                <w:sz w:val="21"/>
                <w:szCs w:val="21"/>
                <w14:textFill>
                  <w14:solidFill>
                    <w14:schemeClr w14:val="tx1"/>
                  </w14:solidFill>
                </w14:textFill>
              </w:rPr>
              <w:t>形象岗</w:t>
            </w:r>
          </w:p>
        </w:tc>
        <w:tc>
          <w:tcPr>
            <w:tcW w:w="1275" w:type="dxa"/>
            <w:vAlign w:val="center"/>
          </w:tcPr>
          <w:p w14:paraId="1B3BAFA6">
            <w:pPr>
              <w:pStyle w:val="36"/>
              <w:spacing w:before="76" w:line="220" w:lineRule="auto"/>
              <w:jc w:val="left"/>
              <w:rPr>
                <w:rFonts w:asciiTheme="minorEastAsia" w:hAnsiTheme="minorEastAsia" w:eastAsiaTheme="minorEastAsia" w:cstheme="maj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4"/>
                <w:sz w:val="21"/>
                <w:szCs w:val="21"/>
                <w:lang w:eastAsia="zh-CN"/>
                <w14:textFill>
                  <w14:solidFill>
                    <w14:schemeClr w14:val="tx1"/>
                  </w14:solidFill>
                </w14:textFill>
              </w:rPr>
              <w:t>男性≤ 周岁    女性≤ 周岁</w:t>
            </w:r>
          </w:p>
        </w:tc>
        <w:tc>
          <w:tcPr>
            <w:tcW w:w="851" w:type="dxa"/>
            <w:vAlign w:val="center"/>
          </w:tcPr>
          <w:p w14:paraId="7D436F7A">
            <w:pPr>
              <w:pStyle w:val="36"/>
              <w:spacing w:before="89" w:line="237" w:lineRule="auto"/>
              <w:jc w:val="left"/>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w:t>
            </w:r>
            <w:r>
              <w:rPr>
                <w:rFonts w:hint="eastAsia" w:asciiTheme="minorEastAsia" w:hAnsiTheme="minorEastAsia" w:eastAsiaTheme="minorEastAsia" w:cstheme="majorEastAsia"/>
                <w:color w:val="000000" w:themeColor="text1"/>
                <w:spacing w:val="-5"/>
                <w:sz w:val="21"/>
                <w:szCs w:val="21"/>
                <w:lang w:eastAsia="zh-CN"/>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cm</w:t>
            </w:r>
          </w:p>
        </w:tc>
        <w:tc>
          <w:tcPr>
            <w:tcW w:w="1284" w:type="dxa"/>
            <w:vAlign w:val="center"/>
          </w:tcPr>
          <w:p w14:paraId="0570734B">
            <w:pPr>
              <w:pStyle w:val="36"/>
              <w:spacing w:before="56" w:line="220" w:lineRule="auto"/>
              <w:jc w:val="left"/>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14:textFill>
                  <w14:solidFill>
                    <w14:schemeClr w14:val="tx1"/>
                  </w14:solidFill>
                </w14:textFill>
              </w:rPr>
              <w:t>保安员证</w:t>
            </w:r>
          </w:p>
        </w:tc>
        <w:tc>
          <w:tcPr>
            <w:tcW w:w="680" w:type="dxa"/>
            <w:vAlign w:val="center"/>
          </w:tcPr>
          <w:p w14:paraId="5E7C3B64">
            <w:pPr>
              <w:pStyle w:val="36"/>
              <w:spacing w:before="56"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】小时制</w:t>
            </w:r>
          </w:p>
        </w:tc>
        <w:tc>
          <w:tcPr>
            <w:tcW w:w="641" w:type="dxa"/>
            <w:vAlign w:val="center"/>
          </w:tcPr>
          <w:p w14:paraId="2C35BF89">
            <w:pPr>
              <w:pStyle w:val="36"/>
              <w:spacing w:before="56"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p>
        </w:tc>
        <w:tc>
          <w:tcPr>
            <w:tcW w:w="2790" w:type="dxa"/>
            <w:vAlign w:val="center"/>
          </w:tcPr>
          <w:p w14:paraId="437E1C2C">
            <w:pPr>
              <w:pStyle w:val="36"/>
              <w:spacing w:before="56" w:line="220" w:lineRule="auto"/>
              <w:jc w:val="left"/>
              <w:rPr>
                <w:rFonts w:asciiTheme="minorEastAsia" w:hAnsiTheme="minorEastAsia" w:eastAsiaTheme="minorEastAsia" w:cstheme="maj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stheme="majorEastAsia"/>
                <w:color w:val="000000" w:themeColor="text1"/>
                <w:sz w:val="18"/>
                <w:szCs w:val="18"/>
                <w:lang w:eastAsia="zh-CN"/>
                <w14:textFill>
                  <w14:solidFill>
                    <w14:schemeClr w14:val="tx1"/>
                  </w14:solidFill>
                </w14:textFill>
              </w:rPr>
              <w:t>初中以上学历；体检合格上岗，无犯罪记录证明；本岗位1年以上工作经验，熟悉相应专业技能和服务意识</w:t>
            </w:r>
          </w:p>
        </w:tc>
      </w:tr>
      <w:tr w14:paraId="4C99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993" w:type="dxa"/>
            <w:vAlign w:val="center"/>
          </w:tcPr>
          <w:p w14:paraId="1E47818A">
            <w:pPr>
              <w:pStyle w:val="36"/>
              <w:spacing w:before="48" w:line="220" w:lineRule="auto"/>
              <w:jc w:val="left"/>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9"/>
                <w:sz w:val="21"/>
                <w:szCs w:val="21"/>
                <w14:textFill>
                  <w14:solidFill>
                    <w14:schemeClr w14:val="tx1"/>
                  </w14:solidFill>
                </w14:textFill>
              </w:rPr>
              <w:t>消</w:t>
            </w:r>
            <w:r>
              <w:rPr>
                <w:rFonts w:hint="eastAsia" w:asciiTheme="minorEastAsia" w:hAnsiTheme="minorEastAsia" w:eastAsiaTheme="minorEastAsia" w:cstheme="majorEastAsia"/>
                <w:color w:val="000000" w:themeColor="text1"/>
                <w:spacing w:val="9"/>
                <w:sz w:val="21"/>
                <w:szCs w:val="21"/>
                <w:lang w:eastAsia="zh-CN"/>
                <w14:textFill>
                  <w14:solidFill>
                    <w14:schemeClr w14:val="tx1"/>
                  </w14:solidFill>
                </w14:textFill>
              </w:rPr>
              <w:t>（监）</w:t>
            </w:r>
            <w:r>
              <w:rPr>
                <w:rFonts w:hint="eastAsia" w:asciiTheme="minorEastAsia" w:hAnsiTheme="minorEastAsia" w:eastAsiaTheme="minorEastAsia" w:cstheme="majorEastAsia"/>
                <w:color w:val="000000" w:themeColor="text1"/>
                <w:spacing w:val="9"/>
                <w:sz w:val="21"/>
                <w:szCs w:val="21"/>
                <w14:textFill>
                  <w14:solidFill>
                    <w14:schemeClr w14:val="tx1"/>
                  </w14:solidFill>
                </w14:textFill>
              </w:rPr>
              <w:t>控岗</w:t>
            </w:r>
          </w:p>
        </w:tc>
        <w:tc>
          <w:tcPr>
            <w:tcW w:w="1275" w:type="dxa"/>
            <w:vAlign w:val="center"/>
          </w:tcPr>
          <w:p w14:paraId="43449311">
            <w:pPr>
              <w:pStyle w:val="36"/>
              <w:spacing w:before="78" w:line="220" w:lineRule="auto"/>
              <w:ind w:left="218" w:hanging="218" w:hangingChars="100"/>
              <w:jc w:val="left"/>
              <w:rPr>
                <w:rFonts w:asciiTheme="minorEastAsia" w:hAnsiTheme="minorEastAsia" w:eastAsiaTheme="minorEastAsia" w:cstheme="majorEastAsia"/>
                <w:color w:val="000000" w:themeColor="text1"/>
                <w:spacing w:val="4"/>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4"/>
                <w:sz w:val="21"/>
                <w:szCs w:val="21"/>
                <w:lang w:eastAsia="zh-CN"/>
                <w14:textFill>
                  <w14:solidFill>
                    <w14:schemeClr w14:val="tx1"/>
                  </w14:solidFill>
                </w14:textFill>
              </w:rPr>
              <w:t xml:space="preserve">男性≤ 周岁     </w:t>
            </w:r>
          </w:p>
          <w:p w14:paraId="07959CDE">
            <w:pPr>
              <w:pStyle w:val="36"/>
              <w:spacing w:before="78" w:line="220" w:lineRule="auto"/>
              <w:ind w:left="218" w:hanging="218" w:hangingChars="100"/>
              <w:jc w:val="left"/>
              <w:rPr>
                <w:rFonts w:asciiTheme="minorEastAsia" w:hAnsiTheme="minorEastAsia" w:eastAsiaTheme="minorEastAsia" w:cstheme="maj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4"/>
                <w:sz w:val="21"/>
                <w:szCs w:val="21"/>
                <w:lang w:eastAsia="zh-CN"/>
                <w14:textFill>
                  <w14:solidFill>
                    <w14:schemeClr w14:val="tx1"/>
                  </w14:solidFill>
                </w14:textFill>
              </w:rPr>
              <w:t xml:space="preserve">女性≤ 周岁       </w:t>
            </w:r>
          </w:p>
        </w:tc>
        <w:tc>
          <w:tcPr>
            <w:tcW w:w="851" w:type="dxa"/>
            <w:vAlign w:val="center"/>
          </w:tcPr>
          <w:p w14:paraId="09330057">
            <w:pPr>
              <w:pStyle w:val="36"/>
              <w:spacing w:before="101" w:line="237" w:lineRule="auto"/>
              <w:jc w:val="left"/>
              <w:rPr>
                <w:rFonts w:asciiTheme="minorEastAsia" w:hAnsiTheme="minorEastAsia" w:eastAsiaTheme="minorEastAsia" w:cstheme="majorEastAsia"/>
                <w:color w:val="000000" w:themeColor="text1"/>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w:t>
            </w:r>
            <w:r>
              <w:rPr>
                <w:rFonts w:hint="eastAsia" w:asciiTheme="minorEastAsia" w:hAnsiTheme="minorEastAsia" w:eastAsiaTheme="minorEastAsia" w:cstheme="majorEastAsia"/>
                <w:color w:val="000000" w:themeColor="text1"/>
                <w:spacing w:val="-5"/>
                <w:sz w:val="21"/>
                <w:szCs w:val="21"/>
                <w:lang w:eastAsia="zh-CN"/>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cm</w:t>
            </w:r>
          </w:p>
        </w:tc>
        <w:tc>
          <w:tcPr>
            <w:tcW w:w="1284" w:type="dxa"/>
            <w:vAlign w:val="center"/>
          </w:tcPr>
          <w:p w14:paraId="2BFD3F3A">
            <w:pPr>
              <w:pStyle w:val="36"/>
              <w:spacing w:before="78" w:line="220" w:lineRule="auto"/>
              <w:jc w:val="left"/>
              <w:rPr>
                <w:rFonts w:asciiTheme="minorEastAsia" w:hAnsiTheme="minorEastAsia" w:eastAsiaTheme="minorEastAsia" w:cstheme="maj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z w:val="21"/>
                <w:szCs w:val="21"/>
                <w:lang w:eastAsia="zh-CN"/>
                <w14:textFill>
                  <w14:solidFill>
                    <w14:schemeClr w14:val="tx1"/>
                  </w14:solidFill>
                </w14:textFill>
              </w:rPr>
              <w:t>保安员证、中级(四级)或以上消防操作员证</w:t>
            </w:r>
          </w:p>
        </w:tc>
        <w:tc>
          <w:tcPr>
            <w:tcW w:w="680" w:type="dxa"/>
            <w:vAlign w:val="center"/>
          </w:tcPr>
          <w:p w14:paraId="216D6D47">
            <w:pPr>
              <w:pStyle w:val="36"/>
              <w:spacing w:before="78" w:line="220" w:lineRule="auto"/>
              <w:jc w:val="left"/>
              <w:rPr>
                <w:rFonts w:asciiTheme="minorEastAsia" w:hAnsiTheme="minorEastAsia" w:eastAsiaTheme="minorEastAsia" w:cstheme="majorEastAsia"/>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】小时制</w:t>
            </w:r>
          </w:p>
        </w:tc>
        <w:tc>
          <w:tcPr>
            <w:tcW w:w="641" w:type="dxa"/>
            <w:vAlign w:val="center"/>
          </w:tcPr>
          <w:p w14:paraId="00A27B2B">
            <w:pPr>
              <w:pStyle w:val="36"/>
              <w:spacing w:before="78" w:line="220" w:lineRule="auto"/>
              <w:jc w:val="left"/>
              <w:rPr>
                <w:rFonts w:asciiTheme="minorEastAsia" w:hAnsiTheme="minorEastAsia" w:eastAsiaTheme="minorEastAsia" w:cstheme="majorEastAsia"/>
                <w:color w:val="000000" w:themeColor="text1"/>
                <w:sz w:val="21"/>
                <w:szCs w:val="21"/>
                <w:lang w:eastAsia="zh-CN"/>
                <w14:textFill>
                  <w14:solidFill>
                    <w14:schemeClr w14:val="tx1"/>
                  </w14:solidFill>
                </w14:textFill>
              </w:rPr>
            </w:pPr>
          </w:p>
        </w:tc>
        <w:tc>
          <w:tcPr>
            <w:tcW w:w="2790" w:type="dxa"/>
            <w:vAlign w:val="center"/>
          </w:tcPr>
          <w:p w14:paraId="3D4CB6DB">
            <w:pPr>
              <w:pStyle w:val="36"/>
              <w:spacing w:before="78" w:line="220" w:lineRule="auto"/>
              <w:jc w:val="left"/>
              <w:rPr>
                <w:rFonts w:asciiTheme="minorEastAsia" w:hAnsiTheme="minorEastAsia" w:eastAsiaTheme="minorEastAsia" w:cstheme="maj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ajorEastAsia"/>
                <w:color w:val="000000" w:themeColor="text1"/>
                <w:sz w:val="18"/>
                <w:szCs w:val="18"/>
                <w:lang w:eastAsia="zh-CN"/>
                <w14:textFill>
                  <w14:solidFill>
                    <w14:schemeClr w14:val="tx1"/>
                  </w14:solidFill>
                </w14:textFill>
              </w:rPr>
              <w:t>初中以上学历；体检合格上岗，无犯罪记录证明；本岗位1年以上工作经验，熟悉相应专业技能和服务意识</w:t>
            </w:r>
          </w:p>
        </w:tc>
      </w:tr>
      <w:tr w14:paraId="6BA1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993" w:type="dxa"/>
            <w:vAlign w:val="center"/>
          </w:tcPr>
          <w:p w14:paraId="144576EC">
            <w:pPr>
              <w:pStyle w:val="36"/>
              <w:spacing w:before="48" w:line="220" w:lineRule="auto"/>
              <w:jc w:val="left"/>
              <w:rPr>
                <w:rFonts w:asciiTheme="minorEastAsia" w:hAnsiTheme="minorEastAsia" w:eastAsiaTheme="minorEastAsia" w:cstheme="majorEastAsia"/>
                <w:color w:val="000000" w:themeColor="text1"/>
                <w:spacing w:val="9"/>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9"/>
                <w:sz w:val="21"/>
                <w:szCs w:val="21"/>
                <w:lang w:eastAsia="zh-CN"/>
                <w14:textFill>
                  <w14:solidFill>
                    <w14:schemeClr w14:val="tx1"/>
                  </w14:solidFill>
                </w14:textFill>
              </w:rPr>
              <w:t>其他</w:t>
            </w:r>
            <w:r>
              <w:rPr>
                <w:rFonts w:hint="eastAsia" w:asciiTheme="minorEastAsia" w:hAnsiTheme="minorEastAsia" w:eastAsiaTheme="minorEastAsia" w:cstheme="majorEastAsia"/>
                <w:color w:val="000000" w:themeColor="text1"/>
                <w:spacing w:val="9"/>
                <w:sz w:val="21"/>
                <w:szCs w:val="21"/>
                <w14:textFill>
                  <w14:solidFill>
                    <w14:schemeClr w14:val="tx1"/>
                  </w14:solidFill>
                </w14:textFill>
              </w:rPr>
              <w:t>岗</w:t>
            </w:r>
          </w:p>
        </w:tc>
        <w:tc>
          <w:tcPr>
            <w:tcW w:w="1275" w:type="dxa"/>
            <w:vAlign w:val="center"/>
          </w:tcPr>
          <w:p w14:paraId="0CEF1B02">
            <w:pPr>
              <w:pStyle w:val="36"/>
              <w:spacing w:before="78" w:line="220" w:lineRule="auto"/>
              <w:ind w:left="2"/>
              <w:jc w:val="left"/>
              <w:rPr>
                <w:rFonts w:asciiTheme="minorEastAsia" w:hAnsiTheme="minorEastAsia" w:eastAsiaTheme="minorEastAsia" w:cstheme="majorEastAsia"/>
                <w:color w:val="000000" w:themeColor="text1"/>
                <w:spacing w:val="4"/>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4"/>
                <w:sz w:val="21"/>
                <w:szCs w:val="21"/>
                <w:lang w:eastAsia="zh-CN"/>
                <w14:textFill>
                  <w14:solidFill>
                    <w14:schemeClr w14:val="tx1"/>
                  </w14:solidFill>
                </w14:textFill>
              </w:rPr>
              <w:t>男性≤ 周岁   女性≤ 周岁</w:t>
            </w:r>
          </w:p>
        </w:tc>
        <w:tc>
          <w:tcPr>
            <w:tcW w:w="851" w:type="dxa"/>
            <w:vAlign w:val="center"/>
          </w:tcPr>
          <w:p w14:paraId="71A6FC56">
            <w:pPr>
              <w:spacing w:line="295" w:lineRule="auto"/>
              <w:jc w:val="left"/>
              <w:rPr>
                <w:rFonts w:asciiTheme="minorEastAsia" w:hAnsiTheme="minorEastAsia" w:eastAsiaTheme="minorEastAsia" w:cstheme="majorEastAsia"/>
                <w:color w:val="000000" w:themeColor="text1"/>
                <w:szCs w:val="21"/>
                <w14:textFill>
                  <w14:solidFill>
                    <w14:schemeClr w14:val="tx1"/>
                  </w14:solidFill>
                </w14:textFill>
              </w:rPr>
            </w:pPr>
          </w:p>
          <w:p w14:paraId="6B0EB97B">
            <w:pPr>
              <w:pStyle w:val="36"/>
              <w:spacing w:before="101" w:line="237" w:lineRule="auto"/>
              <w:jc w:val="left"/>
              <w:rPr>
                <w:rFonts w:asciiTheme="minorEastAsia" w:hAnsiTheme="minorEastAsia" w:eastAsiaTheme="minorEastAsia" w:cstheme="majorEastAsia"/>
                <w:color w:val="000000" w:themeColor="text1"/>
                <w:spacing w:val="-5"/>
                <w:sz w:val="21"/>
                <w:szCs w:val="21"/>
                <w14:textFill>
                  <w14:solidFill>
                    <w14:schemeClr w14:val="tx1"/>
                  </w14:solidFill>
                </w14:textFill>
              </w:rPr>
            </w:pP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w:t>
            </w:r>
            <w:r>
              <w:rPr>
                <w:rFonts w:hint="eastAsia" w:asciiTheme="minorEastAsia" w:hAnsiTheme="minorEastAsia" w:eastAsiaTheme="minorEastAsia" w:cstheme="majorEastAsia"/>
                <w:color w:val="000000" w:themeColor="text1"/>
                <w:spacing w:val="-5"/>
                <w:sz w:val="21"/>
                <w:szCs w:val="21"/>
                <w:lang w:eastAsia="zh-CN"/>
                <w14:textFill>
                  <w14:solidFill>
                    <w14:schemeClr w14:val="tx1"/>
                  </w14:solidFill>
                </w14:textFill>
              </w:rPr>
              <w:t xml:space="preserve">    </w:t>
            </w:r>
            <w:r>
              <w:rPr>
                <w:rFonts w:hint="eastAsia" w:asciiTheme="minorEastAsia" w:hAnsiTheme="minorEastAsia" w:eastAsiaTheme="minorEastAsia" w:cstheme="majorEastAsia"/>
                <w:color w:val="000000" w:themeColor="text1"/>
                <w:spacing w:val="-5"/>
                <w:sz w:val="21"/>
                <w:szCs w:val="21"/>
                <w14:textFill>
                  <w14:solidFill>
                    <w14:schemeClr w14:val="tx1"/>
                  </w14:solidFill>
                </w14:textFill>
              </w:rPr>
              <w:t>cm</w:t>
            </w:r>
          </w:p>
        </w:tc>
        <w:tc>
          <w:tcPr>
            <w:tcW w:w="1284" w:type="dxa"/>
            <w:vAlign w:val="center"/>
          </w:tcPr>
          <w:p w14:paraId="50E41D25">
            <w:pPr>
              <w:pStyle w:val="36"/>
              <w:spacing w:before="78" w:line="220" w:lineRule="auto"/>
              <w:jc w:val="left"/>
              <w:rPr>
                <w:rFonts w:asciiTheme="minorEastAsia" w:hAnsiTheme="minorEastAsia" w:eastAsiaTheme="minorEastAsia" w:cstheme="maj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ajorEastAsia"/>
                <w:color w:val="000000" w:themeColor="text1"/>
                <w:spacing w:val="2"/>
                <w:sz w:val="21"/>
                <w:szCs w:val="21"/>
                <w14:textFill>
                  <w14:solidFill>
                    <w14:schemeClr w14:val="tx1"/>
                  </w14:solidFill>
                </w14:textFill>
              </w:rPr>
              <w:t>保安员证</w:t>
            </w:r>
          </w:p>
        </w:tc>
        <w:tc>
          <w:tcPr>
            <w:tcW w:w="680" w:type="dxa"/>
            <w:vAlign w:val="center"/>
          </w:tcPr>
          <w:p w14:paraId="65F3A87D">
            <w:pPr>
              <w:pStyle w:val="36"/>
              <w:spacing w:before="78"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】小时制</w:t>
            </w:r>
          </w:p>
        </w:tc>
        <w:tc>
          <w:tcPr>
            <w:tcW w:w="641" w:type="dxa"/>
            <w:vAlign w:val="center"/>
          </w:tcPr>
          <w:p w14:paraId="7542105E">
            <w:pPr>
              <w:pStyle w:val="36"/>
              <w:spacing w:before="78" w:line="220" w:lineRule="auto"/>
              <w:jc w:val="left"/>
              <w:rPr>
                <w:rFonts w:asciiTheme="minorEastAsia" w:hAnsiTheme="minorEastAsia" w:eastAsiaTheme="minorEastAsia" w:cstheme="majorEastAsia"/>
                <w:color w:val="000000" w:themeColor="text1"/>
                <w:spacing w:val="2"/>
                <w:sz w:val="21"/>
                <w:szCs w:val="21"/>
                <w14:textFill>
                  <w14:solidFill>
                    <w14:schemeClr w14:val="tx1"/>
                  </w14:solidFill>
                </w14:textFill>
              </w:rPr>
            </w:pPr>
          </w:p>
        </w:tc>
        <w:tc>
          <w:tcPr>
            <w:tcW w:w="2790" w:type="dxa"/>
            <w:vAlign w:val="center"/>
          </w:tcPr>
          <w:p w14:paraId="791C2258">
            <w:pPr>
              <w:pStyle w:val="36"/>
              <w:spacing w:before="78" w:line="220" w:lineRule="auto"/>
              <w:jc w:val="left"/>
              <w:rPr>
                <w:rFonts w:asciiTheme="minorEastAsia" w:hAnsiTheme="minorEastAsia" w:eastAsiaTheme="minorEastAsia" w:cstheme="maj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ajorEastAsia"/>
                <w:color w:val="000000" w:themeColor="text1"/>
                <w:sz w:val="18"/>
                <w:szCs w:val="18"/>
                <w:lang w:eastAsia="zh-CN"/>
                <w14:textFill>
                  <w14:solidFill>
                    <w14:schemeClr w14:val="tx1"/>
                  </w14:solidFill>
                </w14:textFill>
              </w:rPr>
              <w:t>初中以上学历；体检合格上岗，无犯罪记录证明；本岗位1年以上工作经验，熟悉相应专业技能和服务意识</w:t>
            </w:r>
          </w:p>
        </w:tc>
      </w:tr>
    </w:tbl>
    <w:p w14:paraId="1E4D7170">
      <w:pPr>
        <w:pStyle w:val="9"/>
        <w:adjustRightInd w:val="0"/>
        <w:snapToGrid w:val="0"/>
        <w:spacing w:line="460" w:lineRule="exact"/>
        <w:ind w:firstLine="532" w:firstLineChars="200"/>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pacing w:val="13"/>
          <w:sz w:val="24"/>
          <w14:textFill>
            <w14:solidFill>
              <w14:schemeClr w14:val="tx1"/>
            </w14:solidFill>
          </w14:textFill>
        </w:rPr>
        <w:t>3、人员其他要求</w:t>
      </w:r>
    </w:p>
    <w:p w14:paraId="4C0BDBB7">
      <w:pPr>
        <w:adjustRightInd w:val="0"/>
        <w:snapToGrid w:val="0"/>
        <w:spacing w:line="460" w:lineRule="exact"/>
        <w:ind w:firstLine="516" w:firstLineChars="200"/>
        <w:rPr>
          <w:rFonts w:asciiTheme="minorEastAsia" w:hAnsiTheme="minorEastAsia" w:eastAsiaTheme="minorEastAsia" w:cstheme="majorEastAsia"/>
          <w:color w:val="000000" w:themeColor="text1"/>
          <w:spacing w:val="9"/>
          <w:sz w:val="24"/>
          <w14:textFill>
            <w14:solidFill>
              <w14:schemeClr w14:val="tx1"/>
            </w14:solidFill>
          </w14:textFill>
        </w:rPr>
      </w:pPr>
      <w:r>
        <w:rPr>
          <w:rFonts w:hint="eastAsia" w:asciiTheme="minorEastAsia" w:hAnsiTheme="minorEastAsia" w:eastAsiaTheme="minorEastAsia" w:cstheme="majorEastAsia"/>
          <w:color w:val="000000" w:themeColor="text1"/>
          <w:spacing w:val="9"/>
          <w:sz w:val="24"/>
          <w14:textFill>
            <w14:solidFill>
              <w14:schemeClr w14:val="tx1"/>
            </w14:solidFill>
          </w14:textFill>
        </w:rPr>
        <w:t>乙方选派的人员须具备基本文字书写能力、语言表达能力，正常沟通能力、身体健康、无传染性疾病(提供体检合格证明)、无高死亡风险疾病，五官端正(无纹身、皮肤裸露处没有明显疤痕),无不良行为习惯或嗜好，无刑事犯罪或社会治安处罚记录(提供个人征信证明和公安机关开具的无犯罪记录证明), 有良好的职业道德、服务意识及岗位技能。</w:t>
      </w:r>
    </w:p>
    <w:p w14:paraId="7C8DA8DD">
      <w:pPr>
        <w:pStyle w:val="9"/>
        <w:snapToGrid w:val="0"/>
        <w:spacing w:line="480" w:lineRule="exact"/>
        <w:ind w:firstLine="502" w:firstLineChars="200"/>
        <w:rPr>
          <w:rFonts w:asciiTheme="minorEastAsia" w:hAnsiTheme="minorEastAsia" w:eastAsiaTheme="minorEastAsia" w:cstheme="majorEastAsia"/>
          <w:b/>
          <w:bCs/>
          <w:color w:val="000000" w:themeColor="text1"/>
          <w:spacing w:val="5"/>
          <w:sz w:val="24"/>
          <w14:textFill>
            <w14:solidFill>
              <w14:schemeClr w14:val="tx1"/>
            </w14:solidFill>
          </w14:textFill>
        </w:rPr>
      </w:pPr>
    </w:p>
    <w:p w14:paraId="31FC65AD">
      <w:pPr>
        <w:adjustRightInd w:val="0"/>
        <w:snapToGrid w:val="0"/>
        <w:spacing w:line="460" w:lineRule="exact"/>
        <w:ind w:firstLine="482" w:firstLineChars="200"/>
        <w:jc w:val="left"/>
        <w:rPr>
          <w:rFonts w:asciiTheme="minorEastAsia" w:hAnsiTheme="minorEastAsia" w:eastAsiaTheme="minorEastAsia" w:cstheme="majorEastAsia"/>
          <w:b/>
          <w:bCs/>
          <w:color w:val="000000" w:themeColor="text1"/>
          <w:sz w:val="24"/>
          <w14:textFill>
            <w14:solidFill>
              <w14:schemeClr w14:val="tx1"/>
            </w14:solidFill>
          </w14:textFill>
        </w:rPr>
      </w:pPr>
      <w:r>
        <w:rPr>
          <w:rFonts w:hint="eastAsia" w:asciiTheme="minorEastAsia" w:hAnsiTheme="minorEastAsia" w:eastAsiaTheme="minorEastAsia" w:cstheme="majorEastAsia"/>
          <w:b/>
          <w:bCs/>
          <w:color w:val="000000" w:themeColor="text1"/>
          <w:sz w:val="24"/>
          <w14:textFill>
            <w14:solidFill>
              <w14:schemeClr w14:val="tx1"/>
            </w14:solidFill>
          </w14:textFill>
        </w:rPr>
        <w:t>第四条   秩序维护服务费</w:t>
      </w:r>
      <w:r>
        <w:rPr>
          <w:rFonts w:hint="eastAsia" w:asciiTheme="minorEastAsia" w:hAnsiTheme="minorEastAsia" w:eastAsiaTheme="minorEastAsia" w:cstheme="majorEastAsia"/>
          <w:b/>
          <w:bCs/>
          <w:color w:val="000000" w:themeColor="text1"/>
          <w:spacing w:val="4"/>
          <w:sz w:val="24"/>
          <w14:textFill>
            <w14:solidFill>
              <w14:schemeClr w14:val="tx1"/>
            </w14:solidFill>
          </w14:textFill>
        </w:rPr>
        <w:t>结算方式、付款方式及条件</w:t>
      </w:r>
    </w:p>
    <w:p w14:paraId="08A8C1F9">
      <w:pPr>
        <w:adjustRightInd w:val="0"/>
        <w:snapToGrid w:val="0"/>
        <w:spacing w:line="460" w:lineRule="exact"/>
        <w:ind w:firstLine="516" w:firstLineChars="200"/>
        <w:rPr>
          <w:color w:val="000000" w:themeColor="text1"/>
          <w14:textFill>
            <w14:solidFill>
              <w14:schemeClr w14:val="tx1"/>
            </w14:solidFill>
          </w14:textFill>
        </w:rPr>
      </w:pPr>
      <w:r>
        <w:rPr>
          <w:rFonts w:hint="eastAsia" w:asciiTheme="minorEastAsia" w:hAnsiTheme="minorEastAsia" w:eastAsiaTheme="minorEastAsia" w:cstheme="majorEastAsia"/>
          <w:color w:val="000000" w:themeColor="text1"/>
          <w:spacing w:val="9"/>
          <w:sz w:val="24"/>
          <w14:textFill>
            <w14:solidFill>
              <w14:schemeClr w14:val="tx1"/>
            </w14:solidFill>
          </w14:textFill>
        </w:rPr>
        <w:t>1、结算方式：</w:t>
      </w:r>
      <w:r>
        <w:rPr>
          <w:rFonts w:asciiTheme="minorEastAsia" w:hAnsiTheme="minorEastAsia" w:eastAsiaTheme="minorEastAsia" w:cstheme="majorEastAsia"/>
          <w:bCs/>
          <w:color w:val="000000" w:themeColor="text1"/>
          <w:spacing w:val="7"/>
          <w:sz w:val="24"/>
          <w14:textFill>
            <w14:solidFill>
              <w14:schemeClr w14:val="tx1"/>
            </w14:solidFill>
          </w14:textFill>
        </w:rPr>
        <w:t>按照合同约定的考核标准，根据实际在岗人数、服务时长及现场考核情况核算扣减金额，并据此结算。</w:t>
      </w:r>
      <w:r>
        <w:rPr>
          <w:rFonts w:hint="eastAsia" w:asciiTheme="minorEastAsia" w:hAnsiTheme="minorEastAsia" w:eastAsiaTheme="minorEastAsia" w:cstheme="majorEastAsia"/>
          <w:color w:val="000000" w:themeColor="text1"/>
          <w:sz w:val="24"/>
          <w14:textFill>
            <w14:solidFill>
              <w14:schemeClr w14:val="tx1"/>
            </w14:solidFill>
          </w14:textFill>
        </w:rPr>
        <w:t>若服务期限不足一个月，则根据该岗位实际服务天数对应费用标准结算秩序维护服务费(计算方式：月度岗位服务款单价/（自然月天数-月休</w:t>
      </w:r>
      <w:r>
        <w:rPr>
          <w:rFonts w:hint="eastAsia" w:asciiTheme="minorEastAsia" w:hAnsiTheme="minorEastAsia" w:eastAsiaTheme="minorEastAsia" w:cstheme="maj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z w:val="24"/>
          <w14:textFill>
            <w14:solidFill>
              <w14:schemeClr w14:val="tx1"/>
            </w14:solidFill>
          </w14:textFill>
        </w:rPr>
        <w:t>天）*实际出勤天数=应付服务款金额) ，出勤</w:t>
      </w:r>
      <w:r>
        <w:rPr>
          <w:rFonts w:hint="eastAsia" w:asciiTheme="minorEastAsia" w:hAnsiTheme="minorEastAsia" w:eastAsiaTheme="minorEastAsia" w:cstheme="majorEastAsia"/>
          <w:color w:val="000000" w:themeColor="text1"/>
          <w:spacing w:val="6"/>
          <w:sz w:val="24"/>
          <w14:textFill>
            <w14:solidFill>
              <w14:schemeClr w14:val="tx1"/>
            </w14:solidFill>
          </w14:textFill>
        </w:rPr>
        <w:t>不分工作日或法定节假日。</w:t>
      </w:r>
    </w:p>
    <w:p w14:paraId="21E05DA1">
      <w:pPr>
        <w:pStyle w:val="9"/>
        <w:snapToGrid w:val="0"/>
        <w:spacing w:before="128" w:line="460" w:lineRule="exact"/>
        <w:ind w:left="471"/>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pacing w:val="7"/>
          <w:sz w:val="24"/>
          <w14:textFill>
            <w14:solidFill>
              <w14:schemeClr w14:val="tx1"/>
            </w14:solidFill>
          </w14:textFill>
        </w:rPr>
        <w:t>2、付款方式及条件</w:t>
      </w:r>
    </w:p>
    <w:p w14:paraId="230F3E5A">
      <w:pPr>
        <w:pStyle w:val="9"/>
        <w:adjustRightInd w:val="0"/>
        <w:snapToGrid w:val="0"/>
        <w:spacing w:before="137" w:line="460" w:lineRule="exact"/>
        <w:ind w:right="99" w:firstLine="469"/>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2.1服务费用按月支付，结算及付款资料包括供方服务评价表、结算确认单(详见附件一)、月考勤表、秩序维护服务合同等及甲方所要</w:t>
      </w:r>
      <w:r>
        <w:rPr>
          <w:rFonts w:hint="eastAsia" w:asciiTheme="minorEastAsia" w:hAnsiTheme="minorEastAsia" w:eastAsiaTheme="minorEastAsia" w:cstheme="majorEastAsia"/>
          <w:color w:val="000000" w:themeColor="text1"/>
          <w:sz w:val="24"/>
          <w:lang w:eastAsia="zh-CN"/>
          <w14:textFill>
            <w14:solidFill>
              <w14:schemeClr w14:val="tx1"/>
            </w14:solidFill>
          </w14:textFill>
        </w:rPr>
        <w:t>求的</w:t>
      </w:r>
      <w:r>
        <w:rPr>
          <w:rFonts w:hint="eastAsia" w:asciiTheme="minorEastAsia" w:hAnsiTheme="minorEastAsia" w:eastAsiaTheme="minorEastAsia" w:cstheme="majorEastAsia"/>
          <w:color w:val="000000" w:themeColor="text1"/>
          <w:sz w:val="24"/>
          <w14:textFill>
            <w14:solidFill>
              <w14:schemeClr w14:val="tx1"/>
            </w14:solidFill>
          </w14:textFill>
        </w:rPr>
        <w:t>其他资料。</w:t>
      </w:r>
    </w:p>
    <w:p w14:paraId="56B1B427">
      <w:pPr>
        <w:pStyle w:val="9"/>
        <w:adjustRightInd w:val="0"/>
        <w:snapToGrid w:val="0"/>
        <w:spacing w:before="137" w:line="460" w:lineRule="exact"/>
        <w:ind w:right="99" w:firstLine="469"/>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2.2甲乙双方于每月2</w:t>
      </w:r>
      <w:r>
        <w:rPr>
          <w:rFonts w:asciiTheme="minorEastAsia" w:hAnsiTheme="minorEastAsia" w:eastAsiaTheme="minorEastAsia" w:cstheme="majorEastAsia"/>
          <w:color w:val="000000" w:themeColor="text1"/>
          <w:sz w:val="24"/>
          <w14:textFill>
            <w14:solidFill>
              <w14:schemeClr w14:val="tx1"/>
            </w14:solidFill>
          </w14:textFill>
        </w:rPr>
        <w:t>0</w:t>
      </w:r>
      <w:r>
        <w:rPr>
          <w:rFonts w:hint="eastAsia" w:asciiTheme="minorEastAsia" w:hAnsiTheme="minorEastAsia" w:eastAsiaTheme="minorEastAsia" w:cstheme="majorEastAsia"/>
          <w:color w:val="000000" w:themeColor="text1"/>
          <w:sz w:val="24"/>
          <w14:textFill>
            <w14:solidFill>
              <w14:schemeClr w14:val="tx1"/>
            </w14:solidFill>
          </w14:textFill>
        </w:rPr>
        <w:t>日前根据本合同约定计算上月秩序维护服务费用，经双方确认后，乙方向甲方提供等额增值税专用发票，甲方在收到乙方发票后十五个工作日内支付。本合同为含税价格，乙方为一般纳税人，应向甲方提供税率为*%  的增值税专用发票。合同执行期间，因政府财税部门对增值税政策调整的，增值税税额按调整后的税率执行，不含税价格不变，双方按不含税价格和调整后的增值税税额重新确定含增值税价格。若乙方不提供或延迟提供发票，则甲方付款时间顺延(如遇休息日或节假日，付款日期顺延)。</w:t>
      </w:r>
    </w:p>
    <w:p w14:paraId="7C6B8121">
      <w:pPr>
        <w:adjustRightInd w:val="0"/>
        <w:snapToGrid w:val="0"/>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 xml:space="preserve">2.3本合同项下所有款项均以人民币支付，甲方以银行转账或支票方式向乙方指定收款账户支付。乙方指定的收款账户如下： </w:t>
      </w:r>
    </w:p>
    <w:p w14:paraId="62676B0D">
      <w:pPr>
        <w:adjustRightInd w:val="0"/>
        <w:snapToGrid w:val="0"/>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乙方开户银行：</w:t>
      </w:r>
      <w:r>
        <w:rPr>
          <w:rFonts w:hint="eastAsia" w:asciiTheme="minorEastAsia" w:hAnsiTheme="minorEastAsia" w:eastAsiaTheme="minorEastAsia" w:cstheme="maj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z w:val="24"/>
          <w14:textFill>
            <w14:solidFill>
              <w14:schemeClr w14:val="tx1"/>
            </w14:solidFill>
          </w14:textFill>
        </w:rPr>
        <w:t xml:space="preserve">          </w:t>
      </w:r>
    </w:p>
    <w:p w14:paraId="3A189718">
      <w:pPr>
        <w:adjustRightInd w:val="0"/>
        <w:snapToGrid w:val="0"/>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乙方开户名称：</w:t>
      </w:r>
      <w:r>
        <w:rPr>
          <w:rFonts w:hint="eastAsia" w:asciiTheme="minorEastAsia" w:hAnsiTheme="minorEastAsia" w:eastAsiaTheme="minorEastAsia" w:cstheme="maj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z w:val="24"/>
          <w14:textFill>
            <w14:solidFill>
              <w14:schemeClr w14:val="tx1"/>
            </w14:solidFill>
          </w14:textFill>
        </w:rPr>
        <w:t xml:space="preserve">          </w:t>
      </w:r>
    </w:p>
    <w:p w14:paraId="116A44D7">
      <w:pPr>
        <w:adjustRightInd w:val="0"/>
        <w:snapToGrid w:val="0"/>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账        号：</w:t>
      </w:r>
      <w:r>
        <w:rPr>
          <w:rFonts w:hint="eastAsia" w:asciiTheme="minorEastAsia" w:hAnsiTheme="minorEastAsia" w:eastAsiaTheme="minorEastAsia" w:cstheme="maj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ajorEastAsia"/>
          <w:color w:val="000000" w:themeColor="text1"/>
          <w:sz w:val="24"/>
          <w14:textFill>
            <w14:solidFill>
              <w14:schemeClr w14:val="tx1"/>
            </w14:solidFill>
          </w14:textFill>
        </w:rPr>
        <w:t xml:space="preserve">          </w:t>
      </w:r>
    </w:p>
    <w:p w14:paraId="4A48F3F2">
      <w:pPr>
        <w:adjustRightInd w:val="0"/>
        <w:snapToGrid w:val="0"/>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乙方如需改变上述信息，应提前15 日以书面的形式通知甲方。如未按本合同规定通知而遭受的损失自行承担。甲方已将款项支付至乙方账户且未被退回，则视同甲方已履行付款义务。甲方开票信息如发生变更，乙方有义务协助甲方更换已开具的增值税专用发票。</w:t>
      </w:r>
    </w:p>
    <w:p w14:paraId="749E70C7">
      <w:pPr>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p>
    <w:p w14:paraId="785ABD83">
      <w:pPr>
        <w:adjustRightInd w:val="0"/>
        <w:snapToGrid w:val="0"/>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第五条  甲方权利及义务</w:t>
      </w:r>
    </w:p>
    <w:p w14:paraId="5A3FD648">
      <w:pPr>
        <w:adjustRightInd w:val="0"/>
        <w:snapToGrid w:val="0"/>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1、审定乙方拟定的秩序维护管理方案和服务计划，监督和检查乙方管理工作的实施及制度的执行情况。</w:t>
      </w:r>
    </w:p>
    <w:p w14:paraId="69B7B2ED">
      <w:pPr>
        <w:adjustRightInd w:val="0"/>
        <w:snapToGrid w:val="0"/>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2、甲方可依据附件检查标准，每月对乙方所提供的秩序维护服务进行检查，并有权依据检查标准对乙方不符合服务要求的行为进行考核。</w:t>
      </w:r>
    </w:p>
    <w:p w14:paraId="51A6F7CC">
      <w:pPr>
        <w:adjustRightInd w:val="0"/>
        <w:snapToGrid w:val="0"/>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3、甲方应为乙方秩序维护人员提供必需的工作场所和条件。</w:t>
      </w:r>
    </w:p>
    <w:p w14:paraId="1E7C0BE3">
      <w:pPr>
        <w:adjustRightInd w:val="0"/>
        <w:snapToGrid w:val="0"/>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4、根据合同约定标准按时向乙方支付秩序维护服务费。</w:t>
      </w:r>
    </w:p>
    <w:p w14:paraId="71615AEF">
      <w:pPr>
        <w:adjustRightInd w:val="0"/>
        <w:snapToGrid w:val="0"/>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5、积极采纳乙方合理化建议，以求更好地开展秩序维护服务。</w:t>
      </w:r>
    </w:p>
    <w:p w14:paraId="373CCC19">
      <w:pPr>
        <w:adjustRightInd w:val="0"/>
        <w:snapToGrid w:val="0"/>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6、甲方应负责配备符合国家规范要求的消防设施。</w:t>
      </w:r>
    </w:p>
    <w:p w14:paraId="0BA3A959">
      <w:pPr>
        <w:adjustRightInd w:val="0"/>
        <w:snapToGrid w:val="0"/>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7、甲方指派专人负责监督乙方的秩序维护服务工作，双方加强沟通交流，及时协调处理日常服务工作中出现的问题。</w:t>
      </w:r>
    </w:p>
    <w:p w14:paraId="0BEA4782">
      <w:pPr>
        <w:adjustRightInd w:val="0"/>
        <w:snapToGrid w:val="0"/>
        <w:spacing w:line="460" w:lineRule="exact"/>
        <w:ind w:firstLine="480" w:firstLineChars="200"/>
        <w:rPr>
          <w:rFonts w:hint="eastAsia"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8、甲方有权定期检查、指导和督促乙方的秩序维护服务工作，对不称职或者有违法违纪的人员，有权要求乙方予以撤换；如乙方未按约定的要求在合理的时间内更换人员，甲方有权扣除相应人员的月费用。</w:t>
      </w:r>
    </w:p>
    <w:p w14:paraId="2FF9A2FA">
      <w:pPr>
        <w:adjustRightInd w:val="0"/>
        <w:snapToGrid w:val="0"/>
        <w:spacing w:line="460" w:lineRule="exact"/>
        <w:ind w:firstLine="480" w:firstLineChars="200"/>
        <w:rPr>
          <w:rFonts w:hint="eastAsia" w:cs="仿宋" w:asciiTheme="minorEastAsia" w:hAnsiTheme="minorEastAsia" w:eastAsiaTheme="minorEastAsia"/>
          <w:color w:val="000000" w:themeColor="text1"/>
          <w:sz w:val="24"/>
          <w:lang w:val="en-US" w:eastAsia="zh-CN"/>
          <w14:textFill>
            <w14:solidFill>
              <w14:schemeClr w14:val="tx1"/>
            </w14:solidFill>
          </w14:textFill>
        </w:rPr>
      </w:pPr>
      <w:r>
        <w:rPr>
          <w:rFonts w:hint="eastAsia" w:cs="仿宋" w:asciiTheme="minorEastAsia" w:hAnsiTheme="minorEastAsia" w:eastAsiaTheme="minorEastAsia"/>
          <w:color w:val="000000" w:themeColor="text1"/>
          <w:sz w:val="24"/>
          <w:lang w:val="en-US" w:eastAsia="zh-CN"/>
          <w14:textFill>
            <w14:solidFill>
              <w14:schemeClr w14:val="tx1"/>
            </w14:solidFill>
          </w14:textFill>
        </w:rPr>
        <w:t>9、</w:t>
      </w:r>
      <w:r>
        <w:rPr>
          <w:rFonts w:ascii="Arial" w:hAnsi="Arial" w:eastAsia="宋体" w:cs="Arial"/>
          <w:i w:val="0"/>
          <w:iCs w:val="0"/>
          <w:caps w:val="0"/>
          <w:color w:val="000000" w:themeColor="text1"/>
          <w:spacing w:val="5"/>
          <w:sz w:val="24"/>
          <w:szCs w:val="24"/>
          <w:shd w:val="clear" w:fill="FFFFFF"/>
          <w14:textFill>
            <w14:solidFill>
              <w14:schemeClr w14:val="tx1"/>
            </w14:solidFill>
          </w14:textFill>
        </w:rPr>
        <w:t>在本项目出现特殊或紧急工作需求时，甲方有权临时调配乙方</w:t>
      </w:r>
      <w:r>
        <w:rPr>
          <w:rFonts w:hint="eastAsia" w:ascii="Arial" w:hAnsi="Arial" w:cs="Arial"/>
          <w:i w:val="0"/>
          <w:iCs w:val="0"/>
          <w:caps w:val="0"/>
          <w:color w:val="000000" w:themeColor="text1"/>
          <w:spacing w:val="5"/>
          <w:sz w:val="24"/>
          <w:szCs w:val="24"/>
          <w:shd w:val="clear" w:fill="FFFFFF"/>
          <w:lang w:val="en-US" w:eastAsia="zh-CN"/>
          <w14:textFill>
            <w14:solidFill>
              <w14:schemeClr w14:val="tx1"/>
            </w14:solidFill>
          </w14:textFill>
        </w:rPr>
        <w:t>秩序维护</w:t>
      </w:r>
      <w:r>
        <w:rPr>
          <w:rFonts w:ascii="Arial" w:hAnsi="Arial" w:eastAsia="宋体" w:cs="Arial"/>
          <w:i w:val="0"/>
          <w:iCs w:val="0"/>
          <w:caps w:val="0"/>
          <w:color w:val="000000" w:themeColor="text1"/>
          <w:spacing w:val="5"/>
          <w:sz w:val="24"/>
          <w:szCs w:val="24"/>
          <w:shd w:val="clear" w:fill="FFFFFF"/>
          <w14:textFill>
            <w14:solidFill>
              <w14:schemeClr w14:val="tx1"/>
            </w14:solidFill>
          </w14:textFill>
        </w:rPr>
        <w:t>人员，乙方需无条件组织人员提供支援并积极配合。</w:t>
      </w:r>
      <w:r>
        <w:rPr>
          <w:rFonts w:hint="eastAsia" w:cs="仿宋" w:asciiTheme="minorEastAsia" w:hAnsiTheme="minorEastAsia" w:eastAsiaTheme="minorEastAsia"/>
          <w:color w:val="000000" w:themeColor="text1"/>
          <w:kern w:val="2"/>
          <w:sz w:val="24"/>
          <w:lang w:val="en-US" w:eastAsia="zh-CN"/>
          <w14:textFill>
            <w14:solidFill>
              <w14:schemeClr w14:val="tx1"/>
            </w14:solidFill>
          </w14:textFill>
        </w:rPr>
        <w:t>因此产生的</w:t>
      </w:r>
      <w:r>
        <w:rPr>
          <w:rFonts w:ascii="Arial" w:hAnsi="Arial" w:eastAsia="宋体" w:cs="Arial"/>
          <w:i w:val="0"/>
          <w:iCs w:val="0"/>
          <w:caps w:val="0"/>
          <w:color w:val="000000" w:themeColor="text1"/>
          <w:spacing w:val="5"/>
          <w:sz w:val="24"/>
          <w:szCs w:val="24"/>
          <w:shd w:val="clear" w:fill="FFFFFF"/>
          <w14:textFill>
            <w14:solidFill>
              <w14:schemeClr w14:val="tx1"/>
            </w14:solidFill>
          </w14:textFill>
        </w:rPr>
        <w:t>相关费用事宜由另行协商确定</w:t>
      </w:r>
      <w:r>
        <w:rPr>
          <w:rFonts w:hint="eastAsia" w:cs="仿宋" w:asciiTheme="minorEastAsia" w:hAnsiTheme="minorEastAsia" w:eastAsiaTheme="minorEastAsia"/>
          <w:color w:val="000000" w:themeColor="text1"/>
          <w:kern w:val="2"/>
          <w:sz w:val="24"/>
          <w14:textFill>
            <w14:solidFill>
              <w14:schemeClr w14:val="tx1"/>
            </w14:solidFill>
          </w14:textFill>
        </w:rPr>
        <w:t>。</w:t>
      </w:r>
    </w:p>
    <w:p w14:paraId="54D18044">
      <w:pPr>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p>
    <w:p w14:paraId="027096F0">
      <w:pPr>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第六条   乙方权利及义务</w:t>
      </w:r>
    </w:p>
    <w:p w14:paraId="35432B27">
      <w:pPr>
        <w:adjustRightInd w:val="0"/>
        <w:snapToGrid w:val="0"/>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乙方人员要遵守并严格执行甲方制定的所有规章制度，接受甲方的管理与调配建议，维护甲方的利益，保障甲方的财产安全。甲方有权对违规或不称职人员提出考核或调换要求，乙方必须接受；如乙方人员违反甲方管理规定，甲方有权视乙方违约情况进行费用核减。</w:t>
      </w:r>
    </w:p>
    <w:p w14:paraId="5BAEC594">
      <w:pPr>
        <w:adjustRightInd w:val="0"/>
        <w:snapToGrid w:val="0"/>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乙方应做好服务区域内安全巡查，维护服务区内业主及使用人的人身、财产安全，维护正常治安、消防秩序，做好防抢、防盗、防火、防破坏等工作；熟练掌握火灾、治安、自然灾害等突发事件应急预案，发生突发事件应及时赶往现场进行处理并组织秩序维护工作，立即报告甲方人员或拨打紧急救助电话，同时要保护好现场，并详细记录备查。</w:t>
      </w:r>
    </w:p>
    <w:p w14:paraId="24DE1FDC">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乙方须为选派至本项目的秩序维护人员每人购买赔偿限额不低于80万元人民币的人身意外伤害保险，并自行承担保险费用。若乙方未按约定购买上述保险，甲方有权要求乙方限期整改，若乙方拒不整改或逾期整改，则甲方可提前终止本合同，若由此造成甲方经济损失，乙方需承担赔偿责任。</w:t>
      </w:r>
    </w:p>
    <w:p w14:paraId="7F8ED4E1">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4、乙方应依法与其人员建立劳动合同关系，并保证该劳动合同关系在本合同履行期间合法存续，且相关劳动合同等人事（档案和用工报备等）均由乙方管理，自行负责和承担其人员的工资（含加班费等乙方员工应该获得的所有收入）、各项保险（含社会保险、人身意外伤害保险或法律法规规定的其他保险）、劳保福利及其</w:t>
      </w:r>
      <w:r>
        <w:rPr>
          <w:rFonts w:hint="eastAsia" w:cs="仿宋" w:asciiTheme="minorEastAsia" w:hAnsiTheme="minorEastAsia" w:eastAsiaTheme="minorEastAsia"/>
          <w:color w:val="000000" w:themeColor="text1"/>
          <w:sz w:val="24"/>
          <w:lang w:eastAsia="zh-CN"/>
          <w14:textFill>
            <w14:solidFill>
              <w14:schemeClr w14:val="tx1"/>
            </w14:solidFill>
          </w14:textFill>
        </w:rPr>
        <w:t>他</w:t>
      </w:r>
      <w:r>
        <w:rPr>
          <w:rFonts w:hint="eastAsia" w:cs="仿宋" w:asciiTheme="minorEastAsia" w:hAnsiTheme="minorEastAsia" w:eastAsiaTheme="minorEastAsia"/>
          <w:color w:val="000000" w:themeColor="text1"/>
          <w:sz w:val="24"/>
          <w14:textFill>
            <w14:solidFill>
              <w14:schemeClr w14:val="tx1"/>
            </w14:solidFill>
          </w14:textFill>
        </w:rPr>
        <w:t>一切费用，甲方不承担任何乙方与其员工劳动合同项下任何责任，乙方与其人员因劳动关系及各种原因引发的劳资或法律纠纷与甲方无关，乙方处理与其员工劳动纠纷不得影响本合同正常履行。</w:t>
      </w:r>
    </w:p>
    <w:p w14:paraId="71A339F9">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5、乙方负责其人员的招聘、培训等管理工作，同时按本合同约定秩序维护服务质量标准对其人员进行严格的队伍管理、业务培训、职责培训和纪律培训，并按照甲方制定的演练计划每年组织消防演练和防恐演练不得少于</w:t>
      </w:r>
      <w:r>
        <w:rPr>
          <w:rFonts w:hint="eastAsia" w:cs="仿宋"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14:textFill>
            <w14:solidFill>
              <w14:schemeClr w14:val="tx1"/>
            </w14:solidFill>
          </w14:textFill>
        </w:rPr>
        <w:t>次。</w:t>
      </w:r>
    </w:p>
    <w:p w14:paraId="0DB5DABC">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6、乙方应负责加强对其人员的安全教育（包括但不限于</w:t>
      </w:r>
      <w:r>
        <w:rPr>
          <w:rFonts w:hint="eastAsia" w:cs="仿宋" w:asciiTheme="minorEastAsia" w:hAnsiTheme="minorEastAsia" w:eastAsiaTheme="minorEastAsia"/>
          <w:color w:val="000000" w:themeColor="text1"/>
          <w:sz w:val="24"/>
          <w:lang w:eastAsia="zh-CN"/>
          <w14:textFill>
            <w14:solidFill>
              <w14:schemeClr w14:val="tx1"/>
            </w14:solidFill>
          </w14:textFill>
        </w:rPr>
        <w:t>上下班</w:t>
      </w:r>
      <w:r>
        <w:rPr>
          <w:rFonts w:hint="eastAsia" w:cs="仿宋" w:asciiTheme="minorEastAsia" w:hAnsiTheme="minorEastAsia" w:eastAsiaTheme="minorEastAsia"/>
          <w:color w:val="000000" w:themeColor="text1"/>
          <w:sz w:val="24"/>
          <w14:textFill>
            <w14:solidFill>
              <w14:schemeClr w14:val="tx1"/>
            </w14:solidFill>
          </w14:textFill>
        </w:rPr>
        <w:t>路途安全、安全执勤、文明执勤等教育），并负责为</w:t>
      </w:r>
      <w:r>
        <w:rPr>
          <w:rFonts w:hint="eastAsia" w:cs="仿宋" w:asciiTheme="minorEastAsia" w:hAnsiTheme="minorEastAsia" w:eastAsiaTheme="minorEastAsia"/>
          <w:color w:val="000000" w:themeColor="text1"/>
          <w:sz w:val="24"/>
          <w:lang w:eastAsia="zh-CN"/>
          <w14:textFill>
            <w14:solidFill>
              <w14:schemeClr w14:val="tx1"/>
            </w14:solidFill>
          </w14:textFill>
        </w:rPr>
        <w:t>其他</w:t>
      </w:r>
      <w:r>
        <w:rPr>
          <w:rFonts w:hint="eastAsia" w:cs="仿宋" w:asciiTheme="minorEastAsia" w:hAnsiTheme="minorEastAsia" w:eastAsiaTheme="minorEastAsia"/>
          <w:color w:val="000000" w:themeColor="text1"/>
          <w:sz w:val="24"/>
          <w14:textFill>
            <w14:solidFill>
              <w14:schemeClr w14:val="tx1"/>
            </w14:solidFill>
          </w14:textFill>
        </w:rPr>
        <w:t>人员缴交工伤保险或办理足额的人身意外伤害保险，若乙方人员在履行本合同过程中发生人员伤亡或其他意外事故或造成甲方、第三方人身或财产损害的，均由乙方负责处理并承担相关责任和费用。如因乙方违反本约定造成甲方先行垫付损失的，乙方应在甲方垫付完毕之日起三日内偿还甲方，因乙方拒绝偿还甲方垫付款项而致使甲方产生的维权费用（包括但不限于律师费、保全费、公证费、鉴定费、差旅费）由乙方承担。</w:t>
      </w:r>
    </w:p>
    <w:p w14:paraId="658EFA1C">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7、乙方人员在工作时间必须着装整齐、举止端正、文明礼貌、坚守岗位，尽职尽责，严格遵守</w:t>
      </w:r>
      <w:r>
        <w:rPr>
          <w:rFonts w:hint="eastAsia" w:cs="仿宋" w:asciiTheme="minorEastAsia" w:hAnsiTheme="minorEastAsia" w:eastAsiaTheme="minorEastAsia"/>
          <w:color w:val="000000" w:themeColor="text1"/>
          <w:sz w:val="24"/>
          <w:lang w:eastAsia="zh-CN"/>
          <w14:textFill>
            <w14:solidFill>
              <w14:schemeClr w14:val="tx1"/>
            </w14:solidFill>
          </w14:textFill>
        </w:rPr>
        <w:t>法律法规</w:t>
      </w:r>
      <w:r>
        <w:rPr>
          <w:rFonts w:hint="eastAsia" w:cs="仿宋" w:asciiTheme="minorEastAsia" w:hAnsiTheme="minorEastAsia" w:eastAsiaTheme="minorEastAsia"/>
          <w:color w:val="000000" w:themeColor="text1"/>
          <w:sz w:val="24"/>
          <w14:textFill>
            <w14:solidFill>
              <w14:schemeClr w14:val="tx1"/>
            </w14:solidFill>
          </w14:textFill>
        </w:rPr>
        <w:t>及甲、乙双方的各项规章制度，服从甲、乙双方领导。</w:t>
      </w:r>
    </w:p>
    <w:p w14:paraId="69562EEA">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8、乙方或乙方人员未经允许不得随意动用甲方的设备，不得随意进入甲方项目物业服务中心的办公室，无紧急情况不得动用项目物业服务中心的电话，要严守在履行职务时所知悉的商业秘密。</w:t>
      </w:r>
    </w:p>
    <w:p w14:paraId="561D0284">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9、乙方应指派专人负责维序队伍内部管理和与甲方的对接工作，以便双方进行沟通交流，及时协调处理秩序维护服务过程中出现的问题。</w:t>
      </w:r>
    </w:p>
    <w:p w14:paraId="7154E0A6">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10、如因乙方原因，包括但不限于乙方人员由于技能不足、人员未遵守工作纪律（缺岗、脱岗、睡岗等）、违反作业操作规程等原因，造成服务区域内发生盗抢、财产损坏或人员安全事件，乙方应承担全部责任。若导致甲方或本合同对应服务项目遭受行政处罚的，乙方应无条件配合甲方处理协调，涉及行政罚款及损失赔偿的，应由乙方承担全部责任。</w:t>
      </w:r>
    </w:p>
    <w:p w14:paraId="0B15AD33">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11、乙方或其员工、雇佣人员在服务过程中因违规操作、操作不当或因服务质量不达标等原因导致甲方或本合同对应服务项目遭受行政处罚的，乙方应无条件配合甲方处理协调，涉及行政罚款及损失赔偿的，应由乙方承担全部责任；乙方在秩序维护服务过程中造成安全责任事故的（无论最终是否被政府主管部门认定为“安全生产事故”），一切经济责任和其他行政、刑事责任（赔偿、罚款、罚金、滞纳金）均由乙方承担。同时，乙方应无条件配合甲方进行事故后续安排工作，直到全部处理完毕为止。涉及行政责任或刑事责任的，乙方应无条件配合甲方，直到甲方收到政府部门正式结案文件为止。乙方违反本条约定，甲方可随时解除本合同并不承担任何责任，且乙方需赔偿因此对甲方造成的损失。</w:t>
      </w:r>
    </w:p>
    <w:p w14:paraId="5681A710">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12、乙方秩序维护人员无论因何种原因向劳动仲裁委员会提起仲裁或人民法院提起诉讼，乙方需积极妥善处理，如涉及行政罚款及损失赔偿的，应由乙方承担全部责任，若因此给甲方造成任何损失的，乙方应予以赔偿。</w:t>
      </w:r>
    </w:p>
    <w:p w14:paraId="541A1340">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13、乙方在双方约定入场时间前完成其人员的岗位技能培训并将培训记录交给甲方，同时应在入场前</w:t>
      </w:r>
      <w:r>
        <w:rPr>
          <w:rFonts w:hint="eastAsia" w:cs="仿宋"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14:textFill>
            <w14:solidFill>
              <w14:schemeClr w14:val="tx1"/>
            </w14:solidFill>
          </w14:textFill>
        </w:rPr>
        <w:t>个工作日内将选派至本项目的秩序维护人员的身份证复印件、保安证原件/复印件、无犯罪记录证明、消控设施操作证原件/复印件、入职健康体检证明、意外险缴交凭证等相关材料交甲方审核。</w:t>
      </w:r>
    </w:p>
    <w:p w14:paraId="7116B1F4">
      <w:pPr>
        <w:spacing w:line="46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w:t>
      </w:r>
      <w:r>
        <w:rPr>
          <w:rFonts w:cs="仿宋" w:asciiTheme="minorEastAsia" w:hAnsiTheme="minorEastAsia" w:eastAsiaTheme="minorEastAsia"/>
          <w:color w:val="000000" w:themeColor="text1"/>
          <w:sz w:val="24"/>
          <w14:textFill>
            <w14:solidFill>
              <w14:schemeClr w14:val="tx1"/>
            </w14:solidFill>
          </w14:textFill>
        </w:rPr>
        <w:t>4</w:t>
      </w:r>
      <w:r>
        <w:rPr>
          <w:rFonts w:hint="eastAsia" w:cs="仿宋" w:asciiTheme="minorEastAsia" w:hAnsiTheme="minorEastAsia" w:eastAsiaTheme="minorEastAsia"/>
          <w:color w:val="000000" w:themeColor="text1"/>
          <w:sz w:val="24"/>
          <w14:textFill>
            <w14:solidFill>
              <w14:schemeClr w14:val="tx1"/>
            </w14:solidFill>
          </w14:textFill>
        </w:rPr>
        <w:t>、乙方须确保消（监）控岗人员按规定持证上岗，熟悉消（监）控室各类设备的操作，确保各岗位人员掌握基本消防设施的使用，每月开展不少于1次培训。</w:t>
      </w:r>
    </w:p>
    <w:p w14:paraId="563F0E62">
      <w:pPr>
        <w:spacing w:line="460" w:lineRule="exact"/>
        <w:ind w:firstLine="480" w:firstLineChars="200"/>
        <w:rPr>
          <w:rFonts w:hint="eastAsia"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w:t>
      </w:r>
      <w:r>
        <w:rPr>
          <w:rFonts w:cs="仿宋" w:asciiTheme="minorEastAsia" w:hAnsiTheme="minorEastAsia" w:eastAsiaTheme="minorEastAsia"/>
          <w:color w:val="000000" w:themeColor="text1"/>
          <w:sz w:val="24"/>
          <w14:textFill>
            <w14:solidFill>
              <w14:schemeClr w14:val="tx1"/>
            </w14:solidFill>
          </w14:textFill>
        </w:rPr>
        <w:t>5</w:t>
      </w:r>
      <w:r>
        <w:rPr>
          <w:rFonts w:hint="eastAsia" w:cs="仿宋" w:asciiTheme="minorEastAsia" w:hAnsiTheme="minorEastAsia" w:eastAsiaTheme="minorEastAsia"/>
          <w:color w:val="000000" w:themeColor="text1"/>
          <w:sz w:val="24"/>
          <w14:textFill>
            <w14:solidFill>
              <w14:schemeClr w14:val="tx1"/>
            </w14:solidFill>
          </w14:textFill>
        </w:rPr>
        <w:t>、乙方须接受本合同规定的考核办法，甲方有权为共同达到更好的服务质量，在合同签订时或合同执行过程中酌情修改考核办法，乙方必须接受。</w:t>
      </w:r>
    </w:p>
    <w:p w14:paraId="50848E30">
      <w:pPr>
        <w:tabs>
          <w:tab w:val="left" w:pos="5576"/>
        </w:tabs>
        <w:spacing w:line="500" w:lineRule="exact"/>
        <w:ind w:left="0" w:leftChars="0"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16、</w:t>
      </w:r>
      <w:r>
        <w:rPr>
          <w:rFonts w:hint="default" w:ascii="宋体" w:hAnsi="宋体" w:eastAsia="宋体"/>
          <w:color w:val="000000" w:themeColor="text1"/>
          <w:sz w:val="24"/>
          <w:highlight w:val="none"/>
          <w:lang w:val="en-US" w:eastAsia="zh-CN"/>
          <w14:textFill>
            <w14:solidFill>
              <w14:schemeClr w14:val="tx1"/>
            </w14:solidFill>
          </w14:textFill>
        </w:rPr>
        <w:t>监督检查</w:t>
      </w:r>
    </w:p>
    <w:p w14:paraId="31083BCC">
      <w:pPr>
        <w:spacing w:line="500" w:lineRule="exact"/>
        <w:ind w:left="0" w:leftChars="0"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乙方需配合</w:t>
      </w:r>
      <w:r>
        <w:rPr>
          <w:rFonts w:hint="default" w:ascii="宋体" w:hAnsi="宋体" w:eastAsia="宋体"/>
          <w:color w:val="000000" w:themeColor="text1"/>
          <w:sz w:val="24"/>
          <w:highlight w:val="none"/>
          <w:lang w:val="en-US" w:eastAsia="zh-CN"/>
          <w14:textFill>
            <w14:solidFill>
              <w14:schemeClr w14:val="tx1"/>
            </w14:solidFill>
          </w14:textFill>
        </w:rPr>
        <w:t>甲方现场管理</w:t>
      </w:r>
      <w:r>
        <w:rPr>
          <w:rFonts w:hint="eastAsia" w:ascii="宋体" w:hAnsi="宋体"/>
          <w:color w:val="000000" w:themeColor="text1"/>
          <w:sz w:val="24"/>
          <w:highlight w:val="none"/>
          <w:lang w:val="en-US" w:eastAsia="zh-CN"/>
          <w14:textFill>
            <w14:solidFill>
              <w14:schemeClr w14:val="tx1"/>
            </w14:solidFill>
          </w14:textFill>
        </w:rPr>
        <w:t>人员</w:t>
      </w:r>
      <w:r>
        <w:rPr>
          <w:rFonts w:hint="default" w:ascii="宋体" w:hAnsi="宋体" w:eastAsia="宋体"/>
          <w:color w:val="000000" w:themeColor="text1"/>
          <w:sz w:val="24"/>
          <w:highlight w:val="none"/>
          <w:lang w:val="en-US" w:eastAsia="zh-CN"/>
          <w14:textFill>
            <w14:solidFill>
              <w14:schemeClr w14:val="tx1"/>
            </w14:solidFill>
          </w14:textFill>
        </w:rPr>
        <w:t>每日执行考勤人员现场核验及影像归档。（包含：</w:t>
      </w:r>
      <w:r>
        <w:rPr>
          <w:rFonts w:hint="eastAsia" w:ascii="宋体" w:hAnsi="宋体"/>
          <w:color w:val="000000" w:themeColor="text1"/>
          <w:sz w:val="24"/>
          <w:highlight w:val="none"/>
          <w:lang w:val="en-US" w:eastAsia="zh-CN"/>
          <w14:textFill>
            <w14:solidFill>
              <w14:schemeClr w14:val="tx1"/>
            </w14:solidFill>
          </w14:textFill>
        </w:rPr>
        <w:t>上下班</w:t>
      </w:r>
      <w:r>
        <w:rPr>
          <w:rFonts w:hint="default" w:ascii="宋体" w:hAnsi="宋体" w:eastAsia="宋体"/>
          <w:color w:val="000000" w:themeColor="text1"/>
          <w:sz w:val="24"/>
          <w:highlight w:val="none"/>
          <w:lang w:val="en-US" w:eastAsia="zh-CN"/>
          <w14:textFill>
            <w14:solidFill>
              <w14:schemeClr w14:val="tx1"/>
            </w14:solidFill>
          </w14:textFill>
        </w:rPr>
        <w:t>人脸识别原始图像、现场定位坐标、考勤时间戳、检查项目信息标识）影像资料保存期限不低于1年。</w:t>
      </w:r>
    </w:p>
    <w:p w14:paraId="0CC53C57">
      <w:pPr>
        <w:spacing w:line="500" w:lineRule="exact"/>
        <w:ind w:left="0" w:leftChars="0"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（2）甲方</w:t>
      </w:r>
      <w:r>
        <w:rPr>
          <w:rFonts w:hint="eastAsia" w:ascii="宋体" w:hAnsi="宋体"/>
          <w:color w:val="000000" w:themeColor="text1"/>
          <w:sz w:val="24"/>
          <w:highlight w:val="none"/>
          <w:lang w:val="en-US" w:eastAsia="zh-CN"/>
          <w14:textFill>
            <w14:solidFill>
              <w14:schemeClr w14:val="tx1"/>
            </w14:solidFill>
          </w14:textFill>
        </w:rPr>
        <w:t>有权</w:t>
      </w:r>
      <w:r>
        <w:rPr>
          <w:rFonts w:hint="default" w:ascii="宋体" w:hAnsi="宋体" w:eastAsia="宋体"/>
          <w:color w:val="000000" w:themeColor="text1"/>
          <w:sz w:val="24"/>
          <w:highlight w:val="none"/>
          <w:lang w:val="en-US" w:eastAsia="zh-CN"/>
          <w14:textFill>
            <w14:solidFill>
              <w14:schemeClr w14:val="tx1"/>
            </w14:solidFill>
          </w14:textFill>
        </w:rPr>
        <w:t>不定期开展突击检查。</w:t>
      </w:r>
    </w:p>
    <w:p w14:paraId="720A6613">
      <w:pPr>
        <w:numPr>
          <w:ilvl w:val="0"/>
          <w:numId w:val="0"/>
        </w:numPr>
        <w:spacing w:line="500" w:lineRule="exact"/>
        <w:ind w:firstLine="480" w:firstLineChars="200"/>
        <w:rPr>
          <w:color w:val="000000" w:themeColor="text1"/>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（3）每次检查需由现场管理单位负责人与检查人员共同签字确认</w:t>
      </w:r>
      <w:r>
        <w:rPr>
          <w:rFonts w:hint="eastAsia" w:ascii="宋体" w:hAnsi="宋体"/>
          <w:color w:val="000000" w:themeColor="text1"/>
          <w:sz w:val="24"/>
          <w:highlight w:val="none"/>
          <w:lang w:val="en-US" w:eastAsia="zh-CN"/>
          <w14:textFill>
            <w14:solidFill>
              <w14:schemeClr w14:val="tx1"/>
            </w14:solidFill>
          </w14:textFill>
        </w:rPr>
        <w:t>，检</w:t>
      </w:r>
      <w:r>
        <w:rPr>
          <w:rFonts w:hint="default" w:ascii="宋体" w:hAnsi="宋体" w:eastAsia="宋体"/>
          <w:color w:val="000000" w:themeColor="text1"/>
          <w:sz w:val="24"/>
          <w:highlight w:val="none"/>
          <w:lang w:val="en-US" w:eastAsia="zh-CN"/>
          <w14:textFill>
            <w14:solidFill>
              <w14:schemeClr w14:val="tx1"/>
            </w14:solidFill>
          </w14:textFill>
        </w:rPr>
        <w:t>查结果纳入供方年度服务评价体系，违规行为与服务费结算直接挂钩。</w:t>
      </w:r>
    </w:p>
    <w:p w14:paraId="1D9725B2">
      <w:pPr>
        <w:spacing w:line="460" w:lineRule="exact"/>
        <w:ind w:firstLine="480" w:firstLineChars="200"/>
        <w:rPr>
          <w:rFonts w:hint="eastAsia"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w:t>
      </w:r>
      <w:r>
        <w:rPr>
          <w:rFonts w:hint="eastAsia" w:cs="仿宋" w:asciiTheme="minorEastAsia" w:hAnsiTheme="minorEastAsia" w:eastAsiaTheme="minorEastAsia"/>
          <w:color w:val="000000" w:themeColor="text1"/>
          <w:sz w:val="24"/>
          <w:lang w:val="en-US" w:eastAsia="zh-CN"/>
          <w14:textFill>
            <w14:solidFill>
              <w14:schemeClr w14:val="tx1"/>
            </w14:solidFill>
          </w14:textFill>
        </w:rPr>
        <w:t>7</w:t>
      </w:r>
      <w:r>
        <w:rPr>
          <w:rFonts w:hint="eastAsia" w:cs="仿宋" w:asciiTheme="minorEastAsia" w:hAnsiTheme="minorEastAsia" w:eastAsiaTheme="minorEastAsia"/>
          <w:color w:val="000000" w:themeColor="text1"/>
          <w:sz w:val="24"/>
          <w14:textFill>
            <w14:solidFill>
              <w14:schemeClr w14:val="tx1"/>
            </w14:solidFill>
          </w14:textFill>
        </w:rPr>
        <w:t>、完成甲方要求配合的</w:t>
      </w:r>
      <w:r>
        <w:rPr>
          <w:rFonts w:hint="eastAsia" w:cs="仿宋" w:asciiTheme="minorEastAsia" w:hAnsiTheme="minorEastAsia" w:eastAsiaTheme="minorEastAsia"/>
          <w:color w:val="000000" w:themeColor="text1"/>
          <w:sz w:val="24"/>
          <w:lang w:eastAsia="zh-CN"/>
          <w14:textFill>
            <w14:solidFill>
              <w14:schemeClr w14:val="tx1"/>
            </w14:solidFill>
          </w14:textFill>
        </w:rPr>
        <w:t>其他</w:t>
      </w:r>
      <w:r>
        <w:rPr>
          <w:rFonts w:hint="eastAsia" w:cs="仿宋" w:asciiTheme="minorEastAsia" w:hAnsiTheme="minorEastAsia" w:eastAsiaTheme="minorEastAsia"/>
          <w:color w:val="000000" w:themeColor="text1"/>
          <w:sz w:val="24"/>
          <w14:textFill>
            <w14:solidFill>
              <w14:schemeClr w14:val="tx1"/>
            </w14:solidFill>
          </w14:textFill>
        </w:rPr>
        <w:t>与秩序维护服务相关事宜。</w:t>
      </w:r>
    </w:p>
    <w:p w14:paraId="291046E4">
      <w:pPr>
        <w:spacing w:line="360" w:lineRule="auto"/>
        <w:ind w:left="-21" w:leftChars="-10" w:firstLine="482" w:firstLineChars="200"/>
        <w:rPr>
          <w:rFonts w:ascii="宋体" w:hAnsi="宋体"/>
          <w:b/>
          <w:bCs/>
          <w:color w:val="000000" w:themeColor="text1"/>
          <w:sz w:val="24"/>
          <w14:textFill>
            <w14:solidFill>
              <w14:schemeClr w14:val="tx1"/>
            </w14:solidFill>
          </w14:textFill>
        </w:rPr>
      </w:pPr>
    </w:p>
    <w:p w14:paraId="3F41955C">
      <w:pPr>
        <w:spacing w:line="360" w:lineRule="auto"/>
        <w:ind w:left="-21" w:leftChars="-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w:t>
      </w: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乙方工作人员出勤情况考核</w:t>
      </w:r>
    </w:p>
    <w:p w14:paraId="260F6E8D">
      <w:pPr>
        <w:spacing w:line="360" w:lineRule="auto"/>
        <w:ind w:left="-21" w:leftChars="-10"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乙方负责本项目秩序维护人员的人事考勤工作，考勤途径为__</w:t>
      </w:r>
      <w:r>
        <w:rPr>
          <w:rFonts w:hint="eastAsia" w:ascii="宋体" w:hAnsi="宋体"/>
          <w:color w:val="000000" w:themeColor="text1"/>
          <w:sz w:val="24"/>
          <w:u w:val="single"/>
          <w14:textFill>
            <w14:solidFill>
              <w14:schemeClr w14:val="tx1"/>
            </w14:solidFill>
          </w14:textFill>
        </w:rPr>
        <w:t>人脸打卡机</w:t>
      </w:r>
      <w:r>
        <w:rPr>
          <w:rFonts w:hint="eastAsia" w:ascii="宋体" w:hAnsi="宋体"/>
          <w:color w:val="000000" w:themeColor="text1"/>
          <w:sz w:val="24"/>
          <w14:textFill>
            <w14:solidFill>
              <w14:schemeClr w14:val="tx1"/>
            </w14:solidFill>
          </w14:textFill>
        </w:rPr>
        <w:t>__（注：不得采用手签名考勤、纸卡打卡考勤）。乙方应于每月___日前将上月的考勤记录提交甲方稽核</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每月考勤结果以</w:t>
      </w:r>
      <w:r>
        <w:rPr>
          <w:rFonts w:hint="eastAsia" w:ascii="宋体" w:hAnsi="宋体"/>
          <w:color w:val="000000" w:themeColor="text1"/>
          <w:sz w:val="24"/>
          <w:highlight w:val="none"/>
          <w14:textFill>
            <w14:solidFill>
              <w14:schemeClr w14:val="tx1"/>
            </w14:solidFill>
          </w14:textFill>
        </w:rPr>
        <w:t>甲方确认</w:t>
      </w:r>
      <w:r>
        <w:rPr>
          <w:rFonts w:hint="eastAsia" w:ascii="宋体" w:hAnsi="宋体"/>
          <w:color w:val="000000" w:themeColor="text1"/>
          <w:sz w:val="24"/>
          <w:highlight w:val="none"/>
          <w:lang w:val="en-US" w:eastAsia="zh-CN"/>
          <w14:textFill>
            <w14:solidFill>
              <w14:schemeClr w14:val="tx1"/>
            </w14:solidFill>
          </w14:textFill>
        </w:rPr>
        <w:t>为准。</w:t>
      </w:r>
      <w:r>
        <w:rPr>
          <w:rFonts w:hint="default" w:ascii="宋体" w:hAnsi="宋体" w:eastAsia="宋体"/>
          <w:color w:val="000000" w:themeColor="text1"/>
          <w:sz w:val="24"/>
          <w:highlight w:val="none"/>
          <w:lang w:val="en-US" w:eastAsia="zh-CN"/>
          <w14:textFill>
            <w14:solidFill>
              <w14:schemeClr w14:val="tx1"/>
            </w14:solidFill>
          </w14:textFill>
        </w:rPr>
        <w:t>甲方</w:t>
      </w:r>
      <w:r>
        <w:rPr>
          <w:rFonts w:hint="eastAsia" w:ascii="宋体" w:hAnsi="宋体"/>
          <w:color w:val="000000" w:themeColor="text1"/>
          <w:sz w:val="24"/>
          <w:highlight w:val="none"/>
          <w:lang w:val="en-US" w:eastAsia="zh-CN"/>
          <w14:textFill>
            <w14:solidFill>
              <w14:schemeClr w14:val="tx1"/>
            </w14:solidFill>
          </w14:textFill>
        </w:rPr>
        <w:t>有权</w:t>
      </w:r>
      <w:r>
        <w:rPr>
          <w:rFonts w:hint="default" w:ascii="宋体" w:hAnsi="宋体" w:eastAsia="宋体"/>
          <w:color w:val="000000" w:themeColor="text1"/>
          <w:sz w:val="24"/>
          <w:highlight w:val="none"/>
          <w:lang w:val="en-US" w:eastAsia="zh-CN"/>
          <w14:textFill>
            <w14:solidFill>
              <w14:schemeClr w14:val="tx1"/>
            </w14:solidFill>
          </w14:textFill>
        </w:rPr>
        <w:t>不定期开展突击检查</w:t>
      </w:r>
      <w:r>
        <w:rPr>
          <w:rFonts w:hint="eastAsia" w:ascii="宋体" w:hAnsi="宋体"/>
          <w:color w:val="000000" w:themeColor="text1"/>
          <w:sz w:val="24"/>
          <w14:textFill>
            <w14:solidFill>
              <w14:schemeClr w14:val="tx1"/>
            </w14:solidFill>
          </w14:textFill>
        </w:rPr>
        <w:t>。</w:t>
      </w:r>
    </w:p>
    <w:p w14:paraId="2BF2A661">
      <w:pPr>
        <w:spacing w:line="360" w:lineRule="auto"/>
        <w:ind w:left="-21" w:leftChars="-10" w:firstLine="480" w:firstLineChars="200"/>
        <w:jc w:val="left"/>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乙方员工不得出现以下考勤作假情况：</w:t>
      </w:r>
    </w:p>
    <w:p w14:paraId="7F0A346D">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1、未经甲方项目维序负责人确认，乙方或乙方员工让休息员工或外调员工打卡的；</w:t>
      </w:r>
    </w:p>
    <w:p w14:paraId="5E1B9883">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2、顶替他人打卡的；</w:t>
      </w:r>
    </w:p>
    <w:p w14:paraId="45CBAA3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3、因考勤机异常，未经甲方项目维序负责人核实而随意编制考勤的。</w:t>
      </w:r>
    </w:p>
    <w:p w14:paraId="7025C85B">
      <w:pPr>
        <w:spacing w:line="360" w:lineRule="auto"/>
        <w:rPr>
          <w:rFonts w:ascii="宋体" w:hAnsi="宋体"/>
          <w:b/>
          <w:bCs/>
          <w:color w:val="000000" w:themeColor="text1"/>
          <w:sz w:val="24"/>
          <w14:textFill>
            <w14:solidFill>
              <w14:schemeClr w14:val="tx1"/>
            </w14:solidFill>
          </w14:textFill>
        </w:rPr>
      </w:pPr>
    </w:p>
    <w:p w14:paraId="1B4E517A">
      <w:pPr>
        <w:spacing w:line="360" w:lineRule="auto"/>
        <w:ind w:left="-21" w:leftChars="-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第八条</w:t>
      </w: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服务质量考核</w:t>
      </w:r>
    </w:p>
    <w:p w14:paraId="43625306">
      <w:pPr>
        <w:widowControl/>
        <w:numPr>
          <w:ilvl w:val="0"/>
          <w:numId w:val="0"/>
        </w:numPr>
        <w:spacing w:line="360" w:lineRule="auto"/>
        <w:ind w:left="-21" w:leftChars="-10"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甲方依据本项目的招投标文件、《物业服务合同》及附件服务作业标准，每月初对乙方上月提供的现场服务质量进行考核评分</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若考核当月同时</w:t>
      </w:r>
      <w:r>
        <w:rPr>
          <w:rFonts w:hint="eastAsia" w:ascii="Times New Roman" w:hAnsi="Times New Roman"/>
          <w:color w:val="000000" w:themeColor="text1"/>
          <w:sz w:val="24"/>
          <w:lang w:val="en-US" w:eastAsia="zh-CN"/>
          <w14:textFill>
            <w14:solidFill>
              <w14:schemeClr w14:val="tx1"/>
            </w14:solidFill>
          </w14:textFill>
        </w:rPr>
        <w:t>有</w:t>
      </w:r>
      <w:r>
        <w:rPr>
          <w:rFonts w:hint="eastAsia" w:ascii="Times New Roman" w:hAnsi="Times New Roman"/>
          <w:b w:val="0"/>
          <w:bCs w:val="0"/>
          <w:color w:val="000000" w:themeColor="text1"/>
          <w:sz w:val="24"/>
          <w14:textFill>
            <w14:solidFill>
              <w14:schemeClr w14:val="tx1"/>
            </w14:solidFill>
          </w14:textFill>
        </w:rPr>
        <w:t>客户满意度调查考核</w:t>
      </w:r>
      <w:r>
        <w:rPr>
          <w:rFonts w:hint="eastAsia"/>
          <w:b w:val="0"/>
          <w:bCs w:val="0"/>
          <w:color w:val="000000" w:themeColor="text1"/>
          <w:sz w:val="24"/>
          <w:lang w:eastAsia="zh-CN"/>
          <w14:textFill>
            <w14:solidFill>
              <w14:schemeClr w14:val="tx1"/>
            </w14:solidFill>
          </w14:textFill>
        </w:rPr>
        <w:t>、</w:t>
      </w:r>
      <w:r>
        <w:rPr>
          <w:rFonts w:hint="eastAsia" w:ascii="Times New Roman" w:hAnsi="Times New Roman"/>
          <w:b w:val="0"/>
          <w:bCs w:val="0"/>
          <w:color w:val="000000" w:themeColor="text1"/>
          <w:sz w:val="24"/>
          <w14:textFill>
            <w14:solidFill>
              <w14:schemeClr w14:val="tx1"/>
            </w14:solidFill>
          </w14:textFill>
        </w:rPr>
        <w:t>神秘访客暗访考核</w:t>
      </w:r>
      <w:r>
        <w:rPr>
          <w:rFonts w:hint="eastAsia" w:ascii="Times New Roman" w:hAnsi="Times New Roman"/>
          <w:b w:val="0"/>
          <w:bCs w:val="0"/>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考核扣款互相叠加</w:t>
      </w:r>
      <w:r>
        <w:rPr>
          <w:rFonts w:hint="eastAsia" w:ascii="宋体" w:hAnsi="宋体"/>
          <w:color w:val="000000" w:themeColor="text1"/>
          <w:sz w:val="24"/>
          <w:highlight w:val="none"/>
          <w14:textFill>
            <w14:solidFill>
              <w14:schemeClr w14:val="tx1"/>
            </w14:solidFill>
          </w14:textFill>
        </w:rPr>
        <w:t>。</w:t>
      </w:r>
    </w:p>
    <w:p w14:paraId="71034B00">
      <w:pPr>
        <w:spacing w:line="500" w:lineRule="exact"/>
        <w:ind w:left="0" w:leftChars="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eastAsia="宋体" w:cs="Times New Roman"/>
          <w:bCs w:val="0"/>
          <w:color w:val="000000" w:themeColor="text1"/>
          <w:kern w:val="2"/>
          <w:sz w:val="24"/>
          <w:szCs w:val="24"/>
          <w:highlight w:val="none"/>
          <w:lang w:val="en-US" w:eastAsia="zh-CN"/>
          <w14:textFill>
            <w14:solidFill>
              <w14:schemeClr w14:val="tx1"/>
            </w14:solidFill>
          </w14:textFill>
        </w:rPr>
        <w:t>A为本</w:t>
      </w:r>
      <w:r>
        <w:rPr>
          <w:rFonts w:hint="eastAsia" w:ascii="宋体" w:hAnsi="宋体" w:cs="Times New Roman"/>
          <w:bCs w:val="0"/>
          <w:color w:val="000000" w:themeColor="text1"/>
          <w:kern w:val="2"/>
          <w:sz w:val="24"/>
          <w:szCs w:val="24"/>
          <w:highlight w:val="none"/>
          <w:lang w:val="en-US" w:eastAsia="zh-CN"/>
          <w14:textFill>
            <w14:solidFill>
              <w14:schemeClr w14:val="tx1"/>
            </w14:solidFill>
          </w14:textFill>
        </w:rPr>
        <w:t>月考核</w:t>
      </w:r>
      <w:r>
        <w:rPr>
          <w:rFonts w:hint="eastAsia" w:ascii="宋体" w:hAnsi="宋体" w:eastAsia="宋体" w:cs="Times New Roman"/>
          <w:bCs w:val="0"/>
          <w:color w:val="000000" w:themeColor="text1"/>
          <w:kern w:val="2"/>
          <w:sz w:val="24"/>
          <w:szCs w:val="24"/>
          <w:highlight w:val="none"/>
          <w:lang w:val="en-US" w:eastAsia="zh-CN"/>
          <w14:textFill>
            <w14:solidFill>
              <w14:schemeClr w14:val="tx1"/>
            </w14:solidFill>
          </w14:textFill>
        </w:rPr>
        <w:t>得分，B为上</w:t>
      </w:r>
      <w:r>
        <w:rPr>
          <w:rFonts w:hint="eastAsia" w:ascii="宋体" w:hAnsi="宋体" w:cs="Times New Roman"/>
          <w:bCs w:val="0"/>
          <w:color w:val="000000" w:themeColor="text1"/>
          <w:kern w:val="2"/>
          <w:sz w:val="24"/>
          <w:szCs w:val="24"/>
          <w:highlight w:val="none"/>
          <w:lang w:val="en-US" w:eastAsia="zh-CN"/>
          <w14:textFill>
            <w14:solidFill>
              <w14:schemeClr w14:val="tx1"/>
            </w14:solidFill>
          </w14:textFill>
        </w:rPr>
        <w:t>月考核得分</w:t>
      </w:r>
      <w:r>
        <w:rPr>
          <w:rFonts w:hint="eastAsia" w:ascii="宋体" w:hAnsi="宋体" w:eastAsia="宋体" w:cs="Times New Roman"/>
          <w:bCs w:val="0"/>
          <w:color w:val="000000" w:themeColor="text1"/>
          <w:kern w:val="2"/>
          <w:sz w:val="24"/>
          <w:szCs w:val="24"/>
          <w:highlight w:val="none"/>
          <w:lang w:val="en-US" w:eastAsia="zh-CN"/>
          <w14:textFill>
            <w14:solidFill>
              <w14:schemeClr w14:val="tx1"/>
            </w14:solidFill>
          </w14:textFill>
        </w:rPr>
        <w:t>。</w:t>
      </w:r>
    </w:p>
    <w:tbl>
      <w:tblPr>
        <w:tblStyle w:val="20"/>
        <w:tblpPr w:leftFromText="180" w:rightFromText="180" w:vertAnchor="text" w:horzAnchor="page" w:tblpX="1749" w:tblpY="62"/>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3387"/>
        <w:gridCol w:w="2591"/>
      </w:tblGrid>
      <w:tr w14:paraId="7445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14:paraId="1F4CDB57">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lang w:val="en-US" w:eastAsia="zh-CN"/>
                <w14:textFill>
                  <w14:solidFill>
                    <w14:schemeClr w14:val="tx1"/>
                  </w14:solidFill>
                </w14:textFill>
              </w:rPr>
              <w:t>当月考核</w:t>
            </w:r>
            <w:r>
              <w:rPr>
                <w:rFonts w:hint="eastAsia" w:ascii="仿宋" w:hAnsi="仿宋" w:eastAsia="仿宋" w:cs="仿宋"/>
                <w:b/>
                <w:color w:val="000000" w:themeColor="text1"/>
                <w:kern w:val="0"/>
                <w:szCs w:val="21"/>
                <w:highlight w:val="none"/>
                <w14:textFill>
                  <w14:solidFill>
                    <w14:schemeClr w14:val="tx1"/>
                  </w14:solidFill>
                </w14:textFill>
              </w:rPr>
              <w:t>评分</w:t>
            </w:r>
          </w:p>
        </w:tc>
        <w:tc>
          <w:tcPr>
            <w:tcW w:w="3387" w:type="dxa"/>
          </w:tcPr>
          <w:p w14:paraId="11D57ED0">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扣款金额</w:t>
            </w:r>
          </w:p>
        </w:tc>
        <w:tc>
          <w:tcPr>
            <w:tcW w:w="2591" w:type="dxa"/>
          </w:tcPr>
          <w:p w14:paraId="45FF5E78">
            <w:pPr>
              <w:tabs>
                <w:tab w:val="left" w:pos="1080"/>
              </w:tabs>
              <w:spacing w:before="98" w:beforeLines="30"/>
              <w:jc w:val="center"/>
              <w:rPr>
                <w:rFonts w:hint="eastAsia" w:ascii="仿宋" w:hAnsi="仿宋" w:eastAsia="仿宋" w:cs="仿宋"/>
                <w:b/>
                <w:color w:val="000000" w:themeColor="text1"/>
                <w:kern w:val="0"/>
                <w:szCs w:val="21"/>
                <w:highlight w:val="none"/>
                <w:lang w:val="en-US" w:eastAsia="zh-CN"/>
                <w14:textFill>
                  <w14:solidFill>
                    <w14:schemeClr w14:val="tx1"/>
                  </w14:solidFill>
                </w14:textFill>
              </w:rPr>
            </w:pPr>
            <w:r>
              <w:rPr>
                <w:rFonts w:hint="eastAsia" w:ascii="仿宋" w:hAnsi="仿宋" w:eastAsia="仿宋" w:cs="仿宋"/>
                <w:b/>
                <w:color w:val="000000" w:themeColor="text1"/>
                <w:kern w:val="0"/>
                <w:szCs w:val="21"/>
                <w:highlight w:val="none"/>
                <w:lang w:val="en-US" w:eastAsia="zh-CN"/>
                <w14:textFill>
                  <w14:solidFill>
                    <w14:schemeClr w14:val="tx1"/>
                  </w14:solidFill>
                </w14:textFill>
              </w:rPr>
              <w:t>免罚条件</w:t>
            </w:r>
          </w:p>
        </w:tc>
      </w:tr>
      <w:tr w14:paraId="37E9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14:paraId="765C2A5C">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A≥</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90</w:t>
            </w:r>
          </w:p>
        </w:tc>
        <w:tc>
          <w:tcPr>
            <w:tcW w:w="3387" w:type="dxa"/>
          </w:tcPr>
          <w:p w14:paraId="7BFFBA23">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不进行扣罚</w:t>
            </w:r>
          </w:p>
        </w:tc>
        <w:tc>
          <w:tcPr>
            <w:tcW w:w="2591" w:type="dxa"/>
          </w:tcPr>
          <w:p w14:paraId="104AE2AD">
            <w:pPr>
              <w:tabs>
                <w:tab w:val="left" w:pos="1080"/>
              </w:tabs>
              <w:spacing w:before="98" w:beforeLines="30"/>
              <w:jc w:val="center"/>
              <w:rPr>
                <w:rFonts w:hint="eastAsia"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w:t>
            </w:r>
          </w:p>
        </w:tc>
      </w:tr>
      <w:tr w14:paraId="5F89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422" w:type="dxa"/>
          </w:tcPr>
          <w:p w14:paraId="45665362">
            <w:pPr>
              <w:tabs>
                <w:tab w:val="left" w:pos="1080"/>
              </w:tabs>
              <w:spacing w:before="98" w:beforeLines="30"/>
              <w:jc w:val="center"/>
              <w:rPr>
                <w:rFonts w:hint="eastAsia" w:ascii="仿宋" w:hAnsi="仿宋" w:eastAsia="仿宋" w:cs="仿宋"/>
                <w:bCs/>
                <w:color w:val="000000" w:themeColor="text1"/>
                <w:kern w:val="0"/>
                <w:szCs w:val="21"/>
                <w:highlight w:val="none"/>
                <w:lang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85≤A＜9</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0</w:t>
            </w:r>
          </w:p>
        </w:tc>
        <w:tc>
          <w:tcPr>
            <w:tcW w:w="3387" w:type="dxa"/>
          </w:tcPr>
          <w:p w14:paraId="10984DDF">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1</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（最低100元起）</w:t>
            </w:r>
          </w:p>
        </w:tc>
        <w:tc>
          <w:tcPr>
            <w:tcW w:w="2591" w:type="dxa"/>
          </w:tcPr>
          <w:p w14:paraId="7E266FB1">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（A-B）≥2</w:t>
            </w:r>
          </w:p>
        </w:tc>
      </w:tr>
      <w:tr w14:paraId="7D0A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14:paraId="4BDE14B0">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75≤A＜85</w:t>
            </w:r>
          </w:p>
        </w:tc>
        <w:tc>
          <w:tcPr>
            <w:tcW w:w="3387" w:type="dxa"/>
          </w:tcPr>
          <w:p w14:paraId="10909371">
            <w:pPr>
              <w:tabs>
                <w:tab w:val="left" w:pos="1080"/>
              </w:tabs>
              <w:spacing w:before="98" w:beforeLines="3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2</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（最低200元起）</w:t>
            </w:r>
          </w:p>
        </w:tc>
        <w:tc>
          <w:tcPr>
            <w:tcW w:w="2591" w:type="dxa"/>
          </w:tcPr>
          <w:p w14:paraId="05C5D1B9">
            <w:pPr>
              <w:tabs>
                <w:tab w:val="left" w:pos="1080"/>
              </w:tabs>
              <w:spacing w:before="98" w:beforeLines="30"/>
              <w:jc w:val="center"/>
              <w:rPr>
                <w:rFonts w:hint="eastAsia"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（A-B）≥4</w:t>
            </w:r>
          </w:p>
        </w:tc>
      </w:tr>
      <w:tr w14:paraId="68F6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14:paraId="483204B8">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A＜75</w:t>
            </w:r>
          </w:p>
        </w:tc>
        <w:tc>
          <w:tcPr>
            <w:tcW w:w="3387" w:type="dxa"/>
          </w:tcPr>
          <w:p w14:paraId="7A310461">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（最低500元起）</w:t>
            </w:r>
          </w:p>
        </w:tc>
        <w:tc>
          <w:tcPr>
            <w:tcW w:w="2591" w:type="dxa"/>
          </w:tcPr>
          <w:p w14:paraId="427BBE65">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w:t>
            </w:r>
          </w:p>
        </w:tc>
      </w:tr>
    </w:tbl>
    <w:p w14:paraId="4DBBB422">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14:paraId="233A69FA">
      <w:pPr>
        <w:widowControl/>
        <w:spacing w:line="460" w:lineRule="exact"/>
        <w:ind w:firstLine="0" w:firstLineChars="0"/>
        <w:rPr>
          <w:rFonts w:ascii="宋体" w:hAnsi="宋体"/>
          <w:color w:val="000000" w:themeColor="text1"/>
          <w:sz w:val="24"/>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第九条</w:t>
      </w: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客户满意度调查考核</w:t>
      </w:r>
    </w:p>
    <w:p w14:paraId="01236FFD">
      <w:pPr>
        <w:widowControl/>
        <w:spacing w:line="460" w:lineRule="exact"/>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根据第三方满意度调查公司和国贸服务968115数信中心对物业服务维度满意度抽样检查结果，每月对乙方</w:t>
      </w:r>
      <w:r>
        <w:rPr>
          <w:rFonts w:hint="eastAsia" w:ascii="宋体" w:hAnsi="宋体" w:cs="宋体"/>
          <w:color w:val="000000" w:themeColor="text1"/>
          <w:sz w:val="24"/>
          <w:highlight w:val="none"/>
          <w:lang w:val="en-US" w:eastAsia="zh-CN"/>
          <w14:textFill>
            <w14:solidFill>
              <w14:schemeClr w14:val="tx1"/>
            </w14:solidFill>
          </w14:textFill>
        </w:rPr>
        <w:t>秩序维护</w:t>
      </w:r>
      <w:r>
        <w:rPr>
          <w:rFonts w:hint="eastAsia" w:ascii="宋体" w:hAnsi="宋体" w:cs="宋体"/>
          <w:color w:val="000000" w:themeColor="text1"/>
          <w:sz w:val="24"/>
          <w:highlight w:val="none"/>
          <w14:textFill>
            <w14:solidFill>
              <w14:schemeClr w14:val="tx1"/>
            </w14:solidFill>
          </w14:textFill>
        </w:rPr>
        <w:t>服务进行考评，本月无新增调查样本，当月不考核；其中，国贸服务968115数信中心满意度调查结果在精装项目交付后3个月内、毛坯房交付后6个月内不应用考核</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若连续两</w:t>
      </w:r>
      <w:r>
        <w:rPr>
          <w:rFonts w:hint="eastAsia" w:ascii="宋体" w:hAnsi="宋体"/>
          <w:color w:val="000000" w:themeColor="text1"/>
          <w:sz w:val="24"/>
          <w:highlight w:val="none"/>
          <w:lang w:val="en-US" w:eastAsia="zh-CN"/>
          <w14:textFill>
            <w14:solidFill>
              <w14:schemeClr w14:val="tx1"/>
            </w14:solidFill>
          </w14:textFill>
        </w:rPr>
        <w:t>次或合同年度累计三次</w:t>
      </w:r>
      <w:r>
        <w:rPr>
          <w:rFonts w:hint="eastAsia" w:ascii="宋体" w:hAnsi="宋体"/>
          <w:color w:val="000000" w:themeColor="text1"/>
          <w:sz w:val="24"/>
          <w:highlight w:val="none"/>
          <w14:textFill>
            <w14:solidFill>
              <w14:schemeClr w14:val="tx1"/>
            </w14:solidFill>
          </w14:textFill>
        </w:rPr>
        <w:t>低于</w:t>
      </w:r>
      <w:r>
        <w:rPr>
          <w:rFonts w:hint="eastAsia" w:ascii="宋体" w:hAnsi="宋体"/>
          <w:color w:val="000000" w:themeColor="text1"/>
          <w:sz w:val="24"/>
          <w:highlight w:val="none"/>
          <w:lang w:val="en-US" w:eastAsia="zh-CN"/>
          <w14:textFill>
            <w14:solidFill>
              <w14:schemeClr w14:val="tx1"/>
            </w14:solidFill>
          </w14:textFill>
        </w:rPr>
        <w:t>项目年度指标分数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分的，</w:t>
      </w:r>
      <w:r>
        <w:rPr>
          <w:rFonts w:hint="eastAsia" w:ascii="宋体" w:hAnsi="宋体"/>
          <w:color w:val="000000" w:themeColor="text1"/>
          <w:sz w:val="24"/>
          <w:highlight w:val="none"/>
          <w:lang w:val="en-US" w:eastAsia="zh-CN"/>
          <w14:textFill>
            <w14:solidFill>
              <w14:schemeClr w14:val="tx1"/>
            </w14:solidFill>
          </w14:textFill>
        </w:rPr>
        <w:t>除按以下金额扣款外，</w:t>
      </w:r>
      <w:r>
        <w:rPr>
          <w:rFonts w:hint="eastAsia" w:ascii="宋体" w:hAnsi="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lang w:val="en-US" w:eastAsia="zh-CN"/>
          <w14:textFill>
            <w14:solidFill>
              <w14:schemeClr w14:val="tx1"/>
            </w14:solidFill>
          </w14:textFill>
        </w:rPr>
        <w:t>将</w:t>
      </w:r>
      <w:r>
        <w:rPr>
          <w:rFonts w:hint="eastAsia" w:ascii="宋体" w:hAnsi="宋体"/>
          <w:color w:val="000000" w:themeColor="text1"/>
          <w:sz w:val="24"/>
          <w:highlight w:val="none"/>
          <w14:textFill>
            <w14:solidFill>
              <w14:schemeClr w14:val="tx1"/>
            </w14:solidFill>
          </w14:textFill>
        </w:rPr>
        <w:t>有权</w:t>
      </w:r>
      <w:r>
        <w:rPr>
          <w:rFonts w:hint="eastAsia" w:ascii="宋体" w:hAnsi="宋体"/>
          <w:color w:val="000000" w:themeColor="text1"/>
          <w:sz w:val="24"/>
          <w:highlight w:val="none"/>
          <w:lang w:val="en-US" w:eastAsia="zh-CN"/>
          <w14:textFill>
            <w14:solidFill>
              <w14:schemeClr w14:val="tx1"/>
            </w14:solidFill>
          </w14:textFill>
        </w:rPr>
        <w:t>即时单方面无责</w:t>
      </w:r>
      <w:r>
        <w:rPr>
          <w:rFonts w:hint="eastAsia" w:ascii="宋体" w:hAnsi="宋体"/>
          <w:color w:val="000000" w:themeColor="text1"/>
          <w:sz w:val="24"/>
          <w:highlight w:val="none"/>
          <w14:textFill>
            <w14:solidFill>
              <w14:schemeClr w14:val="tx1"/>
            </w14:solidFill>
          </w14:textFill>
        </w:rPr>
        <w:t>解除合同。</w:t>
      </w:r>
    </w:p>
    <w:p w14:paraId="152F4BDB">
      <w:pPr>
        <w:widowControl/>
        <w:numPr>
          <w:ilvl w:val="0"/>
          <w:numId w:val="0"/>
        </w:numPr>
        <w:spacing w:line="360" w:lineRule="auto"/>
        <w:ind w:leftChars="0" w:firstLine="480" w:firstLineChars="200"/>
        <w:jc w:val="left"/>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A为本</w:t>
      </w:r>
      <w:r>
        <w:rPr>
          <w:rFonts w:hint="eastAsia" w:ascii="宋体" w:hAnsi="宋体" w:cs="宋体"/>
          <w:bCs w:val="0"/>
          <w:color w:val="000000" w:themeColor="text1"/>
          <w:kern w:val="2"/>
          <w:sz w:val="24"/>
          <w:szCs w:val="24"/>
          <w:highlight w:val="none"/>
          <w:lang w:val="en-US" w:eastAsia="zh-CN"/>
          <w14:textFill>
            <w14:solidFill>
              <w14:schemeClr w14:val="tx1"/>
            </w14:solidFill>
          </w14:textFill>
        </w:rPr>
        <w:t>项目第三方客户</w:t>
      </w: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满意度</w:t>
      </w:r>
      <w:r>
        <w:rPr>
          <w:rFonts w:hint="eastAsia" w:ascii="宋体" w:hAnsi="宋体" w:cs="宋体"/>
          <w:bCs w:val="0"/>
          <w:color w:val="000000" w:themeColor="text1"/>
          <w:kern w:val="2"/>
          <w:sz w:val="24"/>
          <w:szCs w:val="24"/>
          <w:highlight w:val="none"/>
          <w:lang w:val="en-US" w:eastAsia="zh-CN"/>
          <w14:textFill>
            <w14:solidFill>
              <w14:schemeClr w14:val="tx1"/>
            </w14:solidFill>
          </w14:textFill>
        </w:rPr>
        <w:t>年度</w:t>
      </w: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指</w:t>
      </w:r>
      <w:r>
        <w:rPr>
          <w:rFonts w:hint="eastAsia" w:ascii="宋体" w:hAnsi="宋体" w:cs="宋体"/>
          <w:bCs w:val="0"/>
          <w:color w:val="000000" w:themeColor="text1"/>
          <w:kern w:val="2"/>
          <w:sz w:val="24"/>
          <w:szCs w:val="24"/>
          <w:highlight w:val="none"/>
          <w:lang w:val="en-US" w:eastAsia="zh-CN"/>
          <w14:textFill>
            <w14:solidFill>
              <w14:schemeClr w14:val="tx1"/>
            </w14:solidFill>
          </w14:textFill>
        </w:rPr>
        <w:t>标分数</w:t>
      </w: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，B为</w:t>
      </w:r>
      <w:r>
        <w:rPr>
          <w:rFonts w:hint="eastAsia" w:ascii="宋体" w:hAnsi="宋体" w:cs="宋体"/>
          <w:bCs w:val="0"/>
          <w:color w:val="000000" w:themeColor="text1"/>
          <w:kern w:val="2"/>
          <w:sz w:val="24"/>
          <w:szCs w:val="24"/>
          <w:highlight w:val="none"/>
          <w:lang w:val="en-US" w:eastAsia="zh-CN"/>
          <w14:textFill>
            <w14:solidFill>
              <w14:schemeClr w14:val="tx1"/>
            </w14:solidFill>
          </w14:textFill>
        </w:rPr>
        <w:t>此次第三方客户</w:t>
      </w: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满意度</w:t>
      </w:r>
      <w:r>
        <w:rPr>
          <w:rFonts w:hint="eastAsia" w:ascii="宋体" w:hAnsi="宋体" w:cs="宋体"/>
          <w:bCs w:val="0"/>
          <w:color w:val="000000" w:themeColor="text1"/>
          <w:kern w:val="2"/>
          <w:sz w:val="24"/>
          <w:szCs w:val="24"/>
          <w:highlight w:val="none"/>
          <w:lang w:val="en-US" w:eastAsia="zh-CN"/>
          <w14:textFill>
            <w14:solidFill>
              <w14:schemeClr w14:val="tx1"/>
            </w14:solidFill>
          </w14:textFill>
        </w:rPr>
        <w:t>调研安全管理</w:t>
      </w: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得分。</w:t>
      </w:r>
    </w:p>
    <w:tbl>
      <w:tblPr>
        <w:tblStyle w:val="20"/>
        <w:tblpPr w:leftFromText="180" w:rightFromText="180" w:vertAnchor="text" w:horzAnchor="page" w:tblpX="2708" w:tblpY="379"/>
        <w:tblOverlap w:val="never"/>
        <w:tblW w:w="6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7"/>
        <w:gridCol w:w="3387"/>
      </w:tblGrid>
      <w:tr w14:paraId="32CA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7936433F">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lang w:val="en-US" w:eastAsia="zh-CN"/>
                <w14:textFill>
                  <w14:solidFill>
                    <w14:schemeClr w14:val="tx1"/>
                  </w14:solidFill>
                </w14:textFill>
              </w:rPr>
              <w:t>分值差额区间</w:t>
            </w:r>
          </w:p>
        </w:tc>
        <w:tc>
          <w:tcPr>
            <w:tcW w:w="3387" w:type="dxa"/>
          </w:tcPr>
          <w:p w14:paraId="70E21FFF">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扣款金额</w:t>
            </w:r>
          </w:p>
        </w:tc>
      </w:tr>
      <w:tr w14:paraId="6611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3A2A6A7F">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xml:space="preserve"> A</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Cs w:val="21"/>
                <w:highlight w:val="none"/>
                <w14:textFill>
                  <w14:solidFill>
                    <w14:schemeClr w14:val="tx1"/>
                  </w14:solidFill>
                </w14:textFill>
              </w:rPr>
              <w:t>B</w:t>
            </w:r>
          </w:p>
        </w:tc>
        <w:tc>
          <w:tcPr>
            <w:tcW w:w="3387" w:type="dxa"/>
          </w:tcPr>
          <w:p w14:paraId="6BEB7228">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不进行扣罚</w:t>
            </w:r>
          </w:p>
        </w:tc>
      </w:tr>
      <w:tr w14:paraId="7A72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777" w:type="dxa"/>
          </w:tcPr>
          <w:p w14:paraId="146542B3">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A-B≤5</w:t>
            </w:r>
          </w:p>
        </w:tc>
        <w:tc>
          <w:tcPr>
            <w:tcW w:w="3387" w:type="dxa"/>
          </w:tcPr>
          <w:p w14:paraId="7C15474B">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1</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（最低100元起）</w:t>
            </w:r>
          </w:p>
        </w:tc>
      </w:tr>
      <w:tr w14:paraId="7810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6CD75D11">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5＜A-B≤15</w:t>
            </w:r>
          </w:p>
        </w:tc>
        <w:tc>
          <w:tcPr>
            <w:tcW w:w="3387" w:type="dxa"/>
          </w:tcPr>
          <w:p w14:paraId="636464A0">
            <w:pPr>
              <w:tabs>
                <w:tab w:val="left" w:pos="1080"/>
              </w:tabs>
              <w:spacing w:before="98" w:beforeLines="3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2</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（最低200元起）</w:t>
            </w:r>
          </w:p>
        </w:tc>
      </w:tr>
      <w:tr w14:paraId="6D88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75C1547A">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A</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-B＞1</w:t>
            </w:r>
            <w:r>
              <w:rPr>
                <w:rFonts w:hint="eastAsia" w:ascii="仿宋" w:hAnsi="仿宋" w:eastAsia="仿宋" w:cs="仿宋"/>
                <w:bCs/>
                <w:color w:val="000000" w:themeColor="text1"/>
                <w:kern w:val="0"/>
                <w:szCs w:val="21"/>
                <w:highlight w:val="none"/>
                <w14:textFill>
                  <w14:solidFill>
                    <w14:schemeClr w14:val="tx1"/>
                  </w14:solidFill>
                </w14:textFill>
              </w:rPr>
              <w:t>5</w:t>
            </w:r>
          </w:p>
        </w:tc>
        <w:tc>
          <w:tcPr>
            <w:tcW w:w="3387" w:type="dxa"/>
          </w:tcPr>
          <w:p w14:paraId="0226E8DE">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（最低500元起）</w:t>
            </w:r>
          </w:p>
        </w:tc>
      </w:tr>
    </w:tbl>
    <w:p w14:paraId="3DC012FD">
      <w:pPr>
        <w:widowControl/>
        <w:numPr>
          <w:ilvl w:val="-1"/>
          <w:numId w:val="0"/>
        </w:numPr>
        <w:spacing w:line="460" w:lineRule="exact"/>
        <w:ind w:firstLine="0" w:firstLineChars="0"/>
        <w:rPr>
          <w:rFonts w:hint="eastAsia" w:ascii="宋体" w:hAnsi="宋体" w:cs="宋体"/>
          <w:color w:val="000000" w:themeColor="text1"/>
          <w:sz w:val="24"/>
          <w:highlight w:val="none"/>
          <w:lang w:eastAsia="zh-CN"/>
          <w14:textFill>
            <w14:solidFill>
              <w14:schemeClr w14:val="tx1"/>
            </w14:solidFill>
          </w14:textFill>
        </w:rPr>
      </w:pPr>
    </w:p>
    <w:p w14:paraId="2F2D35BA">
      <w:pPr>
        <w:widowControl/>
        <w:numPr>
          <w:ilvl w:val="-1"/>
          <w:numId w:val="0"/>
        </w:numPr>
        <w:spacing w:line="460" w:lineRule="exact"/>
        <w:ind w:firstLine="0" w:firstLineChars="0"/>
        <w:rPr>
          <w:rFonts w:hint="eastAsia" w:ascii="宋体" w:hAnsi="宋体" w:cs="宋体"/>
          <w:color w:val="000000" w:themeColor="text1"/>
          <w:sz w:val="24"/>
          <w:highlight w:val="none"/>
          <w:lang w:eastAsia="zh-CN"/>
          <w14:textFill>
            <w14:solidFill>
              <w14:schemeClr w14:val="tx1"/>
            </w14:solidFill>
          </w14:textFill>
        </w:rPr>
      </w:pPr>
    </w:p>
    <w:p w14:paraId="74A69C74">
      <w:pPr>
        <w:widowControl/>
        <w:numPr>
          <w:ilvl w:val="-1"/>
          <w:numId w:val="0"/>
        </w:numPr>
        <w:spacing w:line="460" w:lineRule="exact"/>
        <w:ind w:firstLine="0" w:firstLineChars="0"/>
        <w:rPr>
          <w:rFonts w:hint="eastAsia" w:ascii="宋体" w:hAnsi="宋体" w:cs="宋体"/>
          <w:color w:val="000000" w:themeColor="text1"/>
          <w:sz w:val="24"/>
          <w:highlight w:val="none"/>
          <w:lang w:eastAsia="zh-CN"/>
          <w14:textFill>
            <w14:solidFill>
              <w14:schemeClr w14:val="tx1"/>
            </w14:solidFill>
          </w14:textFill>
        </w:rPr>
      </w:pPr>
    </w:p>
    <w:p w14:paraId="16112972">
      <w:pPr>
        <w:widowControl/>
        <w:numPr>
          <w:ilvl w:val="-1"/>
          <w:numId w:val="0"/>
        </w:numPr>
        <w:spacing w:line="460" w:lineRule="exact"/>
        <w:ind w:firstLine="0" w:firstLineChars="0"/>
        <w:rPr>
          <w:rFonts w:hint="eastAsia" w:ascii="宋体" w:hAnsi="宋体" w:cs="宋体"/>
          <w:color w:val="000000" w:themeColor="text1"/>
          <w:sz w:val="24"/>
          <w:highlight w:val="none"/>
          <w:lang w:eastAsia="zh-CN"/>
          <w14:textFill>
            <w14:solidFill>
              <w14:schemeClr w14:val="tx1"/>
            </w14:solidFill>
          </w14:textFill>
        </w:rPr>
      </w:pPr>
    </w:p>
    <w:p w14:paraId="030F91F2">
      <w:pPr>
        <w:widowControl/>
        <w:numPr>
          <w:ilvl w:val="-1"/>
          <w:numId w:val="0"/>
        </w:numPr>
        <w:spacing w:line="460" w:lineRule="exact"/>
        <w:ind w:firstLine="0" w:firstLineChars="0"/>
        <w:rPr>
          <w:rFonts w:ascii="宋体" w:hAnsi="宋体"/>
          <w:b/>
          <w:color w:val="000000" w:themeColor="text1"/>
          <w:sz w:val="24"/>
          <w14:textFill>
            <w14:solidFill>
              <w14:schemeClr w14:val="tx1"/>
            </w14:solidFill>
          </w14:textFill>
        </w:rPr>
      </w:pPr>
    </w:p>
    <w:p w14:paraId="7A934791">
      <w:pPr>
        <w:widowControl/>
        <w:numPr>
          <w:ilvl w:val="0"/>
          <w:numId w:val="4"/>
        </w:numPr>
        <w:spacing w:line="460" w:lineRule="exact"/>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神秘访客暗访考核</w:t>
      </w:r>
    </w:p>
    <w:p w14:paraId="476A8D53">
      <w:pPr>
        <w:widowControl/>
        <w:numPr>
          <w:ilvl w:val="-1"/>
          <w:numId w:val="0"/>
        </w:numPr>
        <w:spacing w:line="460" w:lineRule="exact"/>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甲方每季度首月根据上季度第三方神秘访客检查公司</w:t>
      </w:r>
      <w:r>
        <w:rPr>
          <w:rFonts w:ascii="宋体" w:hAnsi="宋体" w:cs="宋体"/>
          <w:color w:val="000000" w:themeColor="text1"/>
          <w:sz w:val="24"/>
          <w:highlight w:val="none"/>
          <w14:textFill>
            <w14:solidFill>
              <w14:schemeClr w14:val="tx1"/>
            </w14:solidFill>
          </w14:textFill>
        </w:rPr>
        <w:t>对</w:t>
      </w:r>
      <w:r>
        <w:rPr>
          <w:rFonts w:hint="eastAsia" w:ascii="宋体" w:hAnsi="宋体" w:cs="宋体"/>
          <w:color w:val="000000" w:themeColor="text1"/>
          <w:sz w:val="24"/>
          <w:highlight w:val="none"/>
          <w14:textFill>
            <w14:solidFill>
              <w14:schemeClr w14:val="tx1"/>
            </w14:solidFill>
          </w14:textFill>
        </w:rPr>
        <w:t>项目暗访检查中</w:t>
      </w:r>
      <w:r>
        <w:rPr>
          <w:rFonts w:hint="eastAsia" w:ascii="宋体" w:hAnsi="宋体" w:cs="宋体"/>
          <w:color w:val="000000" w:themeColor="text1"/>
          <w:sz w:val="24"/>
          <w:highlight w:val="none"/>
          <w:lang w:val="en-US" w:eastAsia="zh-CN"/>
          <w14:textFill>
            <w14:solidFill>
              <w14:schemeClr w14:val="tx1"/>
            </w14:solidFill>
          </w14:textFill>
        </w:rPr>
        <w:t>秩序维护</w:t>
      </w:r>
      <w:r>
        <w:rPr>
          <w:rFonts w:hint="eastAsia" w:ascii="宋体" w:hAnsi="宋体" w:cs="宋体"/>
          <w:color w:val="000000" w:themeColor="text1"/>
          <w:sz w:val="24"/>
          <w:highlight w:val="none"/>
          <w14:textFill>
            <w14:solidFill>
              <w14:schemeClr w14:val="tx1"/>
            </w14:solidFill>
          </w14:textFill>
        </w:rPr>
        <w:t>服务指标得分结果，对乙方上季度</w:t>
      </w:r>
      <w:r>
        <w:rPr>
          <w:rFonts w:hint="eastAsia" w:ascii="宋体" w:hAnsi="宋体" w:cs="宋体"/>
          <w:color w:val="000000" w:themeColor="text1"/>
          <w:sz w:val="24"/>
          <w:highlight w:val="none"/>
          <w:lang w:val="en-US" w:eastAsia="zh-CN"/>
          <w14:textFill>
            <w14:solidFill>
              <w14:schemeClr w14:val="tx1"/>
            </w14:solidFill>
          </w14:textFill>
        </w:rPr>
        <w:t>秩序维护</w:t>
      </w:r>
      <w:r>
        <w:rPr>
          <w:rFonts w:hint="eastAsia" w:ascii="宋体" w:hAnsi="宋体" w:cs="宋体"/>
          <w:color w:val="000000" w:themeColor="text1"/>
          <w:sz w:val="24"/>
          <w:highlight w:val="none"/>
          <w14:textFill>
            <w14:solidFill>
              <w14:schemeClr w14:val="tx1"/>
            </w14:solidFill>
          </w14:textFill>
        </w:rPr>
        <w:t>服务进行考评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如当月未被抽检则</w:t>
      </w:r>
      <w:r>
        <w:rPr>
          <w:rFonts w:hint="eastAsia" w:ascii="宋体" w:hAnsi="宋体" w:cs="宋体"/>
          <w:color w:val="000000" w:themeColor="text1"/>
          <w:sz w:val="24"/>
          <w:highlight w:val="none"/>
          <w14:textFill>
            <w14:solidFill>
              <w14:schemeClr w14:val="tx1"/>
            </w14:solidFill>
          </w14:textFill>
        </w:rPr>
        <w:t>当月不考核</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若连续两</w:t>
      </w:r>
      <w:r>
        <w:rPr>
          <w:rFonts w:hint="eastAsia" w:ascii="宋体" w:hAnsi="宋体"/>
          <w:color w:val="000000" w:themeColor="text1"/>
          <w:sz w:val="24"/>
          <w:highlight w:val="none"/>
          <w:lang w:val="en-US" w:eastAsia="zh-CN"/>
          <w14:textFill>
            <w14:solidFill>
              <w14:schemeClr w14:val="tx1"/>
            </w14:solidFill>
          </w14:textFill>
        </w:rPr>
        <w:t>次或合同年度累计三次</w:t>
      </w:r>
      <w:r>
        <w:rPr>
          <w:rFonts w:hint="eastAsia" w:ascii="宋体" w:hAnsi="宋体"/>
          <w:color w:val="000000" w:themeColor="text1"/>
          <w:sz w:val="24"/>
          <w:highlight w:val="none"/>
          <w14:textFill>
            <w14:solidFill>
              <w14:schemeClr w14:val="tx1"/>
            </w14:solidFill>
          </w14:textFill>
        </w:rPr>
        <w:t>低于</w:t>
      </w:r>
      <w:r>
        <w:rPr>
          <w:rFonts w:hint="eastAsia" w:ascii="宋体" w:hAnsi="宋体"/>
          <w:color w:val="000000" w:themeColor="text1"/>
          <w:sz w:val="24"/>
          <w:highlight w:val="none"/>
          <w:lang w:val="en-US" w:eastAsia="zh-CN"/>
          <w14:textFill>
            <w14:solidFill>
              <w14:schemeClr w14:val="tx1"/>
            </w14:solidFill>
          </w14:textFill>
        </w:rPr>
        <w:t>项目年度指标分数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分的，</w:t>
      </w:r>
      <w:r>
        <w:rPr>
          <w:rFonts w:hint="eastAsia" w:ascii="宋体" w:hAnsi="宋体"/>
          <w:color w:val="000000" w:themeColor="text1"/>
          <w:sz w:val="24"/>
          <w:highlight w:val="none"/>
          <w:lang w:val="en-US" w:eastAsia="zh-CN"/>
          <w14:textFill>
            <w14:solidFill>
              <w14:schemeClr w14:val="tx1"/>
            </w14:solidFill>
          </w14:textFill>
        </w:rPr>
        <w:t>除按以下金额扣款外，</w:t>
      </w:r>
      <w:r>
        <w:rPr>
          <w:rFonts w:hint="eastAsia" w:ascii="宋体" w:hAnsi="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lang w:val="en-US" w:eastAsia="zh-CN"/>
          <w14:textFill>
            <w14:solidFill>
              <w14:schemeClr w14:val="tx1"/>
            </w14:solidFill>
          </w14:textFill>
        </w:rPr>
        <w:t>将</w:t>
      </w:r>
      <w:r>
        <w:rPr>
          <w:rFonts w:hint="eastAsia" w:ascii="宋体" w:hAnsi="宋体"/>
          <w:color w:val="000000" w:themeColor="text1"/>
          <w:sz w:val="24"/>
          <w:highlight w:val="none"/>
          <w14:textFill>
            <w14:solidFill>
              <w14:schemeClr w14:val="tx1"/>
            </w14:solidFill>
          </w14:textFill>
        </w:rPr>
        <w:t>有权</w:t>
      </w:r>
      <w:r>
        <w:rPr>
          <w:rFonts w:hint="eastAsia" w:ascii="宋体" w:hAnsi="宋体"/>
          <w:color w:val="000000" w:themeColor="text1"/>
          <w:sz w:val="24"/>
          <w:highlight w:val="none"/>
          <w:lang w:val="en-US" w:eastAsia="zh-CN"/>
          <w14:textFill>
            <w14:solidFill>
              <w14:schemeClr w14:val="tx1"/>
            </w14:solidFill>
          </w14:textFill>
        </w:rPr>
        <w:t>即时单方面无责</w:t>
      </w:r>
      <w:r>
        <w:rPr>
          <w:rFonts w:hint="eastAsia" w:ascii="宋体" w:hAnsi="宋体"/>
          <w:color w:val="000000" w:themeColor="text1"/>
          <w:sz w:val="24"/>
          <w:highlight w:val="none"/>
          <w14:textFill>
            <w14:solidFill>
              <w14:schemeClr w14:val="tx1"/>
            </w14:solidFill>
          </w14:textFill>
        </w:rPr>
        <w:t>解除合同。</w:t>
      </w:r>
    </w:p>
    <w:p w14:paraId="0BBE310D">
      <w:pPr>
        <w:widowControl/>
        <w:numPr>
          <w:ilvl w:val="0"/>
          <w:numId w:val="0"/>
        </w:numPr>
        <w:spacing w:line="360" w:lineRule="auto"/>
        <w:ind w:leftChars="0" w:firstLine="480" w:firstLineChars="200"/>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A为本</w:t>
      </w:r>
      <w:r>
        <w:rPr>
          <w:rFonts w:hint="eastAsia" w:ascii="宋体" w:hAnsi="宋体" w:cs="宋体"/>
          <w:bCs w:val="0"/>
          <w:color w:val="000000" w:themeColor="text1"/>
          <w:kern w:val="2"/>
          <w:sz w:val="24"/>
          <w:szCs w:val="24"/>
          <w:highlight w:val="none"/>
          <w:lang w:val="en-US" w:eastAsia="zh-CN"/>
          <w14:textFill>
            <w14:solidFill>
              <w14:schemeClr w14:val="tx1"/>
            </w14:solidFill>
          </w14:textFill>
        </w:rPr>
        <w:t>项目第三方神秘访客检查年度指标分数</w:t>
      </w: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，B为</w:t>
      </w:r>
      <w:r>
        <w:rPr>
          <w:rFonts w:hint="eastAsia" w:ascii="宋体" w:hAnsi="宋体" w:cs="宋体"/>
          <w:bCs w:val="0"/>
          <w:color w:val="000000" w:themeColor="text1"/>
          <w:kern w:val="2"/>
          <w:sz w:val="24"/>
          <w:szCs w:val="24"/>
          <w:highlight w:val="none"/>
          <w:lang w:val="en-US" w:eastAsia="zh-CN"/>
          <w14:textFill>
            <w14:solidFill>
              <w14:schemeClr w14:val="tx1"/>
            </w14:solidFill>
          </w14:textFill>
        </w:rPr>
        <w:t>本次第三方神秘访客检查安全管理</w:t>
      </w:r>
      <w:r>
        <w:rPr>
          <w:rFonts w:hint="eastAsia" w:ascii="宋体" w:hAnsi="宋体" w:eastAsia="宋体" w:cs="宋体"/>
          <w:bCs w:val="0"/>
          <w:color w:val="000000" w:themeColor="text1"/>
          <w:kern w:val="2"/>
          <w:sz w:val="24"/>
          <w:szCs w:val="24"/>
          <w:highlight w:val="none"/>
          <w:lang w:val="en-US" w:eastAsia="zh-CN"/>
          <w14:textFill>
            <w14:solidFill>
              <w14:schemeClr w14:val="tx1"/>
            </w14:solidFill>
          </w14:textFill>
        </w:rPr>
        <w:t>得分。</w:t>
      </w:r>
    </w:p>
    <w:p w14:paraId="2B3094CB">
      <w:pPr>
        <w:spacing w:line="500" w:lineRule="exact"/>
        <w:jc w:val="center"/>
        <w:rPr>
          <w:rFonts w:hint="eastAsia" w:ascii="宋体" w:hAnsi="宋体"/>
          <w:b/>
          <w:bCs/>
          <w:color w:val="000000" w:themeColor="text1"/>
          <w:sz w:val="24"/>
          <w:highlight w:val="none"/>
          <w14:textFill>
            <w14:solidFill>
              <w14:schemeClr w14:val="tx1"/>
            </w14:solidFill>
          </w14:textFill>
        </w:rPr>
      </w:pPr>
    </w:p>
    <w:tbl>
      <w:tblPr>
        <w:tblStyle w:val="20"/>
        <w:tblpPr w:leftFromText="180" w:rightFromText="180" w:vertAnchor="text" w:horzAnchor="page" w:tblpX="3044" w:tblpY="12"/>
        <w:tblOverlap w:val="never"/>
        <w:tblW w:w="6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7"/>
        <w:gridCol w:w="3387"/>
      </w:tblGrid>
      <w:tr w14:paraId="7876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5ED62689">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lang w:val="en-US" w:eastAsia="zh-CN"/>
                <w14:textFill>
                  <w14:solidFill>
                    <w14:schemeClr w14:val="tx1"/>
                  </w14:solidFill>
                </w14:textFill>
              </w:rPr>
              <w:t>分值差额区间</w:t>
            </w:r>
          </w:p>
        </w:tc>
        <w:tc>
          <w:tcPr>
            <w:tcW w:w="3387" w:type="dxa"/>
          </w:tcPr>
          <w:p w14:paraId="7E5113E9">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扣款金额</w:t>
            </w:r>
          </w:p>
        </w:tc>
      </w:tr>
      <w:tr w14:paraId="28E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4560426A">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xml:space="preserve"> A</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Cs w:val="21"/>
                <w:highlight w:val="none"/>
                <w14:textFill>
                  <w14:solidFill>
                    <w14:schemeClr w14:val="tx1"/>
                  </w14:solidFill>
                </w14:textFill>
              </w:rPr>
              <w:t>B</w:t>
            </w:r>
          </w:p>
        </w:tc>
        <w:tc>
          <w:tcPr>
            <w:tcW w:w="3387" w:type="dxa"/>
          </w:tcPr>
          <w:p w14:paraId="30156556">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不进行扣罚</w:t>
            </w:r>
          </w:p>
        </w:tc>
      </w:tr>
      <w:tr w14:paraId="0516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777" w:type="dxa"/>
          </w:tcPr>
          <w:p w14:paraId="4E377653">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A-B≤5</w:t>
            </w:r>
          </w:p>
        </w:tc>
        <w:tc>
          <w:tcPr>
            <w:tcW w:w="3387" w:type="dxa"/>
          </w:tcPr>
          <w:p w14:paraId="713DBF13">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1</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（最低100元起）</w:t>
            </w:r>
          </w:p>
        </w:tc>
      </w:tr>
      <w:tr w14:paraId="7FBC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75FD77F4">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5＜A-B≤15</w:t>
            </w:r>
          </w:p>
        </w:tc>
        <w:tc>
          <w:tcPr>
            <w:tcW w:w="3387" w:type="dxa"/>
          </w:tcPr>
          <w:p w14:paraId="71453AC2">
            <w:pPr>
              <w:tabs>
                <w:tab w:val="left" w:pos="1080"/>
              </w:tabs>
              <w:spacing w:before="98" w:beforeLines="3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2</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（最低200元起）</w:t>
            </w:r>
          </w:p>
        </w:tc>
      </w:tr>
      <w:tr w14:paraId="2D93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tcPr>
          <w:p w14:paraId="10137FD5">
            <w:pPr>
              <w:tabs>
                <w:tab w:val="left" w:pos="1080"/>
              </w:tabs>
              <w:spacing w:before="98" w:beforeLines="30"/>
              <w:jc w:val="center"/>
              <w:rPr>
                <w:rFonts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A</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-B＞1</w:t>
            </w:r>
            <w:r>
              <w:rPr>
                <w:rFonts w:hint="eastAsia" w:ascii="仿宋" w:hAnsi="仿宋" w:eastAsia="仿宋" w:cs="仿宋"/>
                <w:bCs/>
                <w:color w:val="000000" w:themeColor="text1"/>
                <w:kern w:val="0"/>
                <w:szCs w:val="21"/>
                <w:highlight w:val="none"/>
                <w14:textFill>
                  <w14:solidFill>
                    <w14:schemeClr w14:val="tx1"/>
                  </w14:solidFill>
                </w14:textFill>
              </w:rPr>
              <w:t>5</w:t>
            </w:r>
          </w:p>
        </w:tc>
        <w:tc>
          <w:tcPr>
            <w:tcW w:w="3387" w:type="dxa"/>
          </w:tcPr>
          <w:p w14:paraId="2393ED28">
            <w:pPr>
              <w:tabs>
                <w:tab w:val="left" w:pos="1080"/>
              </w:tabs>
              <w:spacing w:before="98" w:beforeLines="3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当月</w:t>
            </w:r>
            <w:r>
              <w:rPr>
                <w:rFonts w:hint="eastAsia" w:ascii="仿宋" w:hAnsi="仿宋" w:eastAsia="仿宋" w:cs="仿宋"/>
                <w:bCs/>
                <w:color w:val="000000" w:themeColor="text1"/>
                <w:kern w:val="0"/>
                <w:szCs w:val="21"/>
                <w:highlight w:val="none"/>
                <w14:textFill>
                  <w14:solidFill>
                    <w14:schemeClr w14:val="tx1"/>
                  </w14:solidFill>
                </w14:textFill>
              </w:rPr>
              <w:t>服务费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bCs/>
                <w:color w:val="000000" w:themeColor="text1"/>
                <w:kern w:val="0"/>
                <w:szCs w:val="21"/>
                <w:highlight w:val="none"/>
                <w14:textFill>
                  <w14:solidFill>
                    <w14:schemeClr w14:val="tx1"/>
                  </w14:solidFill>
                </w14:textFill>
              </w:rPr>
              <w:t>%</w:t>
            </w:r>
            <w: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t>（最低500元起）</w:t>
            </w:r>
          </w:p>
        </w:tc>
      </w:tr>
    </w:tbl>
    <w:p w14:paraId="3793F63F">
      <w:pPr>
        <w:widowControl/>
        <w:spacing w:line="460" w:lineRule="exact"/>
        <w:ind w:left="480"/>
        <w:rPr>
          <w:rFonts w:ascii="宋体" w:hAnsi="宋体" w:cs="宋体"/>
          <w:color w:val="000000" w:themeColor="text1"/>
          <w:sz w:val="24"/>
          <w14:textFill>
            <w14:solidFill>
              <w14:schemeClr w14:val="tx1"/>
            </w14:solidFill>
          </w14:textFill>
        </w:rPr>
      </w:pPr>
    </w:p>
    <w:p w14:paraId="4976A9F5">
      <w:pPr>
        <w:spacing w:line="460" w:lineRule="exact"/>
        <w:jc w:val="left"/>
        <w:rPr>
          <w:rFonts w:cs="仿宋" w:asciiTheme="minorEastAsia" w:hAnsiTheme="minorEastAsia" w:eastAsiaTheme="minorEastAsia"/>
          <w:b/>
          <w:bCs/>
          <w:color w:val="000000" w:themeColor="text1"/>
          <w:sz w:val="24"/>
          <w14:textFill>
            <w14:solidFill>
              <w14:schemeClr w14:val="tx1"/>
            </w14:solidFill>
          </w14:textFill>
        </w:rPr>
      </w:pPr>
    </w:p>
    <w:p w14:paraId="4BC46C8A">
      <w:pPr>
        <w:spacing w:line="460" w:lineRule="exact"/>
        <w:ind w:left="420" w:leftChars="200"/>
        <w:jc w:val="left"/>
        <w:rPr>
          <w:rFonts w:hint="eastAsia" w:cs="仿宋" w:asciiTheme="minorEastAsia" w:hAnsiTheme="minorEastAsia" w:eastAsiaTheme="minorEastAsia"/>
          <w:b/>
          <w:bCs/>
          <w:color w:val="000000" w:themeColor="text1"/>
          <w:sz w:val="24"/>
          <w14:textFill>
            <w14:solidFill>
              <w14:schemeClr w14:val="tx1"/>
            </w14:solidFill>
          </w14:textFill>
        </w:rPr>
      </w:pPr>
    </w:p>
    <w:p w14:paraId="278FB93D">
      <w:pPr>
        <w:spacing w:line="460" w:lineRule="exact"/>
        <w:ind w:left="420" w:leftChars="200"/>
        <w:jc w:val="left"/>
        <w:rPr>
          <w:rFonts w:hint="eastAsia" w:cs="仿宋" w:asciiTheme="minorEastAsia" w:hAnsiTheme="minorEastAsia" w:eastAsiaTheme="minorEastAsia"/>
          <w:b/>
          <w:bCs/>
          <w:color w:val="000000" w:themeColor="text1"/>
          <w:sz w:val="24"/>
          <w14:textFill>
            <w14:solidFill>
              <w14:schemeClr w14:val="tx1"/>
            </w14:solidFill>
          </w14:textFill>
        </w:rPr>
      </w:pPr>
    </w:p>
    <w:p w14:paraId="5246BC61">
      <w:pPr>
        <w:spacing w:line="460" w:lineRule="exact"/>
        <w:ind w:left="420" w:leftChars="200"/>
        <w:jc w:val="left"/>
        <w:rPr>
          <w:rFonts w:hint="eastAsia" w:cs="仿宋" w:asciiTheme="minorEastAsia" w:hAnsiTheme="minorEastAsia" w:eastAsiaTheme="minorEastAsia"/>
          <w:b/>
          <w:bCs/>
          <w:color w:val="000000" w:themeColor="text1"/>
          <w:sz w:val="24"/>
          <w14:textFill>
            <w14:solidFill>
              <w14:schemeClr w14:val="tx1"/>
            </w14:solidFill>
          </w14:textFill>
        </w:rPr>
      </w:pPr>
    </w:p>
    <w:p w14:paraId="2E0F6465">
      <w:pPr>
        <w:spacing w:line="460" w:lineRule="exact"/>
        <w:ind w:left="420" w:leftChars="200"/>
        <w:jc w:val="lef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第十一条   违约责任</w:t>
      </w:r>
    </w:p>
    <w:p w14:paraId="3F8A93AC">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1、乙方出现考勤作假情况的</w:t>
      </w:r>
      <w:r>
        <w:rPr>
          <w:rFonts w:hint="eastAsia" w:asciiTheme="minorEastAsia" w:hAnsiTheme="minorEastAsia" w:eastAsiaTheme="minorEastAsia" w:cstheme="minorEastAsia"/>
          <w:bCs/>
          <w:color w:val="000000" w:themeColor="text1"/>
          <w:kern w:val="0"/>
          <w:sz w:val="24"/>
          <w14:textFill>
            <w14:solidFill>
              <w14:schemeClr w14:val="tx1"/>
            </w14:solidFill>
          </w14:textFill>
        </w:rPr>
        <w:t>，甲方有权按照200元/人/次的标准进行扣款。</w:t>
      </w:r>
    </w:p>
    <w:p w14:paraId="71C0B5CF">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w:t>
      </w:r>
      <w:r>
        <w:rPr>
          <w:rFonts w:hint="eastAsia" w:asciiTheme="minorEastAsia" w:hAnsiTheme="minorEastAsia" w:eastAsiaTheme="minorEastAsia" w:cstheme="minorEastAsia"/>
          <w:bCs/>
          <w:color w:val="000000" w:themeColor="text1"/>
          <w:kern w:val="0"/>
          <w:sz w:val="24"/>
          <w14:textFill>
            <w14:solidFill>
              <w14:schemeClr w14:val="tx1"/>
            </w14:solidFill>
          </w14:textFill>
        </w:rPr>
        <w:t>乙方员</w:t>
      </w:r>
      <w:r>
        <w:rPr>
          <w:rFonts w:hint="eastAsia" w:asciiTheme="minorEastAsia" w:hAnsiTheme="minorEastAsia" w:eastAsiaTheme="minorEastAsia" w:cstheme="minorEastAsia"/>
          <w:bCs/>
          <w:color w:val="000000" w:themeColor="text1"/>
          <w:kern w:val="0"/>
          <w:sz w:val="24"/>
          <w:lang w:eastAsia="zh-CN"/>
          <w14:textFill>
            <w14:solidFill>
              <w14:schemeClr w14:val="tx1"/>
            </w14:solidFill>
          </w14:textFill>
        </w:rPr>
        <w:t>工实</w:t>
      </w:r>
      <w:r>
        <w:rPr>
          <w:rFonts w:hint="eastAsia" w:asciiTheme="minorEastAsia" w:hAnsiTheme="minorEastAsia" w:eastAsiaTheme="minorEastAsia" w:cstheme="minorEastAsia"/>
          <w:bCs/>
          <w:color w:val="000000" w:themeColor="text1"/>
          <w:kern w:val="0"/>
          <w:sz w:val="24"/>
          <w14:textFill>
            <w14:solidFill>
              <w14:schemeClr w14:val="tx1"/>
            </w14:solidFill>
          </w14:textFill>
        </w:rPr>
        <w:t>际出勤天数不到满勤天数的，甲方有权按以下标准进行扣款：</w:t>
      </w:r>
    </w:p>
    <w:p w14:paraId="6ADCA3F1">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（1）总出勤率≥95%，应扣除的服务费=每月岗位包干单价÷当月自然天数×（月度应出勤总天数-月度实际出勤总天数）；</w:t>
      </w:r>
    </w:p>
    <w:p w14:paraId="40499E42">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（2）95%＞总出勤率≥90%，应扣除的服务费=1.2×每月岗位包干单价÷当月自然天数×（月度应出勤总天数-月度实际出勤总天数）；</w:t>
      </w:r>
    </w:p>
    <w:p w14:paraId="69667A46">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（3）总出勤率＜90%，应扣除的服务费=1.5×每月岗位包干单价÷当月自然天数×（月度应出勤总天数-月度实际出勤总天数）。</w:t>
      </w:r>
    </w:p>
    <w:p w14:paraId="207E1245">
      <w:pPr>
        <w:pStyle w:val="2"/>
        <w:ind w:firstLineChars="200"/>
        <w:rPr>
          <w:rFonts w:ascii="宋体" w:hAnsi="宋体" w:eastAsiaTheme="minorEastAsia" w:cstheme="minorEastAsia"/>
          <w:b w:val="0"/>
          <w:bCs w:val="0"/>
          <w:caps w:val="0"/>
          <w:color w:val="000000" w:themeColor="text1"/>
          <w:kern w:val="0"/>
          <w:sz w:val="24"/>
          <w:szCs w:val="24"/>
          <w14:textFill>
            <w14:solidFill>
              <w14:schemeClr w14:val="tx1"/>
            </w14:solidFill>
          </w14:textFill>
        </w:rPr>
      </w:pPr>
      <w:r>
        <w:rPr>
          <w:rFonts w:hint="eastAsia" w:ascii="宋体" w:hAnsi="宋体"/>
          <w:b w:val="0"/>
          <w:bCs w:val="0"/>
          <w:caps w:val="0"/>
          <w:color w:val="000000" w:themeColor="text1"/>
          <w:szCs w:val="24"/>
          <w14:textFill>
            <w14:solidFill>
              <w14:schemeClr w14:val="tx1"/>
            </w14:solidFill>
          </w14:textFill>
        </w:rPr>
        <w:t>（</w:t>
      </w:r>
      <w:r>
        <w:rPr>
          <w:rFonts w:ascii="宋体" w:hAnsi="宋体"/>
          <w:b w:val="0"/>
          <w:bCs w:val="0"/>
          <w:caps w:val="0"/>
          <w:color w:val="000000" w:themeColor="text1"/>
          <w:szCs w:val="24"/>
          <w14:textFill>
            <w14:solidFill>
              <w14:schemeClr w14:val="tx1"/>
            </w14:solidFill>
          </w14:textFill>
        </w:rPr>
        <w:t>4</w:t>
      </w:r>
      <w:r>
        <w:rPr>
          <w:rFonts w:hint="eastAsia" w:ascii="宋体" w:hAnsi="宋体"/>
          <w:b w:val="0"/>
          <w:bCs w:val="0"/>
          <w:caps w:val="0"/>
          <w:color w:val="000000" w:themeColor="text1"/>
          <w:szCs w:val="24"/>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如乙方派驻现场人员出勤率</w:t>
      </w:r>
      <w:r>
        <w:rPr>
          <w:rFonts w:hint="eastAsia" w:asciiTheme="minorEastAsia" w:hAnsiTheme="minorEastAsia" w:eastAsiaTheme="minorEastAsia" w:cstheme="minorEastAsia"/>
          <w:b w:val="0"/>
          <w:bCs/>
          <w:caps w:val="0"/>
          <w:color w:val="000000" w:themeColor="text1"/>
          <w:kern w:val="0"/>
          <w:sz w:val="24"/>
          <w:szCs w:val="24"/>
          <w14:textFill>
            <w14:solidFill>
              <w14:schemeClr w14:val="tx1"/>
            </w14:solidFill>
          </w14:textFill>
        </w:rPr>
        <w:t>连续2个月或累计3个月出勤率低于</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本合同约定人数的</w:t>
      </w:r>
      <w:sdt>
        <w:sdtPr>
          <w:rPr>
            <w:rFonts w:hint="default"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id w:val="147453528"/>
          <w:placeholder>
            <w:docPart w:val="{17a5e1f4-2600-4b4d-874c-657d8beb0b3c}"/>
          </w:placeholder>
        </w:sdtPr>
        <w:sdtEndPr>
          <w:rPr>
            <w:rFonts w:hint="default"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sdtEndPr>
        <w:sdtContent>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90%</w:t>
          </w:r>
        </w:sdtContent>
      </w:sdt>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，甲方将全额扣除当月承包费用，并有权即时解除本合同</w:t>
      </w:r>
      <w:r>
        <w:rPr>
          <w:rFonts w:hint="eastAsia" w:ascii="宋体" w:hAnsi="宋体"/>
          <w:b w:val="0"/>
          <w:bCs w:val="0"/>
          <w:caps w:val="0"/>
          <w:color w:val="000000" w:themeColor="text1"/>
          <w:szCs w:val="24"/>
          <w14:textFill>
            <w14:solidFill>
              <w14:schemeClr w14:val="tx1"/>
            </w14:solidFill>
          </w14:textFill>
        </w:rPr>
        <w:t>且不承担任何责任。</w:t>
      </w:r>
    </w:p>
    <w:p w14:paraId="6538691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乙方员工出现以下不当行为，甲方有权按以下标准进行扣罚：</w:t>
      </w:r>
    </w:p>
    <w:p w14:paraId="47DB3AA1">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（1）乙方员工向甲方客户或外部散布查无实据谣言的，按100元/次进行扣罚；若因此严重影响甲方形象或被媒体负面曝光的，甲方有权：① 拒付乙方当月全部服务费用；② 要求乙方另行支付不低于 2000 元的名誉损失赔偿金；③ 立即终止本合同且无需承担任何违约责任。乙方需对其员工行为导致的全部后果承担连带责任。</w:t>
      </w:r>
    </w:p>
    <w:p w14:paraId="35EDDE0C">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因乙方服务质量问题导致业主有效投诉的（经甲乙双方现场主管验证属实的），一般投诉按50元/次进行扣罚，同一问题重复投诉的双倍扣罚；新视窗系统和客户通等受理的有效投诉，按200元/次进行扣罚；重大投诉每次扣除当月服务费10%</w:t>
      </w:r>
      <w:r>
        <w:rPr>
          <w:rFonts w:hint="eastAsia" w:asciiTheme="minorEastAsia" w:hAnsiTheme="minorEastAsia" w:eastAsiaTheme="minorEastAsia" w:cstheme="minorEastAsia"/>
          <w:bCs/>
          <w:color w:val="000000" w:themeColor="text1"/>
          <w:kern w:val="0"/>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4"/>
          <w14:textFill>
            <w14:solidFill>
              <w14:schemeClr w14:val="tx1"/>
            </w14:solidFill>
          </w14:textFill>
        </w:rPr>
        <w:t>20%。同一项目当月累计3次一般投诉的，按重大投诉标准处理。</w:t>
      </w:r>
    </w:p>
    <w:p w14:paraId="3CC800D9">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（3）乙方员工在本项目进行吸毒、盗抢、传销等违法行为，由乙方承担全部的赔偿责任，甲方将扣除当月承包费用并即时单方面解除合同。</w:t>
      </w:r>
    </w:p>
    <w:p w14:paraId="4A8CF532">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（4）乙方员工在本项目与业主、甲方员工发生冲突的，每发生一起甲方将扣除乙方当月</w:t>
      </w:r>
      <w:r>
        <w:rPr>
          <w:rFonts w:asciiTheme="minorEastAsia" w:hAnsiTheme="minorEastAsia" w:eastAsiaTheme="minorEastAsia" w:cstheme="minorEastAsia"/>
          <w:bCs/>
          <w:color w:val="000000" w:themeColor="text1"/>
          <w:kern w:val="0"/>
          <w:sz w:val="24"/>
          <w14:textFill>
            <w14:solidFill>
              <w14:schemeClr w14:val="tx1"/>
            </w14:solidFill>
          </w14:textFill>
        </w:rPr>
        <w:t>2000元至</w:t>
      </w:r>
      <w:r>
        <w:rPr>
          <w:rFonts w:hint="eastAsia" w:asciiTheme="minorEastAsia" w:hAnsiTheme="minorEastAsia" w:eastAsiaTheme="minorEastAsia" w:cstheme="minorEastAsia"/>
          <w:bCs/>
          <w:color w:val="000000" w:themeColor="text1"/>
          <w:kern w:val="0"/>
          <w:sz w:val="24"/>
          <w14:textFill>
            <w14:solidFill>
              <w14:schemeClr w14:val="tx1"/>
            </w14:solidFill>
          </w14:textFill>
        </w:rPr>
        <w:t>1</w:t>
      </w:r>
      <w:r>
        <w:rPr>
          <w:rFonts w:asciiTheme="minorEastAsia" w:hAnsiTheme="minorEastAsia" w:eastAsiaTheme="minorEastAsia" w:cstheme="minorEastAsia"/>
          <w:bCs/>
          <w:color w:val="000000" w:themeColor="text1"/>
          <w:kern w:val="0"/>
          <w:sz w:val="24"/>
          <w14:textFill>
            <w14:solidFill>
              <w14:schemeClr w14:val="tx1"/>
            </w14:solidFill>
          </w14:textFill>
        </w:rPr>
        <w:t>0000元</w:t>
      </w:r>
      <w:r>
        <w:rPr>
          <w:rFonts w:hint="eastAsia" w:asciiTheme="minorEastAsia" w:hAnsiTheme="minorEastAsia" w:eastAsiaTheme="minorEastAsia" w:cstheme="minorEastAsia"/>
          <w:bCs/>
          <w:color w:val="000000" w:themeColor="text1"/>
          <w:kern w:val="0"/>
          <w:sz w:val="24"/>
          <w14:textFill>
            <w14:solidFill>
              <w14:schemeClr w14:val="tx1"/>
            </w14:solidFill>
          </w14:textFill>
        </w:rPr>
        <w:t>的服务费用，乙方还须承担由此给甲方及第三方所造成损失的赔偿责任，如造成第三方人身伤害被判定轻伤以上级别的，除承担赔偿及全额扣除当月承包费用外，构成犯罪的送由公安机关处理，不得影响甲方形象或被媒体负面曝光，同时，甲方将有权即时单方面解除合同。</w:t>
      </w:r>
    </w:p>
    <w:p w14:paraId="3AC62E4A">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（5）因乙方员工原因造成水电浪费，按200元/次进行扣罚。</w:t>
      </w:r>
    </w:p>
    <w:p w14:paraId="1F9CA08C">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（6）乙方员工向甲方客户索取财物或私拿、乙方人员未经甲方同意向本项目其他单位和个人提供相关秩序维护服务，按1000元/次进行扣罚。</w:t>
      </w:r>
    </w:p>
    <w:p w14:paraId="01EA18D4">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（7）乙方员工在上班时间捡拾、出售废品，按100元/次进行扣罚。</w:t>
      </w:r>
    </w:p>
    <w:p w14:paraId="370E8169">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（8）乙方员工在上班时间有擅自离岗、吸烟、吃零食、闲谈、打闹、大声喧哗等违规行为，按</w:t>
      </w:r>
      <w:r>
        <w:rPr>
          <w:rFonts w:asciiTheme="minorEastAsia" w:hAnsiTheme="minorEastAsia" w:eastAsiaTheme="minorEastAsia" w:cstheme="minorEastAsia"/>
          <w:bCs/>
          <w:color w:val="000000" w:themeColor="text1"/>
          <w:kern w:val="0"/>
          <w:sz w:val="24"/>
          <w14:textFill>
            <w14:solidFill>
              <w14:schemeClr w14:val="tx1"/>
            </w14:solidFill>
          </w14:textFill>
        </w:rPr>
        <w:t>2</w:t>
      </w:r>
      <w:r>
        <w:rPr>
          <w:rFonts w:hint="eastAsia" w:asciiTheme="minorEastAsia" w:hAnsiTheme="minorEastAsia" w:eastAsiaTheme="minorEastAsia" w:cstheme="minorEastAsia"/>
          <w:bCs/>
          <w:color w:val="000000" w:themeColor="text1"/>
          <w:kern w:val="0"/>
          <w:sz w:val="24"/>
          <w14:textFill>
            <w14:solidFill>
              <w14:schemeClr w14:val="tx1"/>
            </w14:solidFill>
          </w14:textFill>
        </w:rPr>
        <w:t>00元/次进行扣罚。</w:t>
      </w:r>
    </w:p>
    <w:p w14:paraId="46C61AE4">
      <w:pPr>
        <w:spacing w:line="360" w:lineRule="auto"/>
        <w:ind w:firstLine="480" w:firstLineChars="200"/>
        <w:rPr>
          <w:rFonts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（9）乙方员工未按管理要求乱摆放工具，按50元/次进行扣罚；</w:t>
      </w:r>
      <w:r>
        <w:rPr>
          <w:rFonts w:hint="eastAsia" w:ascii="宋体" w:hAnsi="宋体"/>
          <w:color w:val="000000" w:themeColor="text1"/>
          <w:sz w:val="24"/>
          <w14:textFill>
            <w14:solidFill>
              <w14:schemeClr w14:val="tx1"/>
            </w14:solidFill>
          </w14:textFill>
        </w:rPr>
        <w:t>未按要求在限期内完成整改，或整改后经甲方验收仍不合格的，按200元</w:t>
      </w:r>
      <w:r>
        <w:rPr>
          <w:rFonts w:hint="eastAsia" w:asciiTheme="minorEastAsia" w:hAnsiTheme="minorEastAsia" w:eastAsiaTheme="minorEastAsia" w:cstheme="minorEastAsia"/>
          <w:bCs/>
          <w:color w:val="000000" w:themeColor="text1"/>
          <w:kern w:val="0"/>
          <w:sz w:val="24"/>
          <w14:textFill>
            <w14:solidFill>
              <w14:schemeClr w14:val="tx1"/>
            </w14:solidFill>
          </w14:textFill>
        </w:rPr>
        <w:t>/次进行扣罚。</w:t>
      </w:r>
    </w:p>
    <w:p w14:paraId="06E503D7">
      <w:pPr>
        <w:pStyle w:val="2"/>
        <w:ind w:firstLine="480" w:firstLineChars="200"/>
        <w:rPr>
          <w:rFonts w:hint="eastAsia" w:asciiTheme="minorEastAsia" w:hAnsiTheme="minorEastAsia" w:eastAsiaTheme="minorEastAsia" w:cstheme="minorEastAsia"/>
          <w:b w:val="0"/>
          <w:bCs/>
          <w:cap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aps w:val="0"/>
          <w:color w:val="000000" w:themeColor="text1"/>
          <w:kern w:val="0"/>
          <w:sz w:val="24"/>
          <w:szCs w:val="24"/>
          <w14:textFill>
            <w14:solidFill>
              <w14:schemeClr w14:val="tx1"/>
            </w14:solidFill>
          </w14:textFill>
        </w:rPr>
        <w:t>（10）乙方未按甲方要求更换不合格人员，每逾期1日，应向甲方支付月秩序维护服务费1%的违约金。</w:t>
      </w:r>
    </w:p>
    <w:p w14:paraId="530F9C0B">
      <w:pPr>
        <w:spacing w:line="4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、如因乙方原因使甲方形象受到影响或造成甲方或第三人损失的，乙方应及时消除影响并赔偿由此造成的全部损失。</w:t>
      </w:r>
    </w:p>
    <w:p w14:paraId="4226CD4D">
      <w:pPr>
        <w:tabs>
          <w:tab w:val="left" w:pos="1710"/>
        </w:tabs>
        <w:spacing w:line="460" w:lineRule="exact"/>
        <w:ind w:firstLine="480" w:firstLineChars="200"/>
        <w:rPr>
          <w:rFonts w:cs="仿宋"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、甲方每月派专业管理人员进行现场考核，享有对服务范围内秩序维护服务的监督及评审权，发现乙方所提供的秩序维护服务不符合约定的标准（包括但不限于乙方人员无故旷工、受到业主投诉</w:t>
      </w:r>
      <w:r>
        <w:rPr>
          <w:rFonts w:hint="eastAsia" w:asciiTheme="minorEastAsia" w:hAnsiTheme="minorEastAsia" w:eastAsiaTheme="minorEastAsia" w:cstheme="majorEastAsia"/>
          <w:color w:val="000000" w:themeColor="text1"/>
          <w:sz w:val="24"/>
          <w14:textFill>
            <w14:solidFill>
              <w14:schemeClr w14:val="tx1"/>
            </w14:solidFill>
          </w14:textFill>
        </w:rPr>
        <w:t>及其他违反本合同约定的行为等</w:t>
      </w:r>
      <w:r>
        <w:rPr>
          <w:rFonts w:hint="eastAsia" w:asciiTheme="minorEastAsia" w:hAnsiTheme="minorEastAsia" w:eastAsiaTheme="minorEastAsia"/>
          <w:color w:val="000000" w:themeColor="text1"/>
          <w:sz w:val="24"/>
          <w14:textFill>
            <w14:solidFill>
              <w14:schemeClr w14:val="tx1"/>
            </w14:solidFill>
          </w14:textFill>
        </w:rPr>
        <w:t>），甲方有权要求乙方限期整改并</w:t>
      </w:r>
      <w:r>
        <w:rPr>
          <w:rFonts w:hint="eastAsia" w:cs="仿宋_GB2312" w:asciiTheme="minorEastAsia" w:hAnsiTheme="minorEastAsia" w:eastAsiaTheme="minorEastAsia"/>
          <w:color w:val="000000" w:themeColor="text1"/>
          <w:sz w:val="24"/>
          <w14:textFill>
            <w14:solidFill>
              <w14:schemeClr w14:val="tx1"/>
            </w14:solidFill>
          </w14:textFill>
        </w:rPr>
        <w:t>按</w:t>
      </w:r>
      <w:r>
        <w:rPr>
          <w:rFonts w:cs="仿宋_GB2312" w:asciiTheme="minorEastAsia" w:hAnsiTheme="minorEastAsia" w:eastAsiaTheme="minorEastAsia"/>
          <w:color w:val="000000" w:themeColor="text1"/>
          <w:sz w:val="24"/>
          <w14:textFill>
            <w14:solidFill>
              <w14:schemeClr w14:val="tx1"/>
            </w14:solidFill>
          </w14:textFill>
        </w:rPr>
        <w:t>500元/次向甲方支付违约金</w:t>
      </w:r>
      <w:r>
        <w:rPr>
          <w:rFonts w:hint="eastAsia" w:cs="仿宋"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若乙方逾期未进行整改或整改后仍未能达到约定的服务标准，甲方有权提前解除本合同，乙方应当承担违约责任并赔偿由此给甲方造成的损失。</w:t>
      </w:r>
    </w:p>
    <w:p w14:paraId="32CA4266">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6</w:t>
      </w:r>
      <w:r>
        <w:rPr>
          <w:rFonts w:hint="eastAsia" w:cs="仿宋" w:asciiTheme="minorEastAsia" w:hAnsiTheme="minorEastAsia" w:eastAsiaTheme="minorEastAsia"/>
          <w:color w:val="000000" w:themeColor="text1"/>
          <w:sz w:val="24"/>
          <w14:textFill>
            <w14:solidFill>
              <w14:schemeClr w14:val="tx1"/>
            </w14:solidFill>
          </w14:textFill>
        </w:rPr>
        <w:t>、乙方在本合同履行期间或终止后，因乙方或乙方人员原因导致甲方或本合同对应服务项目遭受行政处罚的，乙方除应承担全部行政罚款及损失赔偿责任外，合同尚未终止的，甲方有权单方解除本合同并有权要求乙方按照</w:t>
      </w:r>
      <w:r>
        <w:rPr>
          <w:rFonts w:hint="eastAsia" w:cs="仿宋" w:asciiTheme="minorEastAsia" w:hAnsiTheme="minorEastAsia" w:eastAsiaTheme="minorEastAsia"/>
          <w:color w:val="000000" w:themeColor="text1"/>
          <w:sz w:val="24"/>
          <w:lang w:val="en-US" w:eastAsia="zh-CN"/>
          <w14:textFill>
            <w14:solidFill>
              <w14:schemeClr w14:val="tx1"/>
            </w14:solidFill>
          </w14:textFill>
        </w:rPr>
        <w:t>合同总价</w:t>
      </w:r>
      <w:r>
        <w:rPr>
          <w:rFonts w:hint="eastAsia" w:cs="仿宋" w:asciiTheme="minorEastAsia" w:hAnsiTheme="minorEastAsia" w:eastAsiaTheme="minorEastAsia"/>
          <w:color w:val="000000" w:themeColor="text1"/>
          <w:sz w:val="24"/>
          <w14:textFill>
            <w14:solidFill>
              <w14:schemeClr w14:val="tx1"/>
            </w14:solidFill>
          </w14:textFill>
        </w:rPr>
        <w:t>的20%向甲方支付违约金，合同已经终止的，甲方仍有权要求乙方按照</w:t>
      </w:r>
      <w:r>
        <w:rPr>
          <w:rFonts w:hint="eastAsia" w:cs="仿宋" w:asciiTheme="minorEastAsia" w:hAnsiTheme="minorEastAsia" w:eastAsiaTheme="minorEastAsia"/>
          <w:color w:val="000000" w:themeColor="text1"/>
          <w:sz w:val="24"/>
          <w:lang w:val="en-US" w:eastAsia="zh-CN"/>
          <w14:textFill>
            <w14:solidFill>
              <w14:schemeClr w14:val="tx1"/>
            </w14:solidFill>
          </w14:textFill>
        </w:rPr>
        <w:t>合同总价</w:t>
      </w:r>
      <w:r>
        <w:rPr>
          <w:rFonts w:hint="eastAsia" w:cs="仿宋" w:asciiTheme="minorEastAsia" w:hAnsiTheme="minorEastAsia" w:eastAsiaTheme="minorEastAsia"/>
          <w:color w:val="000000" w:themeColor="text1"/>
          <w:sz w:val="24"/>
          <w14:textFill>
            <w14:solidFill>
              <w14:schemeClr w14:val="tx1"/>
            </w14:solidFill>
          </w14:textFill>
        </w:rPr>
        <w:t>的20%向甲方支付违约金；违约金不足以弥补甲方损失，甲方有权要求乙方另行赔偿。</w:t>
      </w:r>
    </w:p>
    <w:p w14:paraId="15DBC73C">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7</w:t>
      </w:r>
      <w:r>
        <w:rPr>
          <w:rFonts w:hint="eastAsia" w:cs="仿宋" w:asciiTheme="minorEastAsia" w:hAnsiTheme="minorEastAsia" w:eastAsiaTheme="minorEastAsia"/>
          <w:color w:val="000000" w:themeColor="text1"/>
          <w:sz w:val="24"/>
          <w14:textFill>
            <w14:solidFill>
              <w14:schemeClr w14:val="tx1"/>
            </w14:solidFill>
          </w14:textFill>
        </w:rPr>
        <w:t>、若乙方人员集体罢工，给甲方工作和声誉造成不良影响的，在接到甲方通知后乙方应及时进行处理并在当天处理完毕。若乙方拒不配合，则甲方有权单方解除本合同，由此给甲方造成的损失均由乙方全额承担，若损失无法确定的，则应支付等额于</w:t>
      </w:r>
      <w:r>
        <w:rPr>
          <w:rFonts w:hint="eastAsia" w:cs="仿宋" w:asciiTheme="minorEastAsia" w:hAnsiTheme="minorEastAsia" w:eastAsiaTheme="minorEastAsia"/>
          <w:color w:val="000000" w:themeColor="text1"/>
          <w:sz w:val="24"/>
          <w:lang w:val="en-US" w:eastAsia="zh-CN"/>
          <w14:textFill>
            <w14:solidFill>
              <w14:schemeClr w14:val="tx1"/>
            </w14:solidFill>
          </w14:textFill>
        </w:rPr>
        <w:t>合同总价</w:t>
      </w:r>
      <w:r>
        <w:rPr>
          <w:rFonts w:hint="eastAsia" w:cs="仿宋" w:asciiTheme="minorEastAsia" w:hAnsiTheme="minorEastAsia" w:eastAsiaTheme="minorEastAsia"/>
          <w:color w:val="000000" w:themeColor="text1"/>
          <w:sz w:val="24"/>
          <w14:textFill>
            <w14:solidFill>
              <w14:schemeClr w14:val="tx1"/>
            </w14:solidFill>
          </w14:textFill>
        </w:rPr>
        <w:t>20%的违约金。</w:t>
      </w:r>
    </w:p>
    <w:p w14:paraId="5EBD26A6">
      <w:pPr>
        <w:spacing w:line="460" w:lineRule="exact"/>
        <w:ind w:firstLine="480" w:firstLineChars="200"/>
        <w:jc w:val="left"/>
        <w:rPr>
          <w:rFonts w:hint="eastAsia" w:cs="仿宋" w:asciiTheme="minorEastAsia" w:hAnsiTheme="minorEastAsia" w:eastAsiaTheme="minorEastAsia"/>
          <w:bCs w:val="0"/>
          <w:iCs w:val="0"/>
          <w:color w:val="000000" w:themeColor="text1"/>
          <w:kern w:val="2"/>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8、乙方未及时发放员工工资及福利等，影响员工工作态度及其服务质量，给甲方企业形象带来负面影响，</w:t>
      </w:r>
      <w:r>
        <w:rPr>
          <w:rFonts w:hint="eastAsia" w:cs="仿宋" w:asciiTheme="minorEastAsia" w:hAnsiTheme="minorEastAsia" w:eastAsiaTheme="minorEastAsia"/>
          <w:bCs w:val="0"/>
          <w:color w:val="000000" w:themeColor="text1"/>
          <w:kern w:val="2"/>
          <w:sz w:val="24"/>
          <w:szCs w:val="24"/>
          <w:highlight w:val="none"/>
          <w14:textFill>
            <w14:solidFill>
              <w14:schemeClr w14:val="tx1"/>
            </w14:solidFill>
          </w14:textFill>
        </w:rPr>
        <w:t>甲方有权单方面解除合同且不承担任何责任</w:t>
      </w:r>
      <w:r>
        <w:rPr>
          <w:rFonts w:hint="eastAsia" w:cs="仿宋" w:asciiTheme="minorEastAsia" w:hAnsiTheme="minorEastAsia" w:eastAsiaTheme="minorEastAsia"/>
          <w:bCs w:val="0"/>
          <w:iCs w:val="0"/>
          <w:color w:val="000000" w:themeColor="text1"/>
          <w:kern w:val="2"/>
          <w:sz w:val="24"/>
          <w:szCs w:val="24"/>
          <w:highlight w:val="none"/>
          <w14:textFill>
            <w14:solidFill>
              <w14:schemeClr w14:val="tx1"/>
            </w14:solidFill>
          </w14:textFill>
        </w:rPr>
        <w:t>。</w:t>
      </w:r>
    </w:p>
    <w:p w14:paraId="2B8E1C51">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9</w:t>
      </w:r>
      <w:r>
        <w:rPr>
          <w:rFonts w:hint="eastAsia" w:cs="仿宋" w:asciiTheme="minorEastAsia" w:hAnsiTheme="minorEastAsia" w:eastAsiaTheme="minorEastAsia"/>
          <w:color w:val="000000" w:themeColor="text1"/>
          <w:sz w:val="24"/>
          <w14:textFill>
            <w14:solidFill>
              <w14:schemeClr w14:val="tx1"/>
            </w14:solidFill>
          </w14:textFill>
        </w:rPr>
        <w:t>、乙方按本合同约定应向甲方承担的违约金、赔偿金、甲方代缴及垫付费用等，甲方有权直接从应付未付的款项中扣减；应付未付的款项不足扣除的，乙方应在接到甲方通知之日起3天内补足；否则，每逾期1 天，乙方应按已扣减款项与应扣减款项之差额的万分之五/每日 的标准向甲方支付违约金，逾期达七日的，甲方有权单方解除本合同。</w:t>
      </w:r>
    </w:p>
    <w:p w14:paraId="19EEF779">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10</w:t>
      </w:r>
      <w:r>
        <w:rPr>
          <w:rFonts w:hint="eastAsia" w:cs="仿宋" w:asciiTheme="minorEastAsia" w:hAnsiTheme="minorEastAsia" w:eastAsiaTheme="minorEastAsia"/>
          <w:color w:val="000000" w:themeColor="text1"/>
          <w:sz w:val="24"/>
          <w14:textFill>
            <w14:solidFill>
              <w14:schemeClr w14:val="tx1"/>
            </w14:solidFill>
          </w14:textFill>
        </w:rPr>
        <w:t>、本合同约定的秩序维护服务，乙方未经甲方书面同意擅自分包、转包或中途退场的，甲方可随时要求解除本合同且乙方应向甲方支付</w:t>
      </w:r>
      <w:r>
        <w:rPr>
          <w:rFonts w:hint="eastAsia" w:cs="仿宋" w:asciiTheme="minorEastAsia" w:hAnsiTheme="minorEastAsia" w:eastAsiaTheme="minorEastAsia"/>
          <w:color w:val="000000" w:themeColor="text1"/>
          <w:sz w:val="24"/>
          <w:lang w:val="en-US" w:eastAsia="zh-CN"/>
          <w14:textFill>
            <w14:solidFill>
              <w14:schemeClr w14:val="tx1"/>
            </w14:solidFill>
          </w14:textFill>
        </w:rPr>
        <w:t>合同总价</w:t>
      </w:r>
      <w:r>
        <w:rPr>
          <w:rFonts w:hint="eastAsia" w:cs="仿宋" w:asciiTheme="minorEastAsia" w:hAnsiTheme="minorEastAsia" w:eastAsiaTheme="minorEastAsia"/>
          <w:color w:val="000000" w:themeColor="text1"/>
          <w:sz w:val="24"/>
          <w14:textFill>
            <w14:solidFill>
              <w14:schemeClr w14:val="tx1"/>
            </w14:solidFill>
          </w14:textFill>
        </w:rPr>
        <w:t>20%的违约金；给甲方造成损失的，甲方有权继续向乙方追偿。</w:t>
      </w:r>
    </w:p>
    <w:p w14:paraId="73B866A0">
      <w:pPr>
        <w:tabs>
          <w:tab w:val="left" w:pos="1710"/>
        </w:tabs>
        <w:spacing w:line="460" w:lineRule="exact"/>
        <w:ind w:firstLine="480" w:firstLineChars="200"/>
        <w:jc w:val="left"/>
        <w:rPr>
          <w:rFonts w:asciiTheme="minorEastAsia" w:hAnsiTheme="minorEastAsia" w:eastAsiaTheme="minorEastAsia" w:cstheme="majorEastAsia"/>
          <w:b/>
          <w:bCs/>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1</w:t>
      </w:r>
      <w:r>
        <w:rPr>
          <w:rFonts w:asciiTheme="minorEastAsia" w:hAnsiTheme="minorEastAsia" w:eastAsiaTheme="minorEastAsia" w:cstheme="majorEastAsia"/>
          <w:color w:val="000000" w:themeColor="text1"/>
          <w:sz w:val="24"/>
          <w14:textFill>
            <w14:solidFill>
              <w14:schemeClr w14:val="tx1"/>
            </w14:solidFill>
          </w14:textFill>
        </w:rPr>
        <w:t>1</w:t>
      </w:r>
      <w:r>
        <w:rPr>
          <w:rFonts w:hint="eastAsia" w:asciiTheme="minorEastAsia" w:hAnsiTheme="minorEastAsia" w:eastAsiaTheme="minorEastAsia" w:cstheme="majorEastAsia"/>
          <w:color w:val="000000" w:themeColor="text1"/>
          <w:sz w:val="24"/>
          <w14:textFill>
            <w14:solidFill>
              <w14:schemeClr w14:val="tx1"/>
            </w14:solidFill>
          </w14:textFill>
        </w:rPr>
        <w:t>、除本合同特别约定外，在合同生效期间内，如任何一方</w:t>
      </w:r>
      <w:r>
        <w:rPr>
          <w:rFonts w:hint="eastAsia" w:asciiTheme="minorEastAsia" w:hAnsiTheme="minorEastAsia" w:eastAsiaTheme="minorEastAsia" w:cstheme="majorEastAsia"/>
          <w:color w:val="000000" w:themeColor="text1"/>
          <w:sz w:val="24"/>
          <w:lang w:eastAsia="zh-CN"/>
          <w14:textFill>
            <w14:solidFill>
              <w14:schemeClr w14:val="tx1"/>
            </w14:solidFill>
          </w14:textFill>
        </w:rPr>
        <w:t>确需</w:t>
      </w:r>
      <w:r>
        <w:rPr>
          <w:rFonts w:hint="eastAsia" w:asciiTheme="minorEastAsia" w:hAnsiTheme="minorEastAsia" w:eastAsiaTheme="minorEastAsia" w:cstheme="majorEastAsia"/>
          <w:color w:val="000000" w:themeColor="text1"/>
          <w:sz w:val="24"/>
          <w14:textFill>
            <w14:solidFill>
              <w14:schemeClr w14:val="tx1"/>
            </w14:solidFill>
          </w14:textFill>
        </w:rPr>
        <w:t>提前解除本合同，必须至少提前30天书面通知另一方，双方就合同善后事宜达成书面一致意见后，可解除本合同。因乙方原因导致无法继续履行合同或乙方擅自单方面解除</w:t>
      </w:r>
      <w:r>
        <w:rPr>
          <w:rFonts w:hint="eastAsia" w:asciiTheme="minorEastAsia" w:hAnsiTheme="minorEastAsia" w:eastAsiaTheme="minorEastAsia" w:cstheme="majorEastAsia"/>
          <w:color w:val="000000" w:themeColor="text1"/>
          <w:sz w:val="24"/>
          <w:lang w:eastAsia="zh-CN"/>
          <w14:textFill>
            <w14:solidFill>
              <w14:schemeClr w14:val="tx1"/>
            </w14:solidFill>
          </w14:textFill>
        </w:rPr>
        <w:t>合同</w:t>
      </w:r>
      <w:r>
        <w:rPr>
          <w:rFonts w:hint="eastAsia" w:asciiTheme="minorEastAsia" w:hAnsiTheme="minorEastAsia" w:eastAsiaTheme="minorEastAsia" w:cstheme="majorEastAsia"/>
          <w:color w:val="000000" w:themeColor="text1"/>
          <w:sz w:val="24"/>
          <w14:textFill>
            <w14:solidFill>
              <w14:schemeClr w14:val="tx1"/>
            </w14:solidFill>
          </w14:textFill>
        </w:rPr>
        <w:t>或因乙方违约导致甲方提前终止合同等均视为乙方违约，乙方需支付合同总价的10%作为违约赔偿金并赔偿甲方因此产生的实际损失（</w:t>
      </w:r>
      <w:r>
        <w:rPr>
          <w:rFonts w:hint="eastAsia" w:ascii="宋体" w:hAnsi="宋体"/>
          <w:color w:val="000000" w:themeColor="text1"/>
          <w:sz w:val="24"/>
          <w:highlight w:val="none"/>
          <w14:textFill>
            <w14:solidFill>
              <w14:schemeClr w14:val="tx1"/>
            </w14:solidFill>
          </w14:textFill>
        </w:rPr>
        <w:t>包含但不限于重新招标期间所</w:t>
      </w:r>
      <w:r>
        <w:rPr>
          <w:rFonts w:hint="eastAsia" w:ascii="宋体" w:hAnsi="宋体"/>
          <w:color w:val="000000" w:themeColor="text1"/>
          <w:sz w:val="24"/>
          <w:highlight w:val="none"/>
          <w:lang w:val="en-US" w:eastAsia="zh-CN"/>
          <w14:textFill>
            <w14:solidFill>
              <w14:schemeClr w14:val="tx1"/>
            </w14:solidFill>
          </w14:textFill>
        </w:rPr>
        <w:t>产生的</w:t>
      </w:r>
      <w:r>
        <w:rPr>
          <w:rFonts w:hint="eastAsia" w:ascii="宋体" w:hAnsi="宋体"/>
          <w:color w:val="000000" w:themeColor="text1"/>
          <w:sz w:val="24"/>
          <w:highlight w:val="none"/>
          <w14:textFill>
            <w14:solidFill>
              <w14:schemeClr w14:val="tx1"/>
            </w14:solidFill>
          </w14:textFill>
        </w:rPr>
        <w:t>临时工费用、由</w:t>
      </w:r>
      <w:r>
        <w:rPr>
          <w:rFonts w:hint="eastAsia" w:ascii="宋体" w:hAnsi="宋体"/>
          <w:color w:val="000000" w:themeColor="text1"/>
          <w:sz w:val="24"/>
          <w:highlight w:val="none"/>
          <w:lang w:val="en-US" w:eastAsia="zh-CN"/>
          <w14:textFill>
            <w14:solidFill>
              <w14:schemeClr w14:val="tx1"/>
            </w14:solidFill>
          </w14:textFill>
        </w:rPr>
        <w:t>于</w:t>
      </w:r>
      <w:r>
        <w:rPr>
          <w:rFonts w:hint="eastAsia" w:ascii="宋体" w:hAnsi="宋体"/>
          <w:color w:val="000000" w:themeColor="text1"/>
          <w:sz w:val="24"/>
          <w:highlight w:val="none"/>
          <w14:textFill>
            <w14:solidFill>
              <w14:schemeClr w14:val="tx1"/>
            </w14:solidFill>
          </w14:textFill>
        </w:rPr>
        <w:t>现场服务脱节业主客诉舆情给甲方造成的损失费用等</w:t>
      </w:r>
      <w:r>
        <w:rPr>
          <w:rFonts w:hint="eastAsia" w:asciiTheme="minorEastAsia" w:hAnsiTheme="minorEastAsia" w:eastAsiaTheme="minorEastAsia" w:cstheme="majorEastAsia"/>
          <w:color w:val="000000" w:themeColor="text1"/>
          <w:sz w:val="24"/>
          <w14:textFill>
            <w14:solidFill>
              <w14:schemeClr w14:val="tx1"/>
            </w14:solidFill>
          </w14:textFill>
        </w:rPr>
        <w:t>）。</w:t>
      </w:r>
    </w:p>
    <w:p w14:paraId="3BD02787">
      <w:pPr>
        <w:spacing w:line="460" w:lineRule="exact"/>
        <w:ind w:firstLine="482" w:firstLineChars="200"/>
        <w:jc w:val="left"/>
        <w:rPr>
          <w:rFonts w:hint="eastAsia" w:asciiTheme="minorEastAsia" w:hAnsiTheme="minorEastAsia" w:eastAsiaTheme="minorEastAsia" w:cstheme="majorEastAsia"/>
          <w:b/>
          <w:bCs/>
          <w:color w:val="000000" w:themeColor="text1"/>
          <w:sz w:val="24"/>
          <w14:textFill>
            <w14:solidFill>
              <w14:schemeClr w14:val="tx1"/>
            </w14:solidFill>
          </w14:textFill>
        </w:rPr>
      </w:pPr>
    </w:p>
    <w:p w14:paraId="5C51AB9A">
      <w:pPr>
        <w:spacing w:line="460" w:lineRule="exact"/>
        <w:ind w:firstLine="482" w:firstLineChars="200"/>
        <w:jc w:val="left"/>
        <w:rPr>
          <w:rFonts w:asciiTheme="minorEastAsia" w:hAnsiTheme="minorEastAsia" w:eastAsiaTheme="minorEastAsia" w:cstheme="majorEastAsia"/>
          <w:b/>
          <w:bCs/>
          <w:color w:val="000000" w:themeColor="text1"/>
          <w:sz w:val="24"/>
          <w14:textFill>
            <w14:solidFill>
              <w14:schemeClr w14:val="tx1"/>
            </w14:solidFill>
          </w14:textFill>
        </w:rPr>
      </w:pPr>
      <w:r>
        <w:rPr>
          <w:rFonts w:hint="eastAsia" w:asciiTheme="minorEastAsia" w:hAnsiTheme="minorEastAsia" w:eastAsiaTheme="minorEastAsia" w:cstheme="majorEastAsia"/>
          <w:b/>
          <w:bCs/>
          <w:color w:val="000000" w:themeColor="text1"/>
          <w:sz w:val="24"/>
          <w14:textFill>
            <w14:solidFill>
              <w14:schemeClr w14:val="tx1"/>
            </w14:solidFill>
          </w14:textFill>
        </w:rPr>
        <w:t>第十二条  争议解决方式</w:t>
      </w:r>
    </w:p>
    <w:p w14:paraId="58F8CA30">
      <w:pPr>
        <w:spacing w:line="460" w:lineRule="exact"/>
        <w:ind w:firstLine="480" w:firstLineChars="200"/>
        <w:jc w:val="left"/>
        <w:rPr>
          <w:rFonts w:hint="eastAsia" w:cs="仿宋"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因本合同履行或与本合同有关的一切争议，由双方优先协商解决；若协商不</w:t>
      </w:r>
      <w:r>
        <w:rPr>
          <w:rFonts w:hint="eastAsia" w:cs="仿宋" w:asciiTheme="minorEastAsia" w:hAnsiTheme="minorEastAsia" w:eastAsiaTheme="minorEastAsia"/>
          <w:color w:val="000000" w:themeColor="text1"/>
          <w:sz w:val="24"/>
          <w14:textFill>
            <w14:solidFill>
              <w14:schemeClr w14:val="tx1"/>
            </w14:solidFill>
          </w14:textFill>
        </w:rPr>
        <w:t>成，任何一方均可向甲方所在地人民法院提起诉讼。</w:t>
      </w:r>
    </w:p>
    <w:p w14:paraId="0F4ACE33">
      <w:pPr>
        <w:spacing w:line="460" w:lineRule="exact"/>
        <w:ind w:firstLine="480" w:firstLineChars="200"/>
        <w:rPr>
          <w:color w:val="000000" w:themeColor="text1"/>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因</w:t>
      </w:r>
      <w:r>
        <w:rPr>
          <w:rFonts w:hint="eastAsia" w:ascii="宋体" w:hAnsi="宋体" w:cs="仿宋_GB2312"/>
          <w:color w:val="000000" w:themeColor="text1"/>
          <w:sz w:val="24"/>
          <w:highlight w:val="none"/>
          <w:lang w:val="en-US" w:eastAsia="zh-CN"/>
          <w14:textFill>
            <w14:solidFill>
              <w14:schemeClr w14:val="tx1"/>
            </w14:solidFill>
          </w14:textFill>
        </w:rPr>
        <w:t>乙方</w:t>
      </w:r>
      <w:r>
        <w:rPr>
          <w:rFonts w:hint="eastAsia" w:ascii="宋体" w:hAnsi="宋体" w:cs="仿宋_GB2312"/>
          <w:color w:val="000000" w:themeColor="text1"/>
          <w:sz w:val="24"/>
          <w:highlight w:val="none"/>
          <w14:textFill>
            <w14:solidFill>
              <w14:schemeClr w14:val="tx1"/>
            </w14:solidFill>
          </w14:textFill>
        </w:rPr>
        <w:t>违约导致</w:t>
      </w:r>
      <w:r>
        <w:rPr>
          <w:rFonts w:hint="eastAsia" w:ascii="宋体" w:hAnsi="宋体" w:cs="仿宋_GB2312"/>
          <w:color w:val="000000" w:themeColor="text1"/>
          <w:sz w:val="24"/>
          <w:highlight w:val="none"/>
          <w:lang w:val="en-US" w:eastAsia="zh-CN"/>
          <w14:textFill>
            <w14:solidFill>
              <w14:schemeClr w14:val="tx1"/>
            </w14:solidFill>
          </w14:textFill>
        </w:rPr>
        <w:t>甲方</w:t>
      </w:r>
      <w:r>
        <w:rPr>
          <w:rFonts w:hint="eastAsia" w:ascii="宋体" w:hAnsi="宋体" w:cs="仿宋_GB2312"/>
          <w:color w:val="000000" w:themeColor="text1"/>
          <w:sz w:val="24"/>
          <w:highlight w:val="none"/>
          <w14:textFill>
            <w14:solidFill>
              <w14:schemeClr w14:val="tx1"/>
            </w14:solidFill>
          </w14:textFill>
        </w:rPr>
        <w:t>提起诉讼/仲裁或须参与到诉讼仲裁程序中的，</w:t>
      </w:r>
      <w:r>
        <w:rPr>
          <w:rFonts w:hint="eastAsia" w:ascii="宋体" w:hAnsi="宋体" w:cs="仿宋_GB2312"/>
          <w:color w:val="000000" w:themeColor="text1"/>
          <w:sz w:val="24"/>
          <w:highlight w:val="none"/>
          <w:lang w:val="en-US" w:eastAsia="zh-CN"/>
          <w14:textFill>
            <w14:solidFill>
              <w14:schemeClr w14:val="tx1"/>
            </w14:solidFill>
          </w14:textFill>
        </w:rPr>
        <w:t>乙方</w:t>
      </w:r>
      <w:r>
        <w:rPr>
          <w:rFonts w:hint="eastAsia" w:ascii="宋体" w:hAnsi="宋体" w:cs="仿宋_GB2312"/>
          <w:color w:val="000000" w:themeColor="text1"/>
          <w:sz w:val="24"/>
          <w:highlight w:val="none"/>
          <w14:textFill>
            <w14:solidFill>
              <w14:schemeClr w14:val="tx1"/>
            </w14:solidFill>
          </w14:textFill>
        </w:rPr>
        <w:t>应承担</w:t>
      </w:r>
      <w:r>
        <w:rPr>
          <w:rFonts w:hint="eastAsia" w:ascii="宋体" w:hAnsi="宋体" w:cs="仿宋_GB2312"/>
          <w:color w:val="000000" w:themeColor="text1"/>
          <w:sz w:val="24"/>
          <w:highlight w:val="none"/>
          <w:lang w:val="en-US" w:eastAsia="zh-CN"/>
          <w14:textFill>
            <w14:solidFill>
              <w14:schemeClr w14:val="tx1"/>
            </w14:solidFill>
          </w14:textFill>
        </w:rPr>
        <w:t>甲方</w:t>
      </w:r>
      <w:r>
        <w:rPr>
          <w:rFonts w:hint="eastAsia" w:ascii="宋体" w:hAnsi="宋体" w:cs="仿宋_GB2312"/>
          <w:color w:val="000000" w:themeColor="text1"/>
          <w:sz w:val="24"/>
          <w:highlight w:val="none"/>
          <w14:textFill>
            <w14:solidFill>
              <w14:schemeClr w14:val="tx1"/>
            </w14:solidFill>
          </w14:textFill>
        </w:rPr>
        <w:t>因此支出的所有费用，包括但不限于诉讼/仲裁费用、保全费用、保全保险或者担保费用、律师费用、公证费、差旅费、鉴定费、</w:t>
      </w:r>
      <w:r>
        <w:rPr>
          <w:rFonts w:hint="eastAsia" w:ascii="宋体" w:hAnsi="宋体" w:cs="仿宋_GB2312"/>
          <w:color w:val="000000" w:themeColor="text1"/>
          <w:sz w:val="24"/>
          <w:highlight w:val="none"/>
          <w:lang w:eastAsia="zh-CN"/>
          <w14:textFill>
            <w14:solidFill>
              <w14:schemeClr w14:val="tx1"/>
            </w14:solidFill>
          </w14:textFill>
        </w:rPr>
        <w:t>审查</w:t>
      </w:r>
      <w:r>
        <w:rPr>
          <w:rFonts w:hint="eastAsia" w:ascii="宋体" w:hAnsi="宋体" w:cs="仿宋_GB2312"/>
          <w:color w:val="000000" w:themeColor="text1"/>
          <w:sz w:val="24"/>
          <w:highlight w:val="none"/>
          <w14:textFill>
            <w14:solidFill>
              <w14:schemeClr w14:val="tx1"/>
            </w14:solidFill>
          </w14:textFill>
        </w:rPr>
        <w:t xml:space="preserve">及评估费、执行费、公告费、拍卖费等 </w:t>
      </w:r>
      <w:r>
        <w:rPr>
          <w:rFonts w:hint="eastAsia" w:ascii="宋体" w:hAnsi="宋体" w:cs="仿宋_GB2312"/>
          <w:color w:val="000000" w:themeColor="text1"/>
          <w:sz w:val="24"/>
          <w:highlight w:val="none"/>
          <w:lang w:eastAsia="zh-CN"/>
          <w14:textFill>
            <w14:solidFill>
              <w14:schemeClr w14:val="tx1"/>
            </w14:solidFill>
          </w14:textFill>
        </w:rPr>
        <w:t>。</w:t>
      </w:r>
    </w:p>
    <w:p w14:paraId="7CF082D4">
      <w:pPr>
        <w:spacing w:line="460" w:lineRule="exact"/>
        <w:jc w:val="left"/>
        <w:rPr>
          <w:rFonts w:cs="仿宋" w:asciiTheme="minorEastAsia" w:hAnsiTheme="minorEastAsia" w:eastAsiaTheme="minorEastAsia"/>
          <w:b/>
          <w:bCs/>
          <w:color w:val="000000" w:themeColor="text1"/>
          <w:sz w:val="24"/>
          <w14:textFill>
            <w14:solidFill>
              <w14:schemeClr w14:val="tx1"/>
            </w14:solidFill>
          </w14:textFill>
        </w:rPr>
      </w:pPr>
    </w:p>
    <w:p w14:paraId="1B413FF2">
      <w:pPr>
        <w:spacing w:line="460" w:lineRule="exact"/>
        <w:ind w:firstLine="482" w:firstLineChars="200"/>
        <w:jc w:val="lef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第十三条  通知</w:t>
      </w:r>
    </w:p>
    <w:p w14:paraId="796D72AF">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根据本合同发出的任何通知，应当采用书面形式，可以通过电子邮件、甲方电子系统、专人递送或特快专递发送到本合同所列地址。如通过专人递送，该通知在接收时视为已经送达；如通过特快专递，该通知在发出后第3日视为已经送达；如通过电子邮件或甲方电子系统，该通知在发出之日视为已经送达。一方变更联系信息，应提前7日将变更内容书面通知另一方。否则，由未通知方承担不利后果。对于本合同明确约定的通知、送达地址，仲裁机构/法院在送达仲裁/诉讼法律文书时可直接邮寄</w:t>
      </w:r>
      <w:r>
        <w:rPr>
          <w:rFonts w:hint="eastAsia" w:cs="仿宋" w:asciiTheme="minorEastAsia" w:hAnsiTheme="minorEastAsia" w:eastAsiaTheme="minorEastAsia"/>
          <w:color w:val="000000" w:themeColor="text1"/>
          <w:sz w:val="24"/>
          <w:lang w:eastAsia="zh-CN"/>
          <w14:textFill>
            <w14:solidFill>
              <w14:schemeClr w14:val="tx1"/>
            </w14:solidFill>
          </w14:textFill>
        </w:rPr>
        <w:t>送达</w:t>
      </w:r>
      <w:r>
        <w:rPr>
          <w:rFonts w:hint="eastAsia" w:cs="仿宋" w:asciiTheme="minorEastAsia" w:hAnsiTheme="minorEastAsia" w:eastAsiaTheme="minorEastAsia"/>
          <w:color w:val="000000" w:themeColor="text1"/>
          <w:sz w:val="24"/>
          <w14:textFill>
            <w14:solidFill>
              <w14:schemeClr w14:val="tx1"/>
            </w14:solidFill>
          </w14:textFill>
        </w:rPr>
        <w:t>该地址，即使甲乙双方或任何一方未能收到仲裁机构/法院邮寄送达的文书，由于其在本合同中的约定，也应当视为送达。</w:t>
      </w:r>
    </w:p>
    <w:p w14:paraId="20CD7F26">
      <w:pPr>
        <w:spacing w:line="460" w:lineRule="exact"/>
        <w:jc w:val="left"/>
        <w:rPr>
          <w:rFonts w:cs="仿宋" w:asciiTheme="minorEastAsia" w:hAnsiTheme="minorEastAsia" w:eastAsiaTheme="minorEastAsia"/>
          <w:b/>
          <w:bCs/>
          <w:color w:val="000000" w:themeColor="text1"/>
          <w:sz w:val="24"/>
          <w14:textFill>
            <w14:solidFill>
              <w14:schemeClr w14:val="tx1"/>
            </w14:solidFill>
          </w14:textFill>
        </w:rPr>
      </w:pPr>
    </w:p>
    <w:p w14:paraId="5F075903">
      <w:pPr>
        <w:spacing w:line="460" w:lineRule="exact"/>
        <w:ind w:firstLine="482" w:firstLineChars="200"/>
        <w:jc w:val="left"/>
        <w:rPr>
          <w:rFonts w:asciiTheme="minorEastAsia" w:hAnsiTheme="minorEastAsia" w:eastAsiaTheme="minorEastAsia" w:cstheme="majorEastAsia"/>
          <w:b/>
          <w:bCs/>
          <w:color w:val="000000" w:themeColor="text1"/>
          <w:sz w:val="24"/>
          <w14:textFill>
            <w14:solidFill>
              <w14:schemeClr w14:val="tx1"/>
            </w14:solidFill>
          </w14:textFill>
        </w:rPr>
      </w:pPr>
      <w:r>
        <w:rPr>
          <w:rFonts w:hint="eastAsia" w:asciiTheme="minorEastAsia" w:hAnsiTheme="minorEastAsia" w:eastAsiaTheme="minorEastAsia" w:cstheme="majorEastAsia"/>
          <w:b/>
          <w:bCs/>
          <w:color w:val="000000" w:themeColor="text1"/>
          <w:sz w:val="24"/>
          <w14:textFill>
            <w14:solidFill>
              <w14:schemeClr w14:val="tx1"/>
            </w14:solidFill>
          </w14:textFill>
        </w:rPr>
        <w:t>第十四条  其他事项</w:t>
      </w:r>
    </w:p>
    <w:p w14:paraId="02DD82DA">
      <w:pPr>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1、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14:paraId="46D18E11">
      <w:pPr>
        <w:adjustRightInd w:val="0"/>
        <w:snapToGrid w:val="0"/>
        <w:spacing w:line="460" w:lineRule="exact"/>
        <w:ind w:firstLine="480" w:firstLineChars="200"/>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2、双方约定的其他事项</w:t>
      </w:r>
    </w:p>
    <w:p w14:paraId="37CFDBBE">
      <w:pPr>
        <w:adjustRightInd w:val="0"/>
        <w:snapToGrid w:val="0"/>
        <w:spacing w:line="460" w:lineRule="exact"/>
        <w:rPr>
          <w:rFonts w:asciiTheme="minorEastAsia" w:hAnsiTheme="minorEastAsia" w:eastAsiaTheme="minorEastAsia" w:cstheme="majorEastAsia"/>
          <w:color w:val="000000" w:themeColor="text1"/>
          <w:sz w:val="24"/>
          <w:u w:val="single"/>
          <w14:textFill>
            <w14:solidFill>
              <w14:schemeClr w14:val="tx1"/>
            </w14:solidFill>
          </w14:textFill>
        </w:rPr>
      </w:pPr>
      <w:r>
        <w:rPr>
          <w:rFonts w:hint="eastAsia" w:asciiTheme="minorEastAsia" w:hAnsiTheme="minorEastAsia" w:eastAsiaTheme="minorEastAsia" w:cstheme="majorEastAsia"/>
          <w:color w:val="000000" w:themeColor="text1"/>
          <w:sz w:val="24"/>
          <w:u w:val="single"/>
          <w14:textFill>
            <w14:solidFill>
              <w14:schemeClr w14:val="tx1"/>
            </w14:solidFill>
          </w14:textFill>
        </w:rPr>
        <w:t xml:space="preserve">                                                                 </w:t>
      </w:r>
    </w:p>
    <w:p w14:paraId="13D80F69">
      <w:pPr>
        <w:adjustRightInd w:val="0"/>
        <w:snapToGrid w:val="0"/>
        <w:spacing w:line="460" w:lineRule="exac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u w:val="single"/>
          <w14:textFill>
            <w14:solidFill>
              <w14:schemeClr w14:val="tx1"/>
            </w14:solidFill>
          </w14:textFill>
        </w:rPr>
        <w:t xml:space="preserve">                                                                 </w:t>
      </w:r>
    </w:p>
    <w:p w14:paraId="004EB397">
      <w:pPr>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3、本合同未尽事宜，由甲乙双方另行协商并签订补充协议，补充协议与本合同具有同等法律效力。</w:t>
      </w:r>
    </w:p>
    <w:p w14:paraId="11D3B766">
      <w:pPr>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4、本合同附件为本合同的有效组成部分，与本合同</w:t>
      </w:r>
      <w:r>
        <w:rPr>
          <w:rFonts w:hint="eastAsia" w:asciiTheme="minorEastAsia" w:hAnsiTheme="minorEastAsia" w:eastAsiaTheme="minorEastAsia" w:cstheme="majorEastAsia"/>
          <w:color w:val="000000" w:themeColor="text1"/>
          <w:sz w:val="24"/>
          <w:lang w:eastAsia="zh-CN"/>
          <w14:textFill>
            <w14:solidFill>
              <w14:schemeClr w14:val="tx1"/>
            </w14:solidFill>
          </w14:textFill>
        </w:rPr>
        <w:t>具有</w:t>
      </w:r>
      <w:r>
        <w:rPr>
          <w:rFonts w:hint="eastAsia" w:asciiTheme="minorEastAsia" w:hAnsiTheme="minorEastAsia" w:eastAsiaTheme="minorEastAsia" w:cstheme="majorEastAsia"/>
          <w:color w:val="000000" w:themeColor="text1"/>
          <w:sz w:val="24"/>
          <w14:textFill>
            <w14:solidFill>
              <w14:schemeClr w14:val="tx1"/>
            </w14:solidFill>
          </w14:textFill>
        </w:rPr>
        <w:t>同等法律效力。</w:t>
      </w:r>
    </w:p>
    <w:p w14:paraId="55B6D7D9">
      <w:pPr>
        <w:spacing w:line="460" w:lineRule="exact"/>
        <w:ind w:firstLine="480" w:firstLineChars="200"/>
        <w:jc w:val="left"/>
        <w:rPr>
          <w:rFonts w:asciiTheme="minorEastAsia" w:hAnsiTheme="minorEastAsia" w:eastAsiaTheme="minorEastAsia" w:cstheme="majorEastAsia"/>
          <w:color w:val="000000" w:themeColor="text1"/>
          <w:sz w:val="24"/>
          <w14:textFill>
            <w14:solidFill>
              <w14:schemeClr w14:val="tx1"/>
            </w14:solidFill>
          </w14:textFill>
        </w:rPr>
      </w:pPr>
      <w:r>
        <w:rPr>
          <w:rFonts w:hint="eastAsia" w:asciiTheme="minorEastAsia" w:hAnsiTheme="minorEastAsia" w:eastAsiaTheme="minorEastAsia" w:cstheme="majorEastAsia"/>
          <w:color w:val="000000" w:themeColor="text1"/>
          <w:sz w:val="24"/>
          <w14:textFill>
            <w14:solidFill>
              <w14:schemeClr w14:val="tx1"/>
            </w14:solidFill>
          </w14:textFill>
        </w:rPr>
        <w:t>5、本合同一式肆份，甲、乙双方各执贰份，均具有同等法律效力，自双方签字盖章之日起生效。</w:t>
      </w:r>
    </w:p>
    <w:p w14:paraId="14D9F1CB">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6、本合同附件：</w:t>
      </w:r>
    </w:p>
    <w:p w14:paraId="6DE8FB2D">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附件一：结算确认单</w:t>
      </w:r>
    </w:p>
    <w:p w14:paraId="3ACAF926">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附件二：“两告知”-告知函</w:t>
      </w:r>
    </w:p>
    <w:p w14:paraId="55784627">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附件三：供应商廉洁诚信承诺书</w:t>
      </w:r>
    </w:p>
    <w:p w14:paraId="2171802E">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附件四：安全生产管理协议书</w:t>
      </w:r>
    </w:p>
    <w:p w14:paraId="4A4C4C37">
      <w:pPr>
        <w:spacing w:line="46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附件五：维序服务品质检查考核表</w:t>
      </w:r>
    </w:p>
    <w:p w14:paraId="5222498D">
      <w:pPr>
        <w:spacing w:line="480" w:lineRule="exact"/>
        <w:jc w:val="left"/>
        <w:rPr>
          <w:rFonts w:cs="仿宋" w:asciiTheme="minorEastAsia" w:hAnsiTheme="minorEastAsia" w:eastAsiaTheme="minorEastAsia"/>
          <w:color w:val="000000" w:themeColor="text1"/>
          <w:sz w:val="24"/>
          <w14:textFill>
            <w14:solidFill>
              <w14:schemeClr w14:val="tx1"/>
            </w14:solidFill>
          </w14:textFill>
        </w:rPr>
      </w:pPr>
    </w:p>
    <w:p w14:paraId="7782620B">
      <w:pPr>
        <w:spacing w:line="480" w:lineRule="exact"/>
        <w:ind w:firstLine="2249"/>
        <w:jc w:val="left"/>
        <w:rPr>
          <w:rFonts w:cs="仿宋" w:asciiTheme="minorEastAsia" w:hAnsiTheme="minorEastAsia" w:eastAsiaTheme="minorEastAsia"/>
          <w:color w:val="000000" w:themeColor="text1"/>
          <w:sz w:val="24"/>
          <w14:textFill>
            <w14:solidFill>
              <w14:schemeClr w14:val="tx1"/>
            </w14:solidFill>
          </w14:textFill>
        </w:rPr>
      </w:pPr>
    </w:p>
    <w:p w14:paraId="1AAA31A8">
      <w:pPr>
        <w:spacing w:line="480" w:lineRule="exact"/>
        <w:jc w:val="left"/>
        <w:rPr>
          <w:rFonts w:cs="仿宋" w:asciiTheme="minorEastAsia" w:hAnsiTheme="minorEastAsia" w:eastAsiaTheme="minorEastAsia"/>
          <w:color w:val="000000" w:themeColor="text1"/>
          <w:sz w:val="24"/>
          <w14:textFill>
            <w14:solidFill>
              <w14:schemeClr w14:val="tx1"/>
            </w14:solidFill>
          </w14:textFill>
        </w:rPr>
      </w:pPr>
    </w:p>
    <w:p w14:paraId="7A8BB4F7">
      <w:pPr>
        <w:spacing w:line="480" w:lineRule="exact"/>
        <w:jc w:val="left"/>
        <w:rPr>
          <w:rFonts w:cs="仿宋" w:asciiTheme="minorEastAsia" w:hAnsiTheme="minorEastAsia" w:eastAsiaTheme="minorEastAsia"/>
          <w:color w:val="000000" w:themeColor="text1"/>
          <w:sz w:val="24"/>
          <w14:textFill>
            <w14:solidFill>
              <w14:schemeClr w14:val="tx1"/>
            </w14:solidFill>
          </w14:textFill>
        </w:rPr>
      </w:pPr>
    </w:p>
    <w:p w14:paraId="3823F889">
      <w:pPr>
        <w:spacing w:line="480" w:lineRule="exact"/>
        <w:jc w:val="left"/>
        <w:rPr>
          <w:rFonts w:cs="仿宋" w:asciiTheme="minorEastAsia" w:hAnsiTheme="minorEastAsia" w:eastAsiaTheme="minorEastAsia"/>
          <w:color w:val="000000" w:themeColor="text1"/>
          <w:sz w:val="24"/>
          <w14:textFill>
            <w14:solidFill>
              <w14:schemeClr w14:val="tx1"/>
            </w14:solidFill>
          </w14:textFill>
        </w:rPr>
      </w:pPr>
    </w:p>
    <w:p w14:paraId="03A7B9DB">
      <w:pPr>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甲方(盖章)：                        </w:t>
      </w:r>
      <w:r>
        <w:rPr>
          <w:rFonts w:cs="仿宋" w:asciiTheme="minorEastAsia" w:hAnsiTheme="minorEastAsia" w:eastAsiaTheme="minorEastAsia"/>
          <w:color w:val="000000" w:themeColor="text1"/>
          <w:sz w:val="24"/>
          <w14:textFill>
            <w14:solidFill>
              <w14:schemeClr w14:val="tx1"/>
            </w14:solidFill>
          </w14:textFill>
        </w:rPr>
        <w:t xml:space="preserve"> </w:t>
      </w:r>
      <w:r>
        <w:rPr>
          <w:rFonts w:hint="eastAsia" w:cs="仿宋" w:asciiTheme="minorEastAsia" w:hAnsiTheme="minorEastAsia" w:eastAsiaTheme="minorEastAsia"/>
          <w:color w:val="000000" w:themeColor="text1"/>
          <w:sz w:val="24"/>
          <w14:textFill>
            <w14:solidFill>
              <w14:schemeClr w14:val="tx1"/>
            </w14:solidFill>
          </w14:textFill>
        </w:rPr>
        <w:t>乙方（盖章）：</w:t>
      </w:r>
    </w:p>
    <w:p w14:paraId="477B0358">
      <w:pPr>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授权代表：                           授权代表： </w:t>
      </w:r>
    </w:p>
    <w:p w14:paraId="12C6EA35">
      <w:pPr>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联系电话：                           联系电话：</w:t>
      </w:r>
    </w:p>
    <w:p w14:paraId="0A380EAE">
      <w:pPr>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日期：                               日期：     </w:t>
      </w:r>
    </w:p>
    <w:p w14:paraId="3A2D809C">
      <w:pPr>
        <w:spacing w:line="240" w:lineRule="auto"/>
        <w:rPr>
          <w:rFonts w:hint="eastAsia"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br w:type="page"/>
      </w:r>
    </w:p>
    <w:p w14:paraId="0467B364">
      <w:pPr>
        <w:spacing w:line="440" w:lineRule="exac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合同附件一：         </w:t>
      </w:r>
    </w:p>
    <w:tbl>
      <w:tblPr>
        <w:tblStyle w:val="20"/>
        <w:tblW w:w="9599" w:type="dxa"/>
        <w:tblInd w:w="-567" w:type="dxa"/>
        <w:tblLayout w:type="fixed"/>
        <w:tblCellMar>
          <w:top w:w="0" w:type="dxa"/>
          <w:left w:w="108" w:type="dxa"/>
          <w:bottom w:w="0" w:type="dxa"/>
          <w:right w:w="108" w:type="dxa"/>
        </w:tblCellMar>
      </w:tblPr>
      <w:tblGrid>
        <w:gridCol w:w="776"/>
        <w:gridCol w:w="1240"/>
        <w:gridCol w:w="1591"/>
        <w:gridCol w:w="1364"/>
        <w:gridCol w:w="1541"/>
        <w:gridCol w:w="1470"/>
        <w:gridCol w:w="1617"/>
      </w:tblGrid>
      <w:tr w14:paraId="3541E50E">
        <w:tblPrEx>
          <w:tblCellMar>
            <w:top w:w="0" w:type="dxa"/>
            <w:left w:w="108" w:type="dxa"/>
            <w:bottom w:w="0" w:type="dxa"/>
            <w:right w:w="108" w:type="dxa"/>
          </w:tblCellMar>
        </w:tblPrEx>
        <w:trPr>
          <w:trHeight w:val="720" w:hRule="atLeast"/>
        </w:trPr>
        <w:tc>
          <w:tcPr>
            <w:tcW w:w="9599" w:type="dxa"/>
            <w:gridSpan w:val="7"/>
            <w:tcBorders>
              <w:top w:val="nil"/>
              <w:left w:val="nil"/>
              <w:bottom w:val="nil"/>
              <w:right w:val="nil"/>
            </w:tcBorders>
            <w:shd w:val="clear" w:color="auto" w:fill="auto"/>
            <w:noWrap/>
            <w:vAlign w:val="center"/>
          </w:tcPr>
          <w:p w14:paraId="41A071C2">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20**年*月份***(项目)秩序服务外包结算单</w:t>
            </w:r>
          </w:p>
        </w:tc>
      </w:tr>
      <w:tr w14:paraId="45A2F0A2">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0B6A">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序号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BBBE">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姓名</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D1F8">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岗位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BFE3">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出勤天数</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D13A">
            <w:pPr>
              <w:widowControl/>
              <w:jc w:val="center"/>
              <w:textAlignment w:val="center"/>
              <w:rPr>
                <w:rFonts w:cs="宋体" w:asciiTheme="minorEastAsia" w:hAnsiTheme="minorEastAsia" w:eastAsiaTheme="minorEastAsia"/>
                <w:color w:val="000000" w:themeColor="text1"/>
                <w:kern w:val="0"/>
                <w:sz w:val="24"/>
                <w:lang w:bidi="ar"/>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月单价</w:t>
            </w:r>
          </w:p>
          <w:p w14:paraId="2E824A92">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（元/月）</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7138">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金额（元）</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2289">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备注</w:t>
            </w:r>
          </w:p>
        </w:tc>
      </w:tr>
      <w:tr w14:paraId="180C602B">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D670">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163">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EC67">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04A4">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000D">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C88">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68B51">
            <w:pPr>
              <w:widowControl/>
              <w:textAlignment w:val="center"/>
              <w:rPr>
                <w:rFonts w:cs="宋体" w:asciiTheme="minorEastAsia" w:hAnsiTheme="minorEastAsia" w:eastAsiaTheme="minorEastAsia"/>
                <w:color w:val="000000" w:themeColor="text1"/>
                <w:sz w:val="24"/>
                <w:u w:val="single"/>
                <w14:textFill>
                  <w14:solidFill>
                    <w14:schemeClr w14:val="tx1"/>
                  </w14:solidFill>
                </w14:textFill>
              </w:rPr>
            </w:pPr>
            <w:r>
              <w:rPr>
                <w:rStyle w:val="38"/>
                <w:rFonts w:hint="default" w:asciiTheme="minorEastAsia" w:hAnsiTheme="minorEastAsia" w:eastAsiaTheme="minorEastAsia"/>
                <w:color w:val="000000" w:themeColor="text1"/>
                <w:lang w:bidi="ar"/>
                <w14:textFill>
                  <w14:solidFill>
                    <w14:schemeClr w14:val="tx1"/>
                  </w14:solidFill>
                </w14:textFill>
              </w:rPr>
              <w:t>月休</w:t>
            </w:r>
            <w:r>
              <w:rPr>
                <w:rStyle w:val="38"/>
                <w:rFonts w:hint="default" w:asciiTheme="minorEastAsia" w:hAnsiTheme="minorEastAsia" w:eastAsiaTheme="minorEastAsia"/>
                <w:color w:val="000000" w:themeColor="text1"/>
                <w:u w:val="single"/>
                <w:lang w:bidi="ar"/>
                <w14:textFill>
                  <w14:solidFill>
                    <w14:schemeClr w14:val="tx1"/>
                  </w14:solidFill>
                </w14:textFill>
              </w:rPr>
              <w:t xml:space="preserve">  天</w:t>
            </w:r>
          </w:p>
        </w:tc>
      </w:tr>
      <w:tr w14:paraId="79A1BBA5">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53C1">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E3F0">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C4E3">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9BD7">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2AC6">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801F">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7DDD">
            <w:pPr>
              <w:jc w:val="center"/>
              <w:rPr>
                <w:rFonts w:cs="宋体" w:asciiTheme="minorEastAsia" w:hAnsiTheme="minorEastAsia" w:eastAsiaTheme="minorEastAsia"/>
                <w:color w:val="000000" w:themeColor="text1"/>
                <w:sz w:val="24"/>
                <w14:textFill>
                  <w14:solidFill>
                    <w14:schemeClr w14:val="tx1"/>
                  </w14:solidFill>
                </w14:textFill>
              </w:rPr>
            </w:pPr>
          </w:p>
        </w:tc>
      </w:tr>
      <w:tr w14:paraId="36DBE739">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93E9">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9A43">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65D9">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62BC">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D60E">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CA54">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B6ED">
            <w:pPr>
              <w:jc w:val="center"/>
              <w:rPr>
                <w:rFonts w:cs="宋体" w:asciiTheme="minorEastAsia" w:hAnsiTheme="minorEastAsia" w:eastAsiaTheme="minorEastAsia"/>
                <w:color w:val="000000" w:themeColor="text1"/>
                <w:sz w:val="24"/>
                <w14:textFill>
                  <w14:solidFill>
                    <w14:schemeClr w14:val="tx1"/>
                  </w14:solidFill>
                </w14:textFill>
              </w:rPr>
            </w:pPr>
          </w:p>
        </w:tc>
      </w:tr>
      <w:tr w14:paraId="36DAF17A">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C4F8">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BA1B">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743E">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F040">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297A">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56C">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2FC7D">
            <w:pPr>
              <w:jc w:val="center"/>
              <w:rPr>
                <w:rFonts w:cs="宋体" w:asciiTheme="minorEastAsia" w:hAnsiTheme="minorEastAsia" w:eastAsiaTheme="minorEastAsia"/>
                <w:color w:val="000000" w:themeColor="text1"/>
                <w:sz w:val="24"/>
                <w14:textFill>
                  <w14:solidFill>
                    <w14:schemeClr w14:val="tx1"/>
                  </w14:solidFill>
                </w14:textFill>
              </w:rPr>
            </w:pPr>
          </w:p>
        </w:tc>
      </w:tr>
      <w:tr w14:paraId="2EDBC583">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3B4">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60F5">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EBD9">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4406">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364D">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92D6">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504C">
            <w:pPr>
              <w:jc w:val="center"/>
              <w:rPr>
                <w:rFonts w:cs="宋体" w:asciiTheme="minorEastAsia" w:hAnsiTheme="minorEastAsia" w:eastAsiaTheme="minorEastAsia"/>
                <w:color w:val="000000" w:themeColor="text1"/>
                <w:sz w:val="24"/>
                <w14:textFill>
                  <w14:solidFill>
                    <w14:schemeClr w14:val="tx1"/>
                  </w14:solidFill>
                </w14:textFill>
              </w:rPr>
            </w:pPr>
          </w:p>
        </w:tc>
      </w:tr>
      <w:tr w14:paraId="05927AD4">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328">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052C">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4DF3">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C65F">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3B65">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807E">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5393">
            <w:pPr>
              <w:jc w:val="center"/>
              <w:rPr>
                <w:rFonts w:cs="宋体" w:asciiTheme="minorEastAsia" w:hAnsiTheme="minorEastAsia" w:eastAsiaTheme="minorEastAsia"/>
                <w:color w:val="000000" w:themeColor="text1"/>
                <w:sz w:val="24"/>
                <w14:textFill>
                  <w14:solidFill>
                    <w14:schemeClr w14:val="tx1"/>
                  </w14:solidFill>
                </w14:textFill>
              </w:rPr>
            </w:pPr>
          </w:p>
        </w:tc>
      </w:tr>
      <w:tr w14:paraId="4482D621">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4398">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9F04">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0827">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FE5D">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094C">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CE99">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4452">
            <w:pPr>
              <w:jc w:val="center"/>
              <w:rPr>
                <w:rFonts w:cs="宋体" w:asciiTheme="minorEastAsia" w:hAnsiTheme="minorEastAsia" w:eastAsiaTheme="minorEastAsia"/>
                <w:color w:val="000000" w:themeColor="text1"/>
                <w:sz w:val="24"/>
                <w14:textFill>
                  <w14:solidFill>
                    <w14:schemeClr w14:val="tx1"/>
                  </w14:solidFill>
                </w14:textFill>
              </w:rPr>
            </w:pPr>
          </w:p>
        </w:tc>
      </w:tr>
      <w:tr w14:paraId="53050C33">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370B">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9D40">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AB8C">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8BD4">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88D2">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1055">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0487">
            <w:pPr>
              <w:jc w:val="center"/>
              <w:rPr>
                <w:rFonts w:cs="宋体" w:asciiTheme="minorEastAsia" w:hAnsiTheme="minorEastAsia" w:eastAsiaTheme="minorEastAsia"/>
                <w:color w:val="000000" w:themeColor="text1"/>
                <w:sz w:val="24"/>
                <w14:textFill>
                  <w14:solidFill>
                    <w14:schemeClr w14:val="tx1"/>
                  </w14:solidFill>
                </w14:textFill>
              </w:rPr>
            </w:pPr>
          </w:p>
        </w:tc>
      </w:tr>
      <w:tr w14:paraId="10192E54">
        <w:tblPrEx>
          <w:tblCellMar>
            <w:top w:w="0" w:type="dxa"/>
            <w:left w:w="108" w:type="dxa"/>
            <w:bottom w:w="0" w:type="dxa"/>
            <w:right w:w="108" w:type="dxa"/>
          </w:tblCellMar>
        </w:tblPrEx>
        <w:trPr>
          <w:trHeight w:val="4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5DE1">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2E64">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0E8">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7D9A">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7C55">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EA6C">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BA22">
            <w:pPr>
              <w:jc w:val="center"/>
              <w:rPr>
                <w:rFonts w:cs="宋体" w:asciiTheme="minorEastAsia" w:hAnsiTheme="minorEastAsia" w:eastAsiaTheme="minorEastAsia"/>
                <w:color w:val="000000" w:themeColor="text1"/>
                <w:sz w:val="24"/>
                <w14:textFill>
                  <w14:solidFill>
                    <w14:schemeClr w14:val="tx1"/>
                  </w14:solidFill>
                </w14:textFill>
              </w:rPr>
            </w:pPr>
          </w:p>
        </w:tc>
      </w:tr>
      <w:tr w14:paraId="55F3B7DD">
        <w:tblPrEx>
          <w:tblCellMar>
            <w:top w:w="0" w:type="dxa"/>
            <w:left w:w="108" w:type="dxa"/>
            <w:bottom w:w="0" w:type="dxa"/>
            <w:right w:w="108" w:type="dxa"/>
          </w:tblCellMar>
        </w:tblPrEx>
        <w:trPr>
          <w:trHeight w:val="55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7F6A">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40DC">
            <w:pPr>
              <w:jc w:val="center"/>
              <w:rPr>
                <w:rFonts w:cs="宋体" w:asciiTheme="minorEastAsia" w:hAnsiTheme="minorEastAsia" w:eastAsiaTheme="minorEastAsia"/>
                <w:color w:val="000000" w:themeColor="text1"/>
                <w:sz w:val="24"/>
                <w14:textFill>
                  <w14:solidFill>
                    <w14:schemeClr w14:val="tx1"/>
                  </w14:solidFill>
                </w14:textFill>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A180">
            <w:pPr>
              <w:jc w:val="center"/>
              <w:rPr>
                <w:rFonts w:cs="宋体" w:asciiTheme="minorEastAsia" w:hAnsiTheme="minorEastAsia" w:eastAsiaTheme="minorEastAsia"/>
                <w:color w:val="000000" w:themeColor="text1"/>
                <w:sz w:val="24"/>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3EA0">
            <w:pPr>
              <w:jc w:val="center"/>
              <w:rPr>
                <w:rFonts w:cs="宋体" w:asciiTheme="minorEastAsia" w:hAnsiTheme="minorEastAsia" w:eastAsiaTheme="minorEastAsia"/>
                <w:color w:val="000000" w:themeColor="text1"/>
                <w:sz w:val="24"/>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3806">
            <w:pPr>
              <w:jc w:val="center"/>
              <w:rPr>
                <w:rFonts w:cs="宋体" w:asciiTheme="minorEastAsia" w:hAnsiTheme="minorEastAsia" w:eastAsiaTheme="minorEastAsia"/>
                <w:color w:val="000000" w:themeColor="text1"/>
                <w:sz w:val="24"/>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7BD2">
            <w:pPr>
              <w:jc w:val="center"/>
              <w:rPr>
                <w:rFonts w:cs="宋体" w:asciiTheme="minorEastAsia" w:hAnsiTheme="minorEastAsia" w:eastAsiaTheme="minorEastAsia"/>
                <w:color w:val="000000" w:themeColor="text1"/>
                <w:sz w:val="24"/>
                <w14:textFill>
                  <w14:solidFill>
                    <w14:schemeClr w14:val="tx1"/>
                  </w14:solidFill>
                </w14:textFill>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847E9">
            <w:pPr>
              <w:jc w:val="center"/>
              <w:rPr>
                <w:rFonts w:cs="宋体" w:asciiTheme="minorEastAsia" w:hAnsiTheme="minorEastAsia" w:eastAsiaTheme="minorEastAsia"/>
                <w:color w:val="000000" w:themeColor="text1"/>
                <w:sz w:val="24"/>
                <w14:textFill>
                  <w14:solidFill>
                    <w14:schemeClr w14:val="tx1"/>
                  </w14:solidFill>
                </w14:textFill>
              </w:rPr>
            </w:pPr>
          </w:p>
        </w:tc>
      </w:tr>
      <w:tr w14:paraId="4681E362">
        <w:tblPrEx>
          <w:tblCellMar>
            <w:top w:w="0" w:type="dxa"/>
            <w:left w:w="108" w:type="dxa"/>
            <w:bottom w:w="0" w:type="dxa"/>
            <w:right w:w="108" w:type="dxa"/>
          </w:tblCellMar>
        </w:tblPrEx>
        <w:trPr>
          <w:trHeight w:val="559" w:hRule="atLeast"/>
        </w:trPr>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ED274">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费用合计（元）</w:t>
            </w:r>
          </w:p>
        </w:tc>
        <w:tc>
          <w:tcPr>
            <w:tcW w:w="4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71198">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r>
      <w:tr w14:paraId="773D44F6">
        <w:tblPrEx>
          <w:tblCellMar>
            <w:top w:w="0" w:type="dxa"/>
            <w:left w:w="108" w:type="dxa"/>
            <w:bottom w:w="0" w:type="dxa"/>
            <w:right w:w="108" w:type="dxa"/>
          </w:tblCellMar>
        </w:tblPrEx>
        <w:trPr>
          <w:trHeight w:val="604" w:hRule="atLeast"/>
        </w:trPr>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CF6AA">
            <w:pPr>
              <w:widowControl/>
              <w:jc w:val="center"/>
              <w:textAlignment w:val="center"/>
              <w:rPr>
                <w:rFonts w:cs="宋体" w:asciiTheme="minorEastAsia" w:hAnsiTheme="minorEastAsia" w:eastAsiaTheme="minorEastAsia"/>
                <w:color w:val="000000" w:themeColor="text1"/>
                <w:kern w:val="0"/>
                <w:sz w:val="24"/>
                <w:lang w:bidi="ar"/>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扣款金额（元）</w:t>
            </w:r>
          </w:p>
        </w:tc>
        <w:tc>
          <w:tcPr>
            <w:tcW w:w="4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E9E77">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r>
      <w:tr w14:paraId="48B5BFBA">
        <w:tblPrEx>
          <w:tblCellMar>
            <w:top w:w="0" w:type="dxa"/>
            <w:left w:w="108" w:type="dxa"/>
            <w:bottom w:w="0" w:type="dxa"/>
            <w:right w:w="108" w:type="dxa"/>
          </w:tblCellMar>
        </w:tblPrEx>
        <w:trPr>
          <w:trHeight w:val="3443" w:hRule="atLeast"/>
        </w:trPr>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5F18B">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扣款情况说明</w:t>
            </w:r>
          </w:p>
        </w:tc>
        <w:tc>
          <w:tcPr>
            <w:tcW w:w="4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0B57E">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r>
      <w:tr w14:paraId="789946EB">
        <w:tblPrEx>
          <w:tblCellMar>
            <w:top w:w="0" w:type="dxa"/>
            <w:left w:w="108" w:type="dxa"/>
            <w:bottom w:w="0" w:type="dxa"/>
            <w:right w:w="108" w:type="dxa"/>
          </w:tblCellMar>
        </w:tblPrEx>
        <w:trPr>
          <w:trHeight w:val="582" w:hRule="atLeast"/>
        </w:trPr>
        <w:tc>
          <w:tcPr>
            <w:tcW w:w="4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457D5">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实际结算费用（元）</w:t>
            </w:r>
          </w:p>
        </w:tc>
        <w:tc>
          <w:tcPr>
            <w:tcW w:w="4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BCA70">
            <w:pPr>
              <w:widowControl/>
              <w:jc w:val="center"/>
              <w:textAlignment w:val="center"/>
              <w:rPr>
                <w:rFonts w:cs="宋体" w:asciiTheme="minorEastAsia" w:hAnsiTheme="minorEastAsia" w:eastAsiaTheme="minorEastAsia"/>
                <w:b/>
                <w:bCs/>
                <w:color w:val="000000" w:themeColor="text1"/>
                <w:sz w:val="24"/>
                <w14:textFill>
                  <w14:solidFill>
                    <w14:schemeClr w14:val="tx1"/>
                  </w14:solidFill>
                </w14:textFill>
              </w:rPr>
            </w:pPr>
          </w:p>
        </w:tc>
      </w:tr>
      <w:tr w14:paraId="26A28E16">
        <w:tblPrEx>
          <w:tblCellMar>
            <w:top w:w="0" w:type="dxa"/>
            <w:left w:w="108" w:type="dxa"/>
            <w:bottom w:w="0" w:type="dxa"/>
            <w:right w:w="108" w:type="dxa"/>
          </w:tblCellMar>
        </w:tblPrEx>
        <w:trPr>
          <w:trHeight w:val="409" w:hRule="atLeast"/>
        </w:trPr>
        <w:tc>
          <w:tcPr>
            <w:tcW w:w="3607" w:type="dxa"/>
            <w:gridSpan w:val="3"/>
            <w:tcBorders>
              <w:top w:val="nil"/>
              <w:left w:val="nil"/>
              <w:bottom w:val="nil"/>
              <w:right w:val="nil"/>
            </w:tcBorders>
            <w:shd w:val="clear" w:color="auto" w:fill="auto"/>
            <w:vAlign w:val="center"/>
          </w:tcPr>
          <w:p w14:paraId="25ACDCA2">
            <w:pPr>
              <w:widowControl/>
              <w:jc w:val="left"/>
              <w:textAlignment w:val="center"/>
              <w:rPr>
                <w:rFonts w:cs="宋体" w:asciiTheme="minorEastAsia" w:hAnsiTheme="minorEastAsia" w:eastAsiaTheme="minorEastAsia"/>
                <w:color w:val="000000" w:themeColor="text1"/>
                <w:kern w:val="0"/>
                <w:sz w:val="24"/>
                <w:lang w:bidi="ar"/>
                <w14:textFill>
                  <w14:solidFill>
                    <w14:schemeClr w14:val="tx1"/>
                  </w14:solidFill>
                </w14:textFill>
              </w:rPr>
            </w:pPr>
          </w:p>
          <w:p w14:paraId="0D559B8A">
            <w:pPr>
              <w:widowControl/>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甲方经办人签字：</w:t>
            </w:r>
          </w:p>
        </w:tc>
        <w:tc>
          <w:tcPr>
            <w:tcW w:w="5992" w:type="dxa"/>
            <w:gridSpan w:val="4"/>
            <w:tcBorders>
              <w:top w:val="nil"/>
              <w:left w:val="nil"/>
              <w:bottom w:val="nil"/>
              <w:right w:val="nil"/>
            </w:tcBorders>
            <w:shd w:val="clear" w:color="auto" w:fill="auto"/>
            <w:vAlign w:val="center"/>
          </w:tcPr>
          <w:p w14:paraId="10CBF242">
            <w:pPr>
              <w:widowControl/>
              <w:jc w:val="left"/>
              <w:textAlignment w:val="center"/>
              <w:rPr>
                <w:rFonts w:cs="宋体" w:asciiTheme="minorEastAsia" w:hAnsiTheme="minorEastAsia" w:eastAsiaTheme="minorEastAsia"/>
                <w:color w:val="000000" w:themeColor="text1"/>
                <w:kern w:val="0"/>
                <w:sz w:val="24"/>
                <w:lang w:bidi="ar"/>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 xml:space="preserve">  </w:t>
            </w:r>
          </w:p>
          <w:p w14:paraId="1A74EB01">
            <w:pPr>
              <w:widowControl/>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 xml:space="preserve"> 外包单位盖章/人员签字：    </w:t>
            </w:r>
          </w:p>
        </w:tc>
      </w:tr>
    </w:tbl>
    <w:p w14:paraId="1DE5591F">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0DEA0849">
      <w:pPr>
        <w:widowControl/>
        <w:spacing w:line="240" w:lineRule="auto"/>
        <w:rPr>
          <w:rFonts w:hint="eastAsia"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br w:type="page"/>
      </w:r>
    </w:p>
    <w:p w14:paraId="5E8F5543">
      <w:pPr>
        <w:widowControl/>
        <w:spacing w:line="240" w:lineRule="auto"/>
        <w:jc w:val="left"/>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合同附件二： </w:t>
      </w:r>
      <w:r>
        <w:rPr>
          <w:rFonts w:hint="eastAsia" w:cs="仿宋" w:asciiTheme="minorEastAsia" w:hAnsiTheme="minorEastAsia" w:eastAsiaTheme="minorEastAsia"/>
          <w:b/>
          <w:bCs/>
          <w:color w:val="000000" w:themeColor="text1"/>
          <w:sz w:val="24"/>
          <w14:textFill>
            <w14:solidFill>
              <w14:schemeClr w14:val="tx1"/>
            </w14:solidFill>
          </w14:textFill>
        </w:rPr>
        <w:t xml:space="preserve">        </w:t>
      </w:r>
    </w:p>
    <w:p w14:paraId="30412CC4">
      <w:pPr>
        <w:widowControl/>
        <w:spacing w:line="360" w:lineRule="auto"/>
        <w:ind w:firstLine="2168" w:firstLineChars="9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“两告知”-告知函</w:t>
      </w:r>
    </w:p>
    <w:p w14:paraId="08578A59">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致：</w:t>
      </w:r>
      <w:r>
        <w:rPr>
          <w:rFonts w:cs="仿宋" w:asciiTheme="minorEastAsia" w:hAnsiTheme="minorEastAsia" w:eastAsiaTheme="minorEastAsia"/>
          <w:color w:val="000000" w:themeColor="text1"/>
          <w:sz w:val="24"/>
          <w14:textFill>
            <w14:solidFill>
              <w14:schemeClr w14:val="tx1"/>
            </w14:solidFill>
          </w14:textFill>
        </w:rPr>
        <w:t xml:space="preserve"> </w:t>
      </w:r>
    </w:p>
    <w:p w14:paraId="1B3D7F78">
      <w:pPr>
        <w:widowControl/>
        <w:spacing w:line="360" w:lineRule="auto"/>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为切实加强我司党风廉政建设,在实际工作中全面落实党员干部职工廉洁自律要求，确保我司采购活动的规范与廉洁，从源头上预防和遏制违法违纪问题的发生，特作以下告知:</w:t>
      </w:r>
    </w:p>
    <w:p w14:paraId="41174976">
      <w:pPr>
        <w:widowControl/>
        <w:spacing w:line="360" w:lineRule="auto"/>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一、合作单位发现我司工作人员存在说情打招呼行为的要及时反馈。</w:t>
      </w:r>
    </w:p>
    <w:p w14:paraId="247FFB79">
      <w:pPr>
        <w:widowControl/>
        <w:spacing w:line="360" w:lineRule="auto"/>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二、中标单位发现我司工作人员存在</w:t>
      </w:r>
      <w:r>
        <w:rPr>
          <w:rFonts w:hint="eastAsia" w:cs="仿宋" w:asciiTheme="minorEastAsia" w:hAnsiTheme="minorEastAsia" w:eastAsiaTheme="minorEastAsia"/>
          <w:color w:val="000000" w:themeColor="text1"/>
          <w:sz w:val="24"/>
          <w:lang w:eastAsia="zh-CN"/>
          <w14:textFill>
            <w14:solidFill>
              <w14:schemeClr w14:val="tx1"/>
            </w14:solidFill>
          </w14:textFill>
        </w:rPr>
        <w:t>利用职权</w:t>
      </w:r>
      <w:r>
        <w:rPr>
          <w:rFonts w:hint="eastAsia" w:cs="仿宋" w:asciiTheme="minorEastAsia" w:hAnsiTheme="minorEastAsia" w:eastAsiaTheme="minorEastAsia"/>
          <w:color w:val="000000" w:themeColor="text1"/>
          <w:sz w:val="24"/>
          <w14:textFill>
            <w14:solidFill>
              <w14:schemeClr w14:val="tx1"/>
            </w14:solidFill>
          </w14:textFill>
        </w:rPr>
        <w:t>或影响力索贿、吃拿卡要等违规违纪行为要及时反馈。</w:t>
      </w:r>
    </w:p>
    <w:p w14:paraId="75190144">
      <w:pPr>
        <w:widowControl/>
        <w:spacing w:line="360" w:lineRule="auto"/>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反馈地址及联系电话：厦门市思明区体育路41号顺承大厦6楼国贸服务纪检监察室，0592-2990836。</w:t>
      </w:r>
    </w:p>
    <w:p w14:paraId="3B17854A">
      <w:pPr>
        <w:widowControl/>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此告知函加盖本公司公章后生效。</w:t>
      </w:r>
    </w:p>
    <w:p w14:paraId="1E519809">
      <w:pPr>
        <w:widowControl/>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特此函告。</w:t>
      </w:r>
    </w:p>
    <w:p w14:paraId="3105DDBF">
      <w:pPr>
        <w:widowControl/>
        <w:spacing w:line="360" w:lineRule="auto"/>
        <w:ind w:firstLine="2249"/>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            厦门国贸城市服务集团股份有限公司</w:t>
      </w:r>
    </w:p>
    <w:p w14:paraId="2FC180F3">
      <w:pPr>
        <w:widowControl/>
        <w:spacing w:line="360" w:lineRule="auto"/>
        <w:ind w:firstLine="2249"/>
        <w:jc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         年   月   日</w:t>
      </w:r>
    </w:p>
    <w:p w14:paraId="5BB57751">
      <w:pPr>
        <w:widowControl/>
        <w:spacing w:line="360" w:lineRule="auto"/>
        <w:ind w:firstLine="2249"/>
        <w:jc w:val="left"/>
        <w:rPr>
          <w:rFonts w:cs="仿宋" w:asciiTheme="minorEastAsia" w:hAnsiTheme="minorEastAsia" w:eastAsiaTheme="minorEastAsia"/>
          <w:color w:val="000000" w:themeColor="text1"/>
          <w:sz w:val="24"/>
          <w14:textFill>
            <w14:solidFill>
              <w14:schemeClr w14:val="tx1"/>
            </w14:solidFill>
          </w14:textFill>
        </w:rPr>
      </w:pPr>
    </w:p>
    <w:p w14:paraId="26CCFB82">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合作单位签收：</w:t>
      </w:r>
      <w:r>
        <w:rPr>
          <w:rFonts w:cs="仿宋" w:asciiTheme="minorEastAsia" w:hAnsiTheme="minorEastAsia" w:eastAsiaTheme="minorEastAsia"/>
          <w:color w:val="000000" w:themeColor="text1"/>
          <w:sz w:val="24"/>
          <w14:textFill>
            <w14:solidFill>
              <w14:schemeClr w14:val="tx1"/>
            </w14:solidFill>
          </w14:textFill>
        </w:rPr>
        <w:t xml:space="preserve"> </w:t>
      </w:r>
    </w:p>
    <w:p w14:paraId="31776541">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法定代表人（或授权代表）：</w:t>
      </w:r>
    </w:p>
    <w:p w14:paraId="0E3B9B42">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联系电话：</w:t>
      </w:r>
    </w:p>
    <w:p w14:paraId="243423AD">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日期：</w:t>
      </w:r>
    </w:p>
    <w:p w14:paraId="32E672E1">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302C13EE">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02C7F320">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0DACE2CA">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1799AF7E">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38869C13">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79C7D5AE">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564877FE">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643EB269">
      <w:pPr>
        <w:widowControl/>
        <w:spacing w:line="240" w:lineRule="auto"/>
        <w:jc w:val="left"/>
        <w:rPr>
          <w:rFonts w:hint="eastAsia"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br w:type="page"/>
      </w:r>
    </w:p>
    <w:p w14:paraId="700E7B32">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合同附件三：</w:t>
      </w:r>
    </w:p>
    <w:p w14:paraId="208AC9CF">
      <w:pPr>
        <w:widowControl/>
        <w:spacing w:line="360" w:lineRule="auto"/>
        <w:ind w:firstLine="2560"/>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供应商廉洁诚信承诺书</w:t>
      </w:r>
    </w:p>
    <w:p w14:paraId="74ED6071">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致：                               </w:t>
      </w:r>
    </w:p>
    <w:p w14:paraId="538A8E11">
      <w:pPr>
        <w:widowControl/>
        <w:spacing w:line="48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承诺方系贵司的供应商、服务商或合作商，在相关业务活动(包括但不限于交易洽谈、供货、服务、承揽、技术合作交流、付款)中接触贵司相关人员和资讯，在廉洁义务和操守方面做出如下承诺：</w:t>
      </w:r>
    </w:p>
    <w:p w14:paraId="5531729F">
      <w:pPr>
        <w:widowControl/>
        <w:spacing w:line="48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一、自觉遵守国家</w:t>
      </w:r>
      <w:r>
        <w:rPr>
          <w:rFonts w:hint="eastAsia" w:cs="仿宋" w:asciiTheme="minorEastAsia" w:hAnsiTheme="minorEastAsia" w:eastAsiaTheme="minorEastAsia"/>
          <w:color w:val="000000" w:themeColor="text1"/>
          <w:sz w:val="24"/>
          <w:lang w:eastAsia="zh-CN"/>
          <w14:textFill>
            <w14:solidFill>
              <w14:schemeClr w14:val="tx1"/>
            </w14:solidFill>
          </w14:textFill>
        </w:rPr>
        <w:t>法律法规</w:t>
      </w:r>
      <w:r>
        <w:rPr>
          <w:rFonts w:hint="eastAsia" w:cs="仿宋" w:asciiTheme="minorEastAsia" w:hAnsiTheme="minorEastAsia" w:eastAsiaTheme="minorEastAsia"/>
          <w:color w:val="000000" w:themeColor="text1"/>
          <w:sz w:val="24"/>
          <w14:textFill>
            <w14:solidFill>
              <w14:schemeClr w14:val="tx1"/>
            </w14:solidFill>
          </w14:textFill>
        </w:rPr>
        <w:t>，按照《中国共产党纪律处分条例</w:t>
      </w:r>
      <w:r>
        <w:rPr>
          <w:rFonts w:hint="eastAsia" w:cs="仿宋" w:asciiTheme="minorEastAsia" w:hAnsiTheme="minorEastAsia" w:eastAsiaTheme="minorEastAsia"/>
          <w:color w:val="000000" w:themeColor="text1"/>
          <w:sz w:val="24"/>
          <w:lang w:eastAsia="zh-CN"/>
          <w14:textFill>
            <w14:solidFill>
              <w14:schemeClr w14:val="tx1"/>
            </w14:solidFill>
          </w14:textFill>
        </w:rPr>
        <w:t>》《</w:t>
      </w:r>
      <w:r>
        <w:rPr>
          <w:rFonts w:hint="eastAsia" w:cs="仿宋" w:asciiTheme="minorEastAsia" w:hAnsiTheme="minorEastAsia" w:eastAsiaTheme="minorEastAsia"/>
          <w:color w:val="000000" w:themeColor="text1"/>
          <w:sz w:val="24"/>
          <w14:textFill>
            <w14:solidFill>
              <w14:schemeClr w14:val="tx1"/>
            </w14:solidFill>
          </w14:textFill>
        </w:rPr>
        <w:t>中华人民共和国反不正当竞争法</w:t>
      </w:r>
      <w:r>
        <w:rPr>
          <w:rFonts w:hint="eastAsia" w:cs="仿宋" w:asciiTheme="minorEastAsia" w:hAnsiTheme="minorEastAsia" w:eastAsiaTheme="minorEastAsia"/>
          <w:color w:val="000000" w:themeColor="text1"/>
          <w:sz w:val="24"/>
          <w:lang w:eastAsia="zh-CN"/>
          <w14:textFill>
            <w14:solidFill>
              <w14:schemeClr w14:val="tx1"/>
            </w14:solidFill>
          </w14:textFill>
        </w:rPr>
        <w:t>》《</w:t>
      </w:r>
      <w:r>
        <w:rPr>
          <w:rFonts w:hint="eastAsia" w:cs="仿宋" w:asciiTheme="minorEastAsia" w:hAnsiTheme="minorEastAsia" w:eastAsiaTheme="minorEastAsia"/>
          <w:color w:val="000000" w:themeColor="text1"/>
          <w:sz w:val="24"/>
          <w14:textFill>
            <w14:solidFill>
              <w14:schemeClr w14:val="tx1"/>
            </w14:solidFill>
          </w14:textFill>
        </w:rPr>
        <w:t>关于禁止商业贿赂行为的暂行规定</w:t>
      </w:r>
      <w:r>
        <w:rPr>
          <w:rFonts w:hint="eastAsia" w:cs="仿宋" w:asciiTheme="minorEastAsia" w:hAnsiTheme="minorEastAsia" w:eastAsiaTheme="minorEastAsia"/>
          <w:color w:val="000000" w:themeColor="text1"/>
          <w:sz w:val="24"/>
          <w:lang w:eastAsia="zh-CN"/>
          <w14:textFill>
            <w14:solidFill>
              <w14:schemeClr w14:val="tx1"/>
            </w14:solidFill>
          </w14:textFill>
        </w:rPr>
        <w:t>》《中华人民共和国招标投标法</w:t>
      </w:r>
      <w:r>
        <w:rPr>
          <w:rFonts w:hint="eastAsia" w:cs="仿宋" w:asciiTheme="minorEastAsia" w:hAnsiTheme="minorEastAsia" w:eastAsiaTheme="minorEastAsia"/>
          <w:color w:val="000000" w:themeColor="text1"/>
          <w:sz w:val="24"/>
          <w14:textFill>
            <w14:solidFill>
              <w14:schemeClr w14:val="tx1"/>
            </w14:solidFill>
          </w14:textFill>
        </w:rPr>
        <w:t>》以及有关要求进行各项业务活动。</w:t>
      </w:r>
    </w:p>
    <w:p w14:paraId="37C448F3">
      <w:pPr>
        <w:widowControl/>
        <w:spacing w:line="48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二、不向贵司的工作人员及其亲属馈赠礼金、礼品（含有价证券）；不向贵司的工作人员提供任何应由其个人支付报酬的劳务和</w:t>
      </w:r>
      <w:r>
        <w:rPr>
          <w:rFonts w:hint="eastAsia" w:cs="仿宋" w:asciiTheme="minorEastAsia" w:hAnsiTheme="minorEastAsia" w:eastAsiaTheme="minorEastAsia"/>
          <w:color w:val="000000" w:themeColor="text1"/>
          <w:sz w:val="24"/>
          <w:lang w:eastAsia="zh-CN"/>
          <w14:textFill>
            <w14:solidFill>
              <w14:schemeClr w14:val="tx1"/>
            </w14:solidFill>
          </w14:textFill>
        </w:rPr>
        <w:t>其他</w:t>
      </w:r>
      <w:r>
        <w:rPr>
          <w:rFonts w:hint="eastAsia" w:cs="仿宋" w:asciiTheme="minorEastAsia" w:hAnsiTheme="minorEastAsia" w:eastAsiaTheme="minorEastAsia"/>
          <w:color w:val="000000" w:themeColor="text1"/>
          <w:sz w:val="24"/>
          <w14:textFill>
            <w14:solidFill>
              <w14:schemeClr w14:val="tx1"/>
            </w14:solidFill>
          </w14:textFill>
        </w:rPr>
        <w:t>服务；不为贵司的工作人员安排可能影响公正执行公务的任何活动；不为贵司的工作人员支付应由其个人支付的任何赞助费、宣传费、咨询费、劳务费等；不为贵司工作人员报销任何名义的个人消费凭证。</w:t>
      </w:r>
    </w:p>
    <w:p w14:paraId="27B9CD5D">
      <w:pPr>
        <w:widowControl/>
        <w:spacing w:line="48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0E7C3FFA">
      <w:pPr>
        <w:widowControl/>
        <w:spacing w:line="480" w:lineRule="exact"/>
        <w:ind w:firstLine="480" w:firstLineChars="20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四、承诺方在与贵司达成和交易履行过程中，提供的资质证明、证照、企业及个人资料、住所、产品名称、规格、品质、服务标准、票据、权证、权利限制均为真实，不存在虚假、</w:t>
      </w:r>
      <w:r>
        <w:rPr>
          <w:rFonts w:hint="eastAsia" w:cs="仿宋" w:asciiTheme="minorEastAsia" w:hAnsiTheme="minorEastAsia" w:eastAsiaTheme="minorEastAsia"/>
          <w:color w:val="000000" w:themeColor="text1"/>
          <w:sz w:val="24"/>
          <w:lang w:eastAsia="zh-CN"/>
          <w14:textFill>
            <w14:solidFill>
              <w14:schemeClr w14:val="tx1"/>
            </w14:solidFill>
          </w14:textFill>
        </w:rPr>
        <w:t>欺瞒</w:t>
      </w:r>
      <w:r>
        <w:rPr>
          <w:rFonts w:hint="eastAsia" w:cs="仿宋" w:asciiTheme="minorEastAsia" w:hAnsiTheme="minorEastAsia" w:eastAsiaTheme="minorEastAsia"/>
          <w:color w:val="000000" w:themeColor="text1"/>
          <w:sz w:val="24"/>
          <w14:textFill>
            <w14:solidFill>
              <w14:schemeClr w14:val="tx1"/>
            </w14:solidFill>
          </w14:textFill>
        </w:rPr>
        <w:t>、伪造、变造行为，如上述情况发生变更，承诺方需在5个工作日内通知贵司备案存档。</w:t>
      </w:r>
    </w:p>
    <w:p w14:paraId="1646C99E">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五、承诺方禁止提供仿冒品（包括但不限于如贴牌、</w:t>
      </w:r>
      <w:r>
        <w:rPr>
          <w:rFonts w:hint="eastAsia" w:cs="仿宋" w:asciiTheme="minorEastAsia" w:hAnsiTheme="minorEastAsia" w:eastAsiaTheme="minorEastAsia"/>
          <w:color w:val="000000" w:themeColor="text1"/>
          <w:sz w:val="24"/>
          <w:lang w:eastAsia="zh-CN"/>
          <w14:textFill>
            <w14:solidFill>
              <w14:schemeClr w14:val="tx1"/>
            </w14:solidFill>
          </w14:textFill>
        </w:rPr>
        <w:t>掺杂掺假</w:t>
      </w:r>
      <w:r>
        <w:rPr>
          <w:rFonts w:hint="eastAsia" w:cs="仿宋" w:asciiTheme="minorEastAsia" w:hAnsiTheme="minorEastAsia" w:eastAsiaTheme="minorEastAsia"/>
          <w:color w:val="000000" w:themeColor="text1"/>
          <w:sz w:val="24"/>
          <w14:textFill>
            <w14:solidFill>
              <w14:schemeClr w14:val="tx1"/>
            </w14:solidFill>
          </w14:textFill>
        </w:rPr>
        <w:t>，以次充好，以旧冒新、以不合格冒充合格）或不符合贵司所需规格之商品提供贵司使用。</w:t>
      </w:r>
    </w:p>
    <w:p w14:paraId="5D4B26E1">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14:paraId="0F8B74F0">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七、为净化采购相关秩序及环境，可发送电子邮件至贵司进行投诉或申报，须记载确实之内容或证据线索及联络方式。投诉将由贵司监察室处理及回复并保密，如属实，举报人（单位）将获得额外的现金奖励。</w:t>
      </w:r>
    </w:p>
    <w:p w14:paraId="754D860A">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八、违约责任</w:t>
      </w:r>
    </w:p>
    <w:p w14:paraId="40E9CC17">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14:paraId="0D19D656">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九、自觉接受监督。</w:t>
      </w:r>
    </w:p>
    <w:p w14:paraId="26C08F53">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特此承诺。</w:t>
      </w:r>
    </w:p>
    <w:p w14:paraId="12751CFC">
      <w:pPr>
        <w:widowControl/>
        <w:spacing w:line="480" w:lineRule="exact"/>
        <w:ind w:firstLine="2249"/>
        <w:jc w:val="left"/>
        <w:rPr>
          <w:rFonts w:cs="仿宋" w:asciiTheme="minorEastAsia" w:hAnsiTheme="minorEastAsia" w:eastAsiaTheme="minorEastAsia"/>
          <w:color w:val="000000" w:themeColor="text1"/>
          <w:sz w:val="24"/>
          <w14:textFill>
            <w14:solidFill>
              <w14:schemeClr w14:val="tx1"/>
            </w14:solidFill>
          </w14:textFill>
        </w:rPr>
      </w:pPr>
    </w:p>
    <w:p w14:paraId="76FB7CBA">
      <w:pPr>
        <w:widowControl/>
        <w:spacing w:line="480" w:lineRule="exact"/>
        <w:ind w:firstLine="2249"/>
        <w:jc w:val="left"/>
        <w:rPr>
          <w:rFonts w:cs="仿宋" w:asciiTheme="minorEastAsia" w:hAnsiTheme="minorEastAsia" w:eastAsiaTheme="minorEastAsia"/>
          <w:color w:val="000000" w:themeColor="text1"/>
          <w:sz w:val="24"/>
          <w14:textFill>
            <w14:solidFill>
              <w14:schemeClr w14:val="tx1"/>
            </w14:solidFill>
          </w14:textFill>
        </w:rPr>
      </w:pPr>
    </w:p>
    <w:p w14:paraId="2F6E4146">
      <w:pPr>
        <w:pStyle w:val="9"/>
        <w:rPr>
          <w:rFonts w:asciiTheme="minorEastAsia" w:hAnsiTheme="minorEastAsia" w:eastAsiaTheme="minorEastAsia"/>
          <w:color w:val="000000" w:themeColor="text1"/>
          <w:sz w:val="24"/>
          <w14:textFill>
            <w14:solidFill>
              <w14:schemeClr w14:val="tx1"/>
            </w14:solidFill>
          </w14:textFill>
        </w:rPr>
      </w:pPr>
    </w:p>
    <w:p w14:paraId="298E6D20">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承诺人名称（盖章）： </w:t>
      </w:r>
    </w:p>
    <w:p w14:paraId="4AF1C5CA">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法定代表人（或授权代表）：</w:t>
      </w:r>
    </w:p>
    <w:p w14:paraId="0B80E110">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联系电话：</w:t>
      </w:r>
    </w:p>
    <w:p w14:paraId="7F455350">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日期：</w:t>
      </w:r>
    </w:p>
    <w:p w14:paraId="5632F3F4">
      <w:pPr>
        <w:widowControl/>
        <w:spacing w:line="360" w:lineRule="auto"/>
        <w:ind w:firstLine="2570"/>
        <w:jc w:val="left"/>
        <w:rPr>
          <w:rFonts w:cs="仿宋" w:asciiTheme="minorEastAsia" w:hAnsiTheme="minorEastAsia" w:eastAsiaTheme="minorEastAsia"/>
          <w:color w:val="000000" w:themeColor="text1"/>
          <w:sz w:val="24"/>
          <w14:textFill>
            <w14:solidFill>
              <w14:schemeClr w14:val="tx1"/>
            </w14:solidFill>
          </w14:textFill>
        </w:rPr>
      </w:pPr>
    </w:p>
    <w:p w14:paraId="7FF30834">
      <w:pPr>
        <w:widowControl/>
        <w:spacing w:line="360" w:lineRule="auto"/>
        <w:ind w:firstLine="2570"/>
        <w:jc w:val="left"/>
        <w:rPr>
          <w:rFonts w:cs="仿宋" w:asciiTheme="minorEastAsia" w:hAnsiTheme="minorEastAsia" w:eastAsiaTheme="minorEastAsia"/>
          <w:color w:val="000000" w:themeColor="text1"/>
          <w:sz w:val="24"/>
          <w14:textFill>
            <w14:solidFill>
              <w14:schemeClr w14:val="tx1"/>
            </w14:solidFill>
          </w14:textFill>
        </w:rPr>
      </w:pPr>
    </w:p>
    <w:p w14:paraId="38418F10">
      <w:pPr>
        <w:widowControl/>
        <w:spacing w:line="360" w:lineRule="auto"/>
        <w:ind w:firstLine="2570"/>
        <w:jc w:val="left"/>
        <w:rPr>
          <w:rFonts w:cs="仿宋" w:asciiTheme="minorEastAsia" w:hAnsiTheme="minorEastAsia" w:eastAsiaTheme="minorEastAsia"/>
          <w:color w:val="000000" w:themeColor="text1"/>
          <w:sz w:val="24"/>
          <w14:textFill>
            <w14:solidFill>
              <w14:schemeClr w14:val="tx1"/>
            </w14:solidFill>
          </w14:textFill>
        </w:rPr>
      </w:pPr>
    </w:p>
    <w:p w14:paraId="4F67FFD2">
      <w:pPr>
        <w:widowControl/>
        <w:spacing w:line="360" w:lineRule="auto"/>
        <w:ind w:firstLine="2570"/>
        <w:jc w:val="left"/>
        <w:rPr>
          <w:rFonts w:cs="仿宋" w:asciiTheme="minorEastAsia" w:hAnsiTheme="minorEastAsia" w:eastAsiaTheme="minorEastAsia"/>
          <w:color w:val="000000" w:themeColor="text1"/>
          <w:sz w:val="24"/>
          <w14:textFill>
            <w14:solidFill>
              <w14:schemeClr w14:val="tx1"/>
            </w14:solidFill>
          </w14:textFill>
        </w:rPr>
      </w:pPr>
    </w:p>
    <w:p w14:paraId="5FA995E8">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586200AD">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1F6E821A">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66DA5B64">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5242923C">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4A8E49CE">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14:paraId="0260A326">
      <w:pPr>
        <w:widowControl/>
        <w:spacing w:line="240" w:lineRule="auto"/>
        <w:jc w:val="left"/>
        <w:rPr>
          <w:rFonts w:hint="eastAsia"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br w:type="page"/>
      </w:r>
    </w:p>
    <w:p w14:paraId="7D52A601">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合同附件四：</w:t>
      </w:r>
    </w:p>
    <w:p w14:paraId="1141ACF9">
      <w:pPr>
        <w:widowControl/>
        <w:spacing w:line="360" w:lineRule="auto"/>
        <w:ind w:firstLine="2560"/>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sz w:val="24"/>
          <w14:textFill>
            <w14:solidFill>
              <w14:schemeClr w14:val="tx1"/>
            </w14:solidFill>
          </w14:textFill>
        </w:rPr>
        <w:t>安全生产管理协议书</w:t>
      </w:r>
    </w:p>
    <w:p w14:paraId="284DC67F">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w:t>
      </w:r>
      <w:r>
        <w:rPr>
          <w:rFonts w:ascii="Segoe UI Symbol" w:hAnsi="Segoe UI Symbol" w:cs="Segoe UI Symbol"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其他</w:t>
      </w:r>
      <w:r>
        <w:rPr>
          <w:rFonts w:hint="eastAsia" w:cs="仿宋" w:asciiTheme="minorEastAsia" w:hAnsiTheme="minorEastAsia" w:eastAsiaTheme="minorEastAsia"/>
          <w:color w:val="000000" w:themeColor="text1"/>
          <w:sz w:val="24"/>
          <w14:textFill>
            <w14:solidFill>
              <w14:schemeClr w14:val="tx1"/>
            </w14:solidFill>
          </w14:textFill>
        </w:rPr>
        <w:t>_秩序维护），经甲乙双方协商，签订安全生产管理协议如下：</w:t>
      </w:r>
    </w:p>
    <w:p w14:paraId="493B12E4">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一、乙方应加强对现场工作人员的安全教育，提高现场工作人员的安全意识和安全技术水平。</w:t>
      </w:r>
    </w:p>
    <w:p w14:paraId="55BC5F2D">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二、乙方人员作业携带的设备及用具，符合国家和企业安全规程要求，特种作业人员须持有效证件操作。</w:t>
      </w:r>
    </w:p>
    <w:p w14:paraId="75145394">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14:paraId="149FD123">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14:paraId="0CD6FE25">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五、乙方对作业人员投保相关的安全责任险。</w:t>
      </w:r>
    </w:p>
    <w:p w14:paraId="471FC2A8">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六、乙方认真执行国家、行业等相关作业的安全技术操作规程。作业时，与甲方项目负责人保持密切联系，如作业需要动用甲方水、电和</w:t>
      </w:r>
      <w:r>
        <w:rPr>
          <w:rFonts w:hint="eastAsia" w:cs="仿宋" w:asciiTheme="minorEastAsia" w:hAnsiTheme="minorEastAsia" w:eastAsiaTheme="minorEastAsia"/>
          <w:color w:val="000000" w:themeColor="text1"/>
          <w:sz w:val="24"/>
          <w:lang w:eastAsia="zh-CN"/>
          <w14:textFill>
            <w14:solidFill>
              <w14:schemeClr w14:val="tx1"/>
            </w14:solidFill>
          </w14:textFill>
        </w:rPr>
        <w:t>其他设备</w:t>
      </w:r>
      <w:r>
        <w:rPr>
          <w:rFonts w:hint="eastAsia" w:cs="仿宋" w:asciiTheme="minorEastAsia" w:hAnsiTheme="minorEastAsia" w:eastAsiaTheme="minorEastAsia"/>
          <w:color w:val="000000" w:themeColor="text1"/>
          <w:sz w:val="24"/>
          <w14:textFill>
            <w14:solidFill>
              <w14:schemeClr w14:val="tx1"/>
            </w14:solidFill>
          </w14:textFill>
        </w:rPr>
        <w:t>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14:paraId="1869004C">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七、在高温、大风等不良气候条件下作业时，乙方自备防高温、防风、防雨、防雷击等安全措施，确保安全作业。</w:t>
      </w:r>
    </w:p>
    <w:p w14:paraId="3949B585">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八、乙方作业人员不得擅自进入业主的非作业区域，若因作业需要临时进入业主非作业区域，应向甲方专业负责人办理登记手续、取得业主同意后才可入内，进入人员须严格遵守业主各项规章制度。</w:t>
      </w:r>
    </w:p>
    <w:p w14:paraId="51FEB8D2">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九、作业过程中，乙方注意作业现场地下管线及高低压架空线路的保护。甲方项目对口负责人对地下管线和障碍物应详细交底，乙方应遵守交底要求，如遇有情况，应及时向甲方和有关部门联系，采取保护措施。</w:t>
      </w:r>
    </w:p>
    <w:p w14:paraId="43368F10">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十、作业材料堆放整齐，垃圾及时处理，不影响甲方正常秩序及通信畅通。</w:t>
      </w:r>
    </w:p>
    <w:p w14:paraId="29612E1F">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十一、甲方有权对乙方作业现场安全进行指导及监督，对作业现场检查时提出的违章现象</w:t>
      </w:r>
      <w:r>
        <w:rPr>
          <w:rFonts w:hint="eastAsia" w:cs="仿宋" w:asciiTheme="minorEastAsia" w:hAnsiTheme="minorEastAsia" w:eastAsiaTheme="minorEastAsia"/>
          <w:color w:val="000000" w:themeColor="text1"/>
          <w:sz w:val="24"/>
          <w:lang w:eastAsia="zh-CN"/>
          <w14:textFill>
            <w14:solidFill>
              <w14:schemeClr w14:val="tx1"/>
            </w14:solidFill>
          </w14:textFill>
        </w:rPr>
        <w:t>和</w:t>
      </w:r>
      <w:r>
        <w:rPr>
          <w:rFonts w:hint="eastAsia" w:cs="仿宋" w:asciiTheme="minorEastAsia" w:hAnsiTheme="minorEastAsia" w:eastAsiaTheme="minorEastAsia"/>
          <w:color w:val="000000" w:themeColor="text1"/>
          <w:sz w:val="24"/>
          <w14:textFill>
            <w14:solidFill>
              <w14:schemeClr w14:val="tx1"/>
            </w14:solidFill>
          </w14:textFill>
        </w:rPr>
        <w:t>安全隐患，乙方立即整改。如出现危及人身和设备安全的紧急情况，甲方有权对乙方进行处罚或责令乙方停止作业。</w:t>
      </w:r>
    </w:p>
    <w:p w14:paraId="22C47808">
      <w:pPr>
        <w:widowControl/>
        <w:spacing w:line="480" w:lineRule="exact"/>
        <w:ind w:firstLine="2249"/>
        <w:jc w:val="left"/>
        <w:rPr>
          <w:rFonts w:cs="仿宋" w:asciiTheme="minorEastAsia" w:hAnsiTheme="minorEastAsia" w:eastAsiaTheme="minorEastAsia"/>
          <w:color w:val="000000" w:themeColor="text1"/>
          <w:sz w:val="24"/>
          <w14:textFill>
            <w14:solidFill>
              <w14:schemeClr w14:val="tx1"/>
            </w14:solidFill>
          </w14:textFill>
        </w:rPr>
      </w:pPr>
    </w:p>
    <w:p w14:paraId="07C3D57C">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甲方单位：                            乙方单位：  </w:t>
      </w:r>
    </w:p>
    <w:p w14:paraId="7D778817">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p>
    <w:p w14:paraId="67603060">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负责人：                              负责人：</w:t>
      </w:r>
    </w:p>
    <w:p w14:paraId="049C1C1B">
      <w:pPr>
        <w:widowControl/>
        <w:spacing w:line="480" w:lineRule="exact"/>
        <w:ind w:firstLine="2249"/>
        <w:jc w:val="left"/>
        <w:rPr>
          <w:rFonts w:cs="仿宋" w:asciiTheme="minorEastAsia" w:hAnsiTheme="minorEastAsia" w:eastAsiaTheme="minorEastAsia"/>
          <w:color w:val="000000" w:themeColor="text1"/>
          <w:sz w:val="24"/>
          <w14:textFill>
            <w14:solidFill>
              <w14:schemeClr w14:val="tx1"/>
            </w14:solidFill>
          </w14:textFill>
        </w:rPr>
      </w:pPr>
    </w:p>
    <w:p w14:paraId="4E9D4C60">
      <w:pPr>
        <w:widowControl/>
        <w:spacing w:line="480" w:lineRule="exact"/>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联系电话：                            联系电话：</w:t>
      </w:r>
    </w:p>
    <w:p w14:paraId="2F33BF9C">
      <w:pPr>
        <w:widowControl/>
        <w:spacing w:line="480" w:lineRule="exact"/>
        <w:ind w:firstLine="2249"/>
        <w:jc w:val="left"/>
        <w:rPr>
          <w:rFonts w:cs="仿宋" w:asciiTheme="minorEastAsia" w:hAnsiTheme="minorEastAsia" w:eastAsiaTheme="minorEastAsia"/>
          <w:color w:val="000000" w:themeColor="text1"/>
          <w:sz w:val="24"/>
          <w14:textFill>
            <w14:solidFill>
              <w14:schemeClr w14:val="tx1"/>
            </w14:solidFill>
          </w14:textFill>
        </w:rPr>
      </w:pPr>
    </w:p>
    <w:p w14:paraId="4E4F1142">
      <w:pPr>
        <w:widowControl/>
        <w:spacing w:line="480" w:lineRule="exact"/>
        <w:ind w:firstLine="2249"/>
        <w:jc w:val="left"/>
        <w:rPr>
          <w:rFonts w:cs="仿宋" w:asciiTheme="minorEastAsia" w:hAnsiTheme="minorEastAsia" w:eastAsiaTheme="minorEastAsia"/>
          <w:color w:val="000000" w:themeColor="text1"/>
          <w:sz w:val="24"/>
          <w14:textFill>
            <w14:solidFill>
              <w14:schemeClr w14:val="tx1"/>
            </w14:solidFill>
          </w14:textFill>
        </w:rPr>
      </w:pPr>
    </w:p>
    <w:p w14:paraId="0940CE05">
      <w:pPr>
        <w:widowControl/>
        <w:spacing w:line="480" w:lineRule="exact"/>
        <w:ind w:firstLine="1920" w:firstLineChars="8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日期：    年   月  日</w:t>
      </w:r>
    </w:p>
    <w:p w14:paraId="5D86B225">
      <w:pPr>
        <w:widowControl/>
        <w:spacing w:line="360" w:lineRule="auto"/>
        <w:ind w:firstLine="2570"/>
        <w:jc w:val="left"/>
        <w:rPr>
          <w:rFonts w:cs="仿宋" w:asciiTheme="minorEastAsia" w:hAnsiTheme="minorEastAsia" w:eastAsiaTheme="minorEastAsia"/>
          <w:color w:val="000000" w:themeColor="text1"/>
          <w:sz w:val="24"/>
          <w14:textFill>
            <w14:solidFill>
              <w14:schemeClr w14:val="tx1"/>
            </w14:solidFill>
          </w14:textFill>
        </w:rPr>
      </w:pPr>
    </w:p>
    <w:p w14:paraId="7E258BB9">
      <w:pPr>
        <w:widowControl/>
        <w:spacing w:line="480" w:lineRule="exact"/>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p>
    <w:p w14:paraId="1A4F761B">
      <w:pPr>
        <w:widowControl/>
        <w:spacing w:line="48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sectPr>
          <w:headerReference r:id="rId4" w:type="default"/>
          <w:pgSz w:w="11906" w:h="16838"/>
          <w:pgMar w:top="1701" w:right="1701" w:bottom="1701" w:left="1701" w:header="851" w:footer="992" w:gutter="0"/>
          <w:cols w:space="425" w:num="1"/>
          <w:docGrid w:type="lines" w:linePitch="312" w:charSpace="0"/>
        </w:sectPr>
      </w:pPr>
    </w:p>
    <w:p w14:paraId="24FC39E9">
      <w:pPr>
        <w:widowControl/>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合同</w:t>
      </w:r>
      <w:r>
        <w:rPr>
          <w:rFonts w:cs="仿宋" w:asciiTheme="minorEastAsia" w:hAnsiTheme="minorEastAsia" w:eastAsiaTheme="minorEastAsia"/>
          <w:color w:val="000000" w:themeColor="text1"/>
          <w:sz w:val="24"/>
          <w14:textFill>
            <w14:solidFill>
              <w14:schemeClr w14:val="tx1"/>
            </w14:solidFill>
          </w14:textFill>
        </w:rPr>
        <w:t>附件</w:t>
      </w:r>
      <w:r>
        <w:rPr>
          <w:rFonts w:hint="eastAsia" w:cs="仿宋" w:asciiTheme="minorEastAsia" w:hAnsiTheme="minorEastAsia" w:eastAsiaTheme="minorEastAsia"/>
          <w:color w:val="000000" w:themeColor="text1"/>
          <w:sz w:val="24"/>
          <w14:textFill>
            <w14:solidFill>
              <w14:schemeClr w14:val="tx1"/>
            </w14:solidFill>
          </w14:textFill>
        </w:rPr>
        <w:t>五：</w:t>
      </w:r>
    </w:p>
    <w:p w14:paraId="24C79A6D">
      <w:pPr>
        <w:rPr>
          <w:rFonts w:asciiTheme="minorEastAsia" w:hAnsiTheme="minorEastAsia" w:eastAsiaTheme="minorEastAsia"/>
          <w:color w:val="000000" w:themeColor="text1"/>
          <w14:textFill>
            <w14:solidFill>
              <w14:schemeClr w14:val="tx1"/>
            </w14:solidFill>
          </w14:textFill>
        </w:rPr>
      </w:pPr>
    </w:p>
    <w:p w14:paraId="55EB5513">
      <w:pPr>
        <w:jc w:val="center"/>
        <w:rPr>
          <w:rFonts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
          <w:bCs/>
          <w:color w:val="000000" w:themeColor="text1"/>
          <w:sz w:val="30"/>
          <w:szCs w:val="30"/>
          <w14:textFill>
            <w14:solidFill>
              <w14:schemeClr w14:val="tx1"/>
            </w14:solidFill>
          </w14:textFill>
        </w:rPr>
        <w:t>项目维序服务品质检查考核表</w:t>
      </w:r>
    </w:p>
    <w:tbl>
      <w:tblPr>
        <w:tblStyle w:val="21"/>
        <w:tblW w:w="1395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3882"/>
        <w:gridCol w:w="4303"/>
        <w:gridCol w:w="2266"/>
        <w:gridCol w:w="538"/>
        <w:gridCol w:w="441"/>
        <w:gridCol w:w="1370"/>
      </w:tblGrid>
      <w:tr w14:paraId="7E0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Align w:val="center"/>
          </w:tcPr>
          <w:p w14:paraId="36759D05">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检查类别</w:t>
            </w:r>
          </w:p>
        </w:tc>
        <w:tc>
          <w:tcPr>
            <w:tcW w:w="3882" w:type="dxa"/>
            <w:vAlign w:val="center"/>
          </w:tcPr>
          <w:p w14:paraId="167278DB">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检查内容</w:t>
            </w:r>
          </w:p>
        </w:tc>
        <w:tc>
          <w:tcPr>
            <w:tcW w:w="4303" w:type="dxa"/>
            <w:vAlign w:val="center"/>
          </w:tcPr>
          <w:p w14:paraId="147EAD3F">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检查标准及方法</w:t>
            </w:r>
          </w:p>
        </w:tc>
        <w:tc>
          <w:tcPr>
            <w:tcW w:w="2266" w:type="dxa"/>
            <w:vAlign w:val="center"/>
          </w:tcPr>
          <w:p w14:paraId="256432A0">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评分标准</w:t>
            </w:r>
          </w:p>
        </w:tc>
        <w:tc>
          <w:tcPr>
            <w:tcW w:w="538" w:type="dxa"/>
            <w:vAlign w:val="center"/>
          </w:tcPr>
          <w:p w14:paraId="11B01F41">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分值</w:t>
            </w:r>
          </w:p>
        </w:tc>
        <w:tc>
          <w:tcPr>
            <w:tcW w:w="441" w:type="dxa"/>
            <w:vAlign w:val="center"/>
          </w:tcPr>
          <w:p w14:paraId="6AF4FD29">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得分</w:t>
            </w:r>
          </w:p>
        </w:tc>
        <w:tc>
          <w:tcPr>
            <w:tcW w:w="1370" w:type="dxa"/>
            <w:vAlign w:val="center"/>
          </w:tcPr>
          <w:p w14:paraId="5C3DABC6">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事实记录（要点）</w:t>
            </w:r>
          </w:p>
        </w:tc>
      </w:tr>
      <w:tr w14:paraId="4D0F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55" w:type="dxa"/>
            <w:vMerge w:val="restart"/>
            <w:vAlign w:val="center"/>
          </w:tcPr>
          <w:p w14:paraId="00A470BA">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交接班和备勤管理</w:t>
            </w:r>
          </w:p>
        </w:tc>
        <w:tc>
          <w:tcPr>
            <w:tcW w:w="3882" w:type="dxa"/>
            <w:vAlign w:val="center"/>
          </w:tcPr>
          <w:p w14:paraId="5631A92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岗位交接班：集合、</w:t>
            </w:r>
            <w:r>
              <w:rPr>
                <w:rFonts w:hint="eastAsia" w:asciiTheme="minorEastAsia" w:hAnsiTheme="minorEastAsia" w:eastAsiaTheme="minorEastAsia"/>
                <w:color w:val="000000" w:themeColor="text1"/>
                <w:lang w:eastAsia="zh-TW"/>
                <w14:textFill>
                  <w14:solidFill>
                    <w14:schemeClr w14:val="tx1"/>
                  </w14:solidFill>
                </w14:textFill>
              </w:rPr>
              <w:t>列队入园</w:t>
            </w:r>
            <w:r>
              <w:rPr>
                <w:rFonts w:hint="eastAsia" w:asciiTheme="minorEastAsia" w:hAnsiTheme="minorEastAsia" w:eastAsiaTheme="minorEastAsia"/>
                <w:color w:val="000000" w:themeColor="text1"/>
                <w14:textFill>
                  <w14:solidFill>
                    <w14:schemeClr w14:val="tx1"/>
                  </w14:solidFill>
                </w14:textFill>
              </w:rPr>
              <w:t>、班前会、逐岗交接、集合、班后会、列队带回。</w:t>
            </w:r>
          </w:p>
        </w:tc>
        <w:tc>
          <w:tcPr>
            <w:tcW w:w="4303" w:type="dxa"/>
            <w:vAlign w:val="center"/>
          </w:tcPr>
          <w:p w14:paraId="6BDA922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观察</w:t>
            </w:r>
            <w:r>
              <w:rPr>
                <w:rFonts w:hint="eastAsia" w:asciiTheme="minorEastAsia" w:hAnsiTheme="minorEastAsia" w:eastAsiaTheme="minorEastAsia"/>
                <w:color w:val="000000" w:themeColor="text1"/>
                <w:lang w:eastAsia="zh-TW"/>
                <w14:textFill>
                  <w14:solidFill>
                    <w14:schemeClr w14:val="tx1"/>
                  </w14:solidFill>
                </w14:textFill>
              </w:rPr>
              <w:t>岗位交接班流程是否按照规定进行</w:t>
            </w:r>
          </w:p>
        </w:tc>
        <w:tc>
          <w:tcPr>
            <w:tcW w:w="2266" w:type="dxa"/>
            <w:vAlign w:val="center"/>
          </w:tcPr>
          <w:p w14:paraId="7C81026D">
            <w:pPr>
              <w:rPr>
                <w:rFonts w:asciiTheme="minorEastAsia" w:hAnsiTheme="minorEastAsia" w:eastAsiaTheme="minorEastAsia"/>
                <w:color w:val="000000" w:themeColor="text1"/>
                <w:lang w:eastAsia="zh-TW"/>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不符合不得分</w:t>
            </w:r>
          </w:p>
        </w:tc>
        <w:tc>
          <w:tcPr>
            <w:tcW w:w="538" w:type="dxa"/>
            <w:vAlign w:val="center"/>
          </w:tcPr>
          <w:p w14:paraId="74DE8D6C">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639DEA7E">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66EF852A">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3CEE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55" w:type="dxa"/>
            <w:vMerge w:val="continue"/>
            <w:vAlign w:val="center"/>
          </w:tcPr>
          <w:p w14:paraId="4D10758C">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6647B10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标准化班组会</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TW"/>
                <w14:textFill>
                  <w14:solidFill>
                    <w14:schemeClr w14:val="tx1"/>
                  </w14:solidFill>
                </w14:textFill>
              </w:rPr>
              <w:t>维序员岗前15分钟到岗、集合，进行专项检查和训练。</w:t>
            </w:r>
          </w:p>
        </w:tc>
        <w:tc>
          <w:tcPr>
            <w:tcW w:w="4303" w:type="dxa"/>
            <w:vAlign w:val="center"/>
          </w:tcPr>
          <w:p w14:paraId="2800577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调取项目日常晨会视频</w:t>
            </w:r>
            <w:r>
              <w:rPr>
                <w:rFonts w:hint="eastAsia" w:asciiTheme="minorEastAsia" w:hAnsiTheme="minorEastAsia" w:eastAsiaTheme="minorEastAsia"/>
                <w:color w:val="000000" w:themeColor="text1"/>
                <w14:textFill>
                  <w14:solidFill>
                    <w14:schemeClr w14:val="tx1"/>
                  </w14:solidFill>
                </w14:textFill>
              </w:rPr>
              <w:t>，5分钟形体礼仪，5分钟训练及5分钟工作安排。</w:t>
            </w:r>
          </w:p>
        </w:tc>
        <w:tc>
          <w:tcPr>
            <w:tcW w:w="2266" w:type="dxa"/>
            <w:vAlign w:val="center"/>
          </w:tcPr>
          <w:p w14:paraId="08774332">
            <w:pPr>
              <w:rPr>
                <w:rFonts w:asciiTheme="minorEastAsia" w:hAnsiTheme="minorEastAsia" w:eastAsiaTheme="minorEastAsia"/>
                <w:color w:val="000000" w:themeColor="text1"/>
                <w:lang w:eastAsia="zh-TW"/>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不符合不得分</w:t>
            </w:r>
          </w:p>
        </w:tc>
        <w:tc>
          <w:tcPr>
            <w:tcW w:w="538" w:type="dxa"/>
            <w:vAlign w:val="center"/>
          </w:tcPr>
          <w:p w14:paraId="2F648987">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1BDBFF85">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0B2D4993">
            <w:pPr>
              <w:rPr>
                <w:rFonts w:asciiTheme="minorEastAsia" w:hAnsiTheme="minorEastAsia" w:eastAsiaTheme="minorEastAsia"/>
                <w:color w:val="000000" w:themeColor="text1"/>
                <w14:textFill>
                  <w14:solidFill>
                    <w14:schemeClr w14:val="tx1"/>
                  </w14:solidFill>
                </w14:textFill>
              </w:rPr>
            </w:pPr>
          </w:p>
        </w:tc>
      </w:tr>
      <w:tr w14:paraId="5D4F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155" w:type="dxa"/>
            <w:vMerge w:val="continue"/>
            <w:vAlign w:val="center"/>
          </w:tcPr>
          <w:p w14:paraId="0C9912A3">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159332B3">
            <w:pPr>
              <w:rPr>
                <w:rFonts w:eastAsia="PMingLiU" w:asciiTheme="minorEastAsia" w:hAnsi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交接时接班队员首先清点物品（对讲机、警用器材、锁匙和灭火器等），如发现缺损应要求上一班人员说明物品去向，在《维序岗位值班记录》中做好记录并上报当值中队长/班长。班长签字确认。</w:t>
            </w:r>
          </w:p>
        </w:tc>
        <w:tc>
          <w:tcPr>
            <w:tcW w:w="4303" w:type="dxa"/>
            <w:vAlign w:val="center"/>
          </w:tcPr>
          <w:p w14:paraId="6C2902CA">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抽查岗位交接班记录表是否按要求落实。</w:t>
            </w:r>
          </w:p>
        </w:tc>
        <w:tc>
          <w:tcPr>
            <w:tcW w:w="2266" w:type="dxa"/>
            <w:vAlign w:val="center"/>
          </w:tcPr>
          <w:p w14:paraId="48DA172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Align w:val="center"/>
          </w:tcPr>
          <w:p w14:paraId="5318064E">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34031ED9">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1545B25F">
            <w:pPr>
              <w:rPr>
                <w:rFonts w:asciiTheme="minorEastAsia" w:hAnsiTheme="minorEastAsia" w:eastAsiaTheme="minorEastAsia"/>
                <w:color w:val="000000" w:themeColor="text1"/>
                <w14:textFill>
                  <w14:solidFill>
                    <w14:schemeClr w14:val="tx1"/>
                  </w14:solidFill>
                </w14:textFill>
              </w:rPr>
            </w:pPr>
          </w:p>
        </w:tc>
      </w:tr>
      <w:tr w14:paraId="3F09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continue"/>
            <w:vAlign w:val="center"/>
          </w:tcPr>
          <w:p w14:paraId="6DDF9C64">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36CF3CA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岗位配置警用物品摆放整齐有序，桌面、座椅干净无灰尘、无杂物。</w:t>
            </w:r>
          </w:p>
        </w:tc>
        <w:tc>
          <w:tcPr>
            <w:tcW w:w="4303" w:type="dxa"/>
            <w:vAlign w:val="center"/>
          </w:tcPr>
          <w:p w14:paraId="5010781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抽查2个岗位、检查是否有物品清单。</w:t>
            </w:r>
          </w:p>
        </w:tc>
        <w:tc>
          <w:tcPr>
            <w:tcW w:w="2266" w:type="dxa"/>
            <w:vAlign w:val="center"/>
          </w:tcPr>
          <w:p w14:paraId="6CED131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1项不符合扣0.5分</w:t>
            </w:r>
          </w:p>
        </w:tc>
        <w:tc>
          <w:tcPr>
            <w:tcW w:w="538" w:type="dxa"/>
            <w:vAlign w:val="center"/>
          </w:tcPr>
          <w:p w14:paraId="7F858B2B">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0F7D1FAC">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3F4D21EB">
            <w:pPr>
              <w:rPr>
                <w:rFonts w:asciiTheme="minorEastAsia" w:hAnsiTheme="minorEastAsia" w:eastAsiaTheme="minorEastAsia"/>
                <w:color w:val="000000" w:themeColor="text1"/>
                <w14:textFill>
                  <w14:solidFill>
                    <w14:schemeClr w14:val="tx1"/>
                  </w14:solidFill>
                </w14:textFill>
              </w:rPr>
            </w:pPr>
          </w:p>
        </w:tc>
      </w:tr>
      <w:tr w14:paraId="3DFA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5" w:type="dxa"/>
            <w:vMerge w:val="continue"/>
            <w:vAlign w:val="center"/>
          </w:tcPr>
          <w:p w14:paraId="660BAD75">
            <w:pPr>
              <w:rPr>
                <w:rFonts w:asciiTheme="minorEastAsia" w:hAnsiTheme="minorEastAsia" w:eastAsiaTheme="minorEastAsia"/>
                <w:color w:val="000000" w:themeColor="text1"/>
                <w14:textFill>
                  <w14:solidFill>
                    <w14:schemeClr w14:val="tx1"/>
                  </w14:solidFill>
                </w14:textFill>
              </w:rPr>
            </w:pPr>
          </w:p>
        </w:tc>
        <w:tc>
          <w:tcPr>
            <w:tcW w:w="3882" w:type="dxa"/>
            <w:vMerge w:val="restart"/>
            <w:vAlign w:val="center"/>
          </w:tcPr>
          <w:p w14:paraId="28F5C72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集体宿舍内配置紧急联系设施（如：电话、警铃和对讲机等）。</w:t>
            </w:r>
          </w:p>
        </w:tc>
        <w:tc>
          <w:tcPr>
            <w:tcW w:w="4303" w:type="dxa"/>
            <w:vMerge w:val="restart"/>
            <w:vAlign w:val="center"/>
          </w:tcPr>
          <w:p w14:paraId="7173B15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 xml:space="preserve">查看宿舍现场。 </w:t>
            </w:r>
          </w:p>
        </w:tc>
        <w:tc>
          <w:tcPr>
            <w:tcW w:w="2266" w:type="dxa"/>
            <w:vMerge w:val="restart"/>
            <w:vAlign w:val="center"/>
          </w:tcPr>
          <w:p w14:paraId="5E12EAC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Merge w:val="restart"/>
            <w:vAlign w:val="center"/>
          </w:tcPr>
          <w:p w14:paraId="23E24DCA">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Merge w:val="restart"/>
            <w:vAlign w:val="center"/>
          </w:tcPr>
          <w:p w14:paraId="2D1AB4BB">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7D590EB1">
            <w:pPr>
              <w:rPr>
                <w:rFonts w:asciiTheme="minorEastAsia" w:hAnsiTheme="minorEastAsia" w:eastAsiaTheme="minorEastAsia"/>
                <w:color w:val="000000" w:themeColor="text1"/>
                <w14:textFill>
                  <w14:solidFill>
                    <w14:schemeClr w14:val="tx1"/>
                  </w14:solidFill>
                </w14:textFill>
              </w:rPr>
            </w:pPr>
          </w:p>
        </w:tc>
      </w:tr>
      <w:tr w14:paraId="08B0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55" w:type="dxa"/>
            <w:vMerge w:val="continue"/>
            <w:vAlign w:val="center"/>
          </w:tcPr>
          <w:p w14:paraId="6F29BE7B">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059B5A4C">
            <w:pPr>
              <w:rPr>
                <w:rFonts w:asciiTheme="minorEastAsia" w:hAnsiTheme="minorEastAsia" w:eastAsiaTheme="minorEastAsia"/>
                <w:color w:val="000000" w:themeColor="text1"/>
                <w14:textFill>
                  <w14:solidFill>
                    <w14:schemeClr w14:val="tx1"/>
                  </w14:solidFill>
                </w14:textFill>
              </w:rPr>
            </w:pPr>
          </w:p>
        </w:tc>
        <w:tc>
          <w:tcPr>
            <w:tcW w:w="4303" w:type="dxa"/>
            <w:vMerge w:val="continue"/>
            <w:vAlign w:val="center"/>
          </w:tcPr>
          <w:p w14:paraId="5622FD29">
            <w:pPr>
              <w:rPr>
                <w:rFonts w:asciiTheme="minorEastAsia" w:hAnsiTheme="minorEastAsia" w:eastAsiaTheme="minorEastAsia"/>
                <w:color w:val="000000" w:themeColor="text1"/>
                <w14:textFill>
                  <w14:solidFill>
                    <w14:schemeClr w14:val="tx1"/>
                  </w14:solidFill>
                </w14:textFill>
              </w:rPr>
            </w:pPr>
          </w:p>
        </w:tc>
        <w:tc>
          <w:tcPr>
            <w:tcW w:w="2266" w:type="dxa"/>
            <w:vMerge w:val="continue"/>
            <w:vAlign w:val="center"/>
          </w:tcPr>
          <w:p w14:paraId="1B34B58F">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455101F3">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65988FD7">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60BF6962">
            <w:pPr>
              <w:rPr>
                <w:rFonts w:asciiTheme="minorEastAsia" w:hAnsiTheme="minorEastAsia" w:eastAsiaTheme="minorEastAsia"/>
                <w:color w:val="000000" w:themeColor="text1"/>
                <w14:textFill>
                  <w14:solidFill>
                    <w14:schemeClr w14:val="tx1"/>
                  </w14:solidFill>
                </w14:textFill>
              </w:rPr>
            </w:pPr>
          </w:p>
        </w:tc>
      </w:tr>
      <w:tr w14:paraId="28FC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38C8C789">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2970913A">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每季度至少组织开展一次备勤秩序维护员紧急集合训练。</w:t>
            </w:r>
          </w:p>
        </w:tc>
        <w:tc>
          <w:tcPr>
            <w:tcW w:w="4303" w:type="dxa"/>
            <w:vAlign w:val="center"/>
          </w:tcPr>
          <w:p w14:paraId="51120014">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查看紧急集合训练记录。</w:t>
            </w:r>
          </w:p>
        </w:tc>
        <w:tc>
          <w:tcPr>
            <w:tcW w:w="2266" w:type="dxa"/>
            <w:vAlign w:val="center"/>
          </w:tcPr>
          <w:p w14:paraId="263B59A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不符合不得分</w:t>
            </w:r>
          </w:p>
        </w:tc>
        <w:tc>
          <w:tcPr>
            <w:tcW w:w="538" w:type="dxa"/>
            <w:vAlign w:val="center"/>
          </w:tcPr>
          <w:p w14:paraId="15EB20F9">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25599C70">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545690B5">
            <w:pPr>
              <w:rPr>
                <w:rFonts w:asciiTheme="minorEastAsia" w:hAnsiTheme="minorEastAsia" w:eastAsiaTheme="minorEastAsia"/>
                <w:color w:val="000000" w:themeColor="text1"/>
                <w14:textFill>
                  <w14:solidFill>
                    <w14:schemeClr w14:val="tx1"/>
                  </w14:solidFill>
                </w14:textFill>
              </w:rPr>
            </w:pPr>
          </w:p>
        </w:tc>
      </w:tr>
      <w:tr w14:paraId="3BCB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restart"/>
            <w:vAlign w:val="center"/>
          </w:tcPr>
          <w:p w14:paraId="418731E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门禁管理</w:t>
            </w:r>
          </w:p>
        </w:tc>
        <w:tc>
          <w:tcPr>
            <w:tcW w:w="3882" w:type="dxa"/>
            <w:vMerge w:val="restart"/>
            <w:vAlign w:val="center"/>
          </w:tcPr>
          <w:p w14:paraId="42875D2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维序员仪容仪表符合公司BI要求。接触客户过程中举止端庄大方，礼貌用语，做到请字开头，谢字不离口。保持门禁常闭状态，对进出人员要有管控措施。</w:t>
            </w:r>
          </w:p>
        </w:tc>
        <w:tc>
          <w:tcPr>
            <w:tcW w:w="4303" w:type="dxa"/>
            <w:vAlign w:val="center"/>
          </w:tcPr>
          <w:p w14:paraId="191C9A8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1、观察3组来访客人，岗位是否主动微笑问好、礼貌问明来意，有效控制外来人员，经与业主确认后，对来访人员应进行登记管理。观察岗位有无随意对未带IC卡或APP一键的客户开门。</w:t>
            </w:r>
          </w:p>
          <w:p w14:paraId="3B2F718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2、遇到业主搬运大件物品，能主动提供便民推车或者通知巡逻岗帮助其搬运。</w:t>
            </w:r>
          </w:p>
        </w:tc>
        <w:tc>
          <w:tcPr>
            <w:tcW w:w="2266" w:type="dxa"/>
            <w:vAlign w:val="center"/>
          </w:tcPr>
          <w:p w14:paraId="3764EBEA">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1组不符合扣3分</w:t>
            </w:r>
          </w:p>
        </w:tc>
        <w:tc>
          <w:tcPr>
            <w:tcW w:w="538" w:type="dxa"/>
            <w:vAlign w:val="center"/>
          </w:tcPr>
          <w:p w14:paraId="5A974F56">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w:t>
            </w:r>
          </w:p>
        </w:tc>
        <w:tc>
          <w:tcPr>
            <w:tcW w:w="441" w:type="dxa"/>
            <w:vAlign w:val="center"/>
          </w:tcPr>
          <w:p w14:paraId="731D348D">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53161503">
            <w:pPr>
              <w:rPr>
                <w:rFonts w:asciiTheme="minorEastAsia" w:hAnsiTheme="minorEastAsia" w:eastAsiaTheme="minorEastAsia"/>
                <w:color w:val="000000" w:themeColor="text1"/>
                <w14:textFill>
                  <w14:solidFill>
                    <w14:schemeClr w14:val="tx1"/>
                  </w14:solidFill>
                </w14:textFill>
              </w:rPr>
            </w:pPr>
          </w:p>
        </w:tc>
      </w:tr>
      <w:tr w14:paraId="0433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4B41E80A">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34F57FB7">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11E6994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2、抽查3个门禁是否全天24小时处于关闭状态。</w:t>
            </w:r>
          </w:p>
        </w:tc>
        <w:tc>
          <w:tcPr>
            <w:tcW w:w="2266" w:type="dxa"/>
            <w:vAlign w:val="center"/>
          </w:tcPr>
          <w:p w14:paraId="73F0E2A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Align w:val="center"/>
          </w:tcPr>
          <w:p w14:paraId="4F3AC0F8">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441" w:type="dxa"/>
            <w:vAlign w:val="center"/>
          </w:tcPr>
          <w:p w14:paraId="15D5BBA3">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1D205F5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5756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55" w:type="dxa"/>
            <w:vMerge w:val="continue"/>
            <w:vAlign w:val="center"/>
          </w:tcPr>
          <w:p w14:paraId="526B5EF3">
            <w:pPr>
              <w:rPr>
                <w:rFonts w:asciiTheme="minorEastAsia" w:hAnsiTheme="minorEastAsia" w:eastAsiaTheme="minorEastAsia"/>
                <w:color w:val="000000" w:themeColor="text1"/>
                <w14:textFill>
                  <w14:solidFill>
                    <w14:schemeClr w14:val="tx1"/>
                  </w14:solidFill>
                </w14:textFill>
              </w:rPr>
            </w:pPr>
          </w:p>
        </w:tc>
        <w:tc>
          <w:tcPr>
            <w:tcW w:w="3882" w:type="dxa"/>
            <w:vMerge w:val="restart"/>
            <w:vAlign w:val="center"/>
          </w:tcPr>
          <w:p w14:paraId="1C4486C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施工人员/供方人员登记管理，核查证件</w:t>
            </w:r>
          </w:p>
        </w:tc>
        <w:tc>
          <w:tcPr>
            <w:tcW w:w="4303" w:type="dxa"/>
            <w:vAlign w:val="center"/>
          </w:tcPr>
          <w:p w14:paraId="06E5527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1、查看出入口岗对临时施工、物业服务供方等人员的进出是否实行登记。 2、询问2个岗位维序员在检查出入证时应核对哪些要求。    </w:t>
            </w:r>
          </w:p>
        </w:tc>
        <w:tc>
          <w:tcPr>
            <w:tcW w:w="2266" w:type="dxa"/>
            <w:vMerge w:val="restart"/>
            <w:vAlign w:val="center"/>
          </w:tcPr>
          <w:p w14:paraId="1A4DD36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1项不符合扣1分，3项以上不得分</w:t>
            </w:r>
          </w:p>
        </w:tc>
        <w:tc>
          <w:tcPr>
            <w:tcW w:w="538" w:type="dxa"/>
            <w:vMerge w:val="restart"/>
            <w:vAlign w:val="center"/>
          </w:tcPr>
          <w:p w14:paraId="756366C4">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p>
        </w:tc>
        <w:tc>
          <w:tcPr>
            <w:tcW w:w="441" w:type="dxa"/>
            <w:vMerge w:val="restart"/>
            <w:vAlign w:val="center"/>
          </w:tcPr>
          <w:p w14:paraId="68B84757">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44AD9466">
            <w:pPr>
              <w:rPr>
                <w:rFonts w:asciiTheme="minorEastAsia" w:hAnsiTheme="minorEastAsia" w:eastAsiaTheme="minorEastAsia"/>
                <w:color w:val="000000" w:themeColor="text1"/>
                <w14:textFill>
                  <w14:solidFill>
                    <w14:schemeClr w14:val="tx1"/>
                  </w14:solidFill>
                </w14:textFill>
              </w:rPr>
            </w:pPr>
          </w:p>
          <w:p w14:paraId="3F8130DA">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1D9B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28AE4D70">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70E0F667">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0DA17D6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3、观察小区内装修施工等经常出入的人员应凭证出入。          </w:t>
            </w:r>
          </w:p>
        </w:tc>
        <w:tc>
          <w:tcPr>
            <w:tcW w:w="2266" w:type="dxa"/>
            <w:vMerge w:val="continue"/>
            <w:vAlign w:val="center"/>
          </w:tcPr>
          <w:p w14:paraId="2B7E99F2">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5666845D">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3432971E">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0284A478">
            <w:pPr>
              <w:rPr>
                <w:rFonts w:asciiTheme="minorEastAsia" w:hAnsiTheme="minorEastAsia" w:eastAsiaTheme="minorEastAsia"/>
                <w:color w:val="000000" w:themeColor="text1"/>
                <w14:textFill>
                  <w14:solidFill>
                    <w14:schemeClr w14:val="tx1"/>
                  </w14:solidFill>
                </w14:textFill>
              </w:rPr>
            </w:pPr>
          </w:p>
        </w:tc>
      </w:tr>
      <w:tr w14:paraId="17A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11145CE4">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48E28316">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48C7DA3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4、查看服务区域内政府配套公共设备、设施施工，施工人员记录。 </w:t>
            </w:r>
          </w:p>
        </w:tc>
        <w:tc>
          <w:tcPr>
            <w:tcW w:w="2266" w:type="dxa"/>
            <w:vMerge w:val="continue"/>
            <w:vAlign w:val="center"/>
          </w:tcPr>
          <w:p w14:paraId="60D8B26C">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69F13420">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588A9E62">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6F26B692">
            <w:pPr>
              <w:rPr>
                <w:rFonts w:asciiTheme="minorEastAsia" w:hAnsiTheme="minorEastAsia" w:eastAsiaTheme="minorEastAsia"/>
                <w:color w:val="000000" w:themeColor="text1"/>
                <w14:textFill>
                  <w14:solidFill>
                    <w14:schemeClr w14:val="tx1"/>
                  </w14:solidFill>
                </w14:textFill>
              </w:rPr>
            </w:pPr>
          </w:p>
        </w:tc>
      </w:tr>
      <w:tr w14:paraId="471A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237F37FD">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367EE299">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7EABE9E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5、抽查供方服务人员进入管理服务区域，是否穿制服、</w:t>
            </w:r>
            <w:r>
              <w:rPr>
                <w:rFonts w:hint="eastAsia" w:asciiTheme="minorEastAsia" w:hAnsiTheme="minorEastAsia" w:eastAsiaTheme="minorEastAsia"/>
                <w:color w:val="000000" w:themeColor="text1"/>
                <w:lang w:eastAsia="zh-CN"/>
                <w14:textFill>
                  <w14:solidFill>
                    <w14:schemeClr w14:val="tx1"/>
                  </w14:solidFill>
                </w14:textFill>
              </w:rPr>
              <w:t>佩戴工作证</w:t>
            </w:r>
            <w:r>
              <w:rPr>
                <w:rFonts w:hint="eastAsia" w:asciiTheme="minorEastAsia" w:hAnsiTheme="minorEastAsia" w:eastAsiaTheme="minorEastAsia"/>
                <w:color w:val="000000" w:themeColor="text1"/>
                <w14:textFill>
                  <w14:solidFill>
                    <w14:schemeClr w14:val="tx1"/>
                  </w14:solidFill>
                </w14:textFill>
              </w:rPr>
              <w:t xml:space="preserve">。 </w:t>
            </w:r>
          </w:p>
        </w:tc>
        <w:tc>
          <w:tcPr>
            <w:tcW w:w="2266" w:type="dxa"/>
            <w:vMerge w:val="continue"/>
            <w:vAlign w:val="center"/>
          </w:tcPr>
          <w:p w14:paraId="15D63766">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218276CE">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646E6E14">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07F63F23">
            <w:pPr>
              <w:rPr>
                <w:rFonts w:asciiTheme="minorEastAsia" w:hAnsiTheme="minorEastAsia" w:eastAsiaTheme="minorEastAsia"/>
                <w:color w:val="000000" w:themeColor="text1"/>
                <w14:textFill>
                  <w14:solidFill>
                    <w14:schemeClr w14:val="tx1"/>
                  </w14:solidFill>
                </w14:textFill>
              </w:rPr>
            </w:pPr>
          </w:p>
        </w:tc>
      </w:tr>
      <w:tr w14:paraId="646B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55" w:type="dxa"/>
            <w:vMerge w:val="continue"/>
            <w:vAlign w:val="center"/>
          </w:tcPr>
          <w:p w14:paraId="0BA2A07D">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5D9B9AF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熟悉大件物资放行流程，按流程执行管理和记录</w:t>
            </w:r>
          </w:p>
        </w:tc>
        <w:tc>
          <w:tcPr>
            <w:tcW w:w="4303" w:type="dxa"/>
            <w:vAlign w:val="center"/>
          </w:tcPr>
          <w:p w14:paraId="0B6DB62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1、询问岗位对大件物品放行流程。 2、查看岗位《大件物资放行条》是否有值班人员签字确认。      </w:t>
            </w:r>
          </w:p>
        </w:tc>
        <w:tc>
          <w:tcPr>
            <w:tcW w:w="2266" w:type="dxa"/>
            <w:vAlign w:val="center"/>
          </w:tcPr>
          <w:p w14:paraId="5F45908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Align w:val="center"/>
          </w:tcPr>
          <w:p w14:paraId="2C1B2064">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1E74CDE9">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6E4EE0D5">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14FC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restart"/>
            <w:vAlign w:val="center"/>
          </w:tcPr>
          <w:p w14:paraId="136EFB9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日常巡逻</w:t>
            </w:r>
          </w:p>
        </w:tc>
        <w:tc>
          <w:tcPr>
            <w:tcW w:w="3882" w:type="dxa"/>
            <w:vMerge w:val="restart"/>
            <w:vAlign w:val="center"/>
          </w:tcPr>
          <w:p w14:paraId="59CDE2A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巡逻路线</w:t>
            </w:r>
          </w:p>
        </w:tc>
        <w:tc>
          <w:tcPr>
            <w:tcW w:w="4303" w:type="dxa"/>
            <w:vAlign w:val="center"/>
          </w:tcPr>
          <w:p w14:paraId="5FD7319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1、查看是否设定2套以上巡逻方案，建立有《维序巡逻路线控制清单》。</w:t>
            </w:r>
          </w:p>
        </w:tc>
        <w:tc>
          <w:tcPr>
            <w:tcW w:w="2266" w:type="dxa"/>
            <w:vMerge w:val="restart"/>
            <w:vAlign w:val="center"/>
          </w:tcPr>
          <w:p w14:paraId="6583796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Merge w:val="restart"/>
            <w:vAlign w:val="center"/>
          </w:tcPr>
          <w:p w14:paraId="0880678D">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Merge w:val="restart"/>
            <w:vAlign w:val="center"/>
          </w:tcPr>
          <w:p w14:paraId="6C50D915">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1C52443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4C08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55" w:type="dxa"/>
            <w:vMerge w:val="continue"/>
            <w:vAlign w:val="center"/>
          </w:tcPr>
          <w:p w14:paraId="2EA8DE14">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1378C194">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333F14E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2、抽查巡逻岗在巡逻周期内，是否对园区全面巡逻一次，发现问题并有详细记录。                 </w:t>
            </w:r>
          </w:p>
        </w:tc>
        <w:tc>
          <w:tcPr>
            <w:tcW w:w="2266" w:type="dxa"/>
            <w:vMerge w:val="continue"/>
            <w:vAlign w:val="center"/>
          </w:tcPr>
          <w:p w14:paraId="3A47362C">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2F63C947">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5F4F4BF3">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1F016290">
            <w:pPr>
              <w:rPr>
                <w:rFonts w:asciiTheme="minorEastAsia" w:hAnsiTheme="minorEastAsia" w:eastAsiaTheme="minorEastAsia"/>
                <w:color w:val="000000" w:themeColor="text1"/>
                <w14:textFill>
                  <w14:solidFill>
                    <w14:schemeClr w14:val="tx1"/>
                  </w14:solidFill>
                </w14:textFill>
              </w:rPr>
            </w:pPr>
          </w:p>
        </w:tc>
      </w:tr>
      <w:tr w14:paraId="15B5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155" w:type="dxa"/>
            <w:vMerge w:val="continue"/>
            <w:vAlign w:val="center"/>
          </w:tcPr>
          <w:p w14:paraId="3B5CC485">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5E823ED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每天夜间2</w:t>
            </w:r>
            <w:r>
              <w:rPr>
                <w:rFonts w:hint="eastAsia"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lang w:eastAsia="zh-TW"/>
                <w14:textFill>
                  <w14:solidFill>
                    <w14:schemeClr w14:val="tx1"/>
                  </w14:solidFill>
                </w14:textFill>
              </w:rPr>
              <w:t>：00至次日</w:t>
            </w:r>
            <w:r>
              <w:rPr>
                <w:rFonts w:hint="eastAsia" w:asciiTheme="minorEastAsia" w:hAnsiTheme="minorEastAsia" w:eastAsiaTheme="minorEastAsia"/>
                <w:color w:val="000000" w:themeColor="text1"/>
                <w14:textFill>
                  <w14:solidFill>
                    <w14:schemeClr w14:val="tx1"/>
                  </w14:solidFill>
                </w14:textFill>
              </w:rPr>
              <w:t>6</w:t>
            </w:r>
            <w:r>
              <w:rPr>
                <w:rFonts w:hint="eastAsia" w:asciiTheme="minorEastAsia" w:hAnsiTheme="minorEastAsia" w:eastAsiaTheme="minorEastAsia"/>
                <w:color w:val="000000" w:themeColor="text1"/>
                <w:lang w:eastAsia="zh-TW"/>
                <w14:textFill>
                  <w14:solidFill>
                    <w14:schemeClr w14:val="tx1"/>
                  </w14:solidFill>
                </w14:textFill>
              </w:rPr>
              <w:t>:00，巡逻岗每</w:t>
            </w:r>
            <w:r>
              <w:rPr>
                <w:rFonts w:hint="eastAsia"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lang w:eastAsia="zh-TW"/>
                <w14:textFill>
                  <w14:solidFill>
                    <w14:schemeClr w14:val="tx1"/>
                  </w14:solidFill>
                </w14:textFill>
              </w:rPr>
              <w:t>小时需在监控摄像范围内向监控中心报岗1次。</w:t>
            </w:r>
          </w:p>
        </w:tc>
        <w:tc>
          <w:tcPr>
            <w:tcW w:w="4303" w:type="dxa"/>
            <w:vAlign w:val="center"/>
          </w:tcPr>
          <w:p w14:paraId="3E8BDE0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查看监控中心记录表。</w:t>
            </w:r>
          </w:p>
        </w:tc>
        <w:tc>
          <w:tcPr>
            <w:tcW w:w="2266" w:type="dxa"/>
            <w:vAlign w:val="center"/>
          </w:tcPr>
          <w:p w14:paraId="4512E27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1次不符合扣1分</w:t>
            </w:r>
          </w:p>
        </w:tc>
        <w:tc>
          <w:tcPr>
            <w:tcW w:w="538" w:type="dxa"/>
            <w:vAlign w:val="center"/>
          </w:tcPr>
          <w:p w14:paraId="310D4730">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441" w:type="dxa"/>
            <w:vAlign w:val="center"/>
          </w:tcPr>
          <w:p w14:paraId="29FF3392">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404C010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109D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55" w:type="dxa"/>
            <w:vMerge w:val="continue"/>
            <w:vAlign w:val="center"/>
          </w:tcPr>
          <w:p w14:paraId="25D40F95">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72183EC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巡逻过程中，对地面上的烟头、纸屑等垃圾做到“人过地净”，对于大面积垃圾污染或油污等情况，要及时通知客服前台或相关部门处理。遇到</w:t>
            </w:r>
            <w:r>
              <w:rPr>
                <w:rFonts w:hint="eastAsia" w:asciiTheme="minorEastAsia" w:hAnsiTheme="minorEastAsia" w:eastAsiaTheme="minorEastAsia"/>
                <w:color w:val="000000" w:themeColor="text1"/>
                <w14:textFill>
                  <w14:solidFill>
                    <w14:schemeClr w14:val="tx1"/>
                  </w14:solidFill>
                </w14:textFill>
              </w:rPr>
              <w:t>业主</w:t>
            </w:r>
            <w:r>
              <w:rPr>
                <w:rFonts w:hint="eastAsia" w:asciiTheme="minorEastAsia" w:hAnsiTheme="minorEastAsia" w:eastAsiaTheme="minorEastAsia"/>
                <w:color w:val="000000" w:themeColor="text1"/>
                <w:lang w:eastAsia="zh-TW"/>
                <w14:textFill>
                  <w14:solidFill>
                    <w14:schemeClr w14:val="tx1"/>
                  </w14:solidFill>
                </w14:textFill>
              </w:rPr>
              <w:t>应主动礼让并主动问候或点头示意</w:t>
            </w:r>
            <w:r>
              <w:rPr>
                <w:rFonts w:hint="eastAsia" w:asciiTheme="minorEastAsia" w:hAnsiTheme="minorEastAsia" w:eastAsiaTheme="minorEastAsia"/>
                <w:color w:val="000000" w:themeColor="text1"/>
                <w14:textFill>
                  <w14:solidFill>
                    <w14:schemeClr w14:val="tx1"/>
                  </w14:solidFill>
                </w14:textFill>
              </w:rPr>
              <w:t>。</w:t>
            </w:r>
          </w:p>
        </w:tc>
        <w:tc>
          <w:tcPr>
            <w:tcW w:w="4303" w:type="dxa"/>
            <w:vAlign w:val="center"/>
          </w:tcPr>
          <w:p w14:paraId="5C75419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观察岗位是否按“人过地净”落实</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TW"/>
                <w14:textFill>
                  <w14:solidFill>
                    <w14:schemeClr w14:val="tx1"/>
                  </w14:solidFill>
                </w14:textFill>
              </w:rPr>
              <w:t>遇到业主是否主动问候或点头示意</w:t>
            </w:r>
            <w:r>
              <w:rPr>
                <w:rFonts w:hint="eastAsia" w:asciiTheme="minorEastAsia" w:hAnsiTheme="minorEastAsia" w:eastAsiaTheme="minorEastAsia"/>
                <w:color w:val="000000" w:themeColor="text1"/>
                <w14:textFill>
                  <w14:solidFill>
                    <w14:schemeClr w14:val="tx1"/>
                  </w14:solidFill>
                </w14:textFill>
              </w:rPr>
              <w:t>。</w:t>
            </w:r>
          </w:p>
        </w:tc>
        <w:tc>
          <w:tcPr>
            <w:tcW w:w="2266" w:type="dxa"/>
            <w:vAlign w:val="center"/>
          </w:tcPr>
          <w:p w14:paraId="361E62E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不符合不得分</w:t>
            </w:r>
          </w:p>
        </w:tc>
        <w:tc>
          <w:tcPr>
            <w:tcW w:w="538" w:type="dxa"/>
            <w:vAlign w:val="center"/>
          </w:tcPr>
          <w:p w14:paraId="250C7C73">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2376EB42">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3F4101E0">
            <w:pPr>
              <w:rPr>
                <w:rFonts w:asciiTheme="minorEastAsia" w:hAnsiTheme="minorEastAsia" w:eastAsiaTheme="minorEastAsia"/>
                <w:color w:val="000000" w:themeColor="text1"/>
                <w14:textFill>
                  <w14:solidFill>
                    <w14:schemeClr w14:val="tx1"/>
                  </w14:solidFill>
                </w14:textFill>
              </w:rPr>
            </w:pPr>
          </w:p>
        </w:tc>
      </w:tr>
      <w:tr w14:paraId="5E87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55" w:type="dxa"/>
            <w:vMerge w:val="continue"/>
            <w:vAlign w:val="center"/>
          </w:tcPr>
          <w:p w14:paraId="29FCD611">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0A4D7C6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巡逻时通过巡更棒、扫描二维码或手工等形式进行巡逻签到，巡逻完毕后认真填写《维序巡逻记录》，巡逻记录详细完整，包括但不限于巡逻情况，发现的问题，事件处理经过等。</w:t>
            </w:r>
          </w:p>
        </w:tc>
        <w:tc>
          <w:tcPr>
            <w:tcW w:w="4303" w:type="dxa"/>
            <w:vAlign w:val="center"/>
          </w:tcPr>
          <w:p w14:paraId="771B9F5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查看《维序巡逻记录》。</w:t>
            </w:r>
          </w:p>
        </w:tc>
        <w:tc>
          <w:tcPr>
            <w:tcW w:w="2266" w:type="dxa"/>
            <w:vAlign w:val="center"/>
          </w:tcPr>
          <w:p w14:paraId="27D4CE63">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抽查2处以上不符合不得分</w:t>
            </w:r>
          </w:p>
        </w:tc>
        <w:tc>
          <w:tcPr>
            <w:tcW w:w="538" w:type="dxa"/>
            <w:vAlign w:val="center"/>
          </w:tcPr>
          <w:p w14:paraId="017D48C6">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2D0E1A50">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5F7FCFA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4643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55" w:type="dxa"/>
            <w:vMerge w:val="continue"/>
            <w:vAlign w:val="center"/>
          </w:tcPr>
          <w:p w14:paraId="7BEEA581">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1D744E35">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检查围栏、围墙上方物防设施是否有损坏，小区周界及围墙是否有可疑人员或堆放易于攀爬的物品。</w:t>
            </w:r>
          </w:p>
        </w:tc>
        <w:tc>
          <w:tcPr>
            <w:tcW w:w="4303" w:type="dxa"/>
            <w:vAlign w:val="center"/>
          </w:tcPr>
          <w:p w14:paraId="68E20DE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查看、测试。</w:t>
            </w:r>
          </w:p>
        </w:tc>
        <w:tc>
          <w:tcPr>
            <w:tcW w:w="2266" w:type="dxa"/>
            <w:vAlign w:val="center"/>
          </w:tcPr>
          <w:p w14:paraId="0131CA2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不符合1项扣1分，2处以上不得分</w:t>
            </w:r>
          </w:p>
        </w:tc>
        <w:tc>
          <w:tcPr>
            <w:tcW w:w="538" w:type="dxa"/>
            <w:vAlign w:val="center"/>
          </w:tcPr>
          <w:p w14:paraId="74D848C1">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752DA99E">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641D29D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687E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155" w:type="dxa"/>
            <w:vMerge w:val="continue"/>
            <w:vAlign w:val="center"/>
          </w:tcPr>
          <w:p w14:paraId="2B05D798">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3A122673">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每天对周界系统进行检查，发现问题及时报修，遇有不能立即解决的问题时，应立即上报。</w:t>
            </w:r>
          </w:p>
        </w:tc>
        <w:tc>
          <w:tcPr>
            <w:tcW w:w="4303" w:type="dxa"/>
            <w:vAlign w:val="center"/>
          </w:tcPr>
          <w:p w14:paraId="52D431C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抽查巡查记录和报修记录。</w:t>
            </w:r>
          </w:p>
        </w:tc>
        <w:tc>
          <w:tcPr>
            <w:tcW w:w="2266" w:type="dxa"/>
            <w:vAlign w:val="center"/>
          </w:tcPr>
          <w:p w14:paraId="6C2B278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不符合1项扣1分，2处以上不得分</w:t>
            </w:r>
          </w:p>
        </w:tc>
        <w:tc>
          <w:tcPr>
            <w:tcW w:w="538" w:type="dxa"/>
            <w:vAlign w:val="center"/>
          </w:tcPr>
          <w:p w14:paraId="4AEEB7BC">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0E0A756C">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7374C4A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6913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continue"/>
            <w:vAlign w:val="center"/>
          </w:tcPr>
          <w:p w14:paraId="38F8E5B5">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23822BF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检查公共设施如公共信息栏、广告牌、灯箱、高脚架等是否牢固，发现问题及时报修。</w:t>
            </w:r>
          </w:p>
        </w:tc>
        <w:tc>
          <w:tcPr>
            <w:tcW w:w="4303" w:type="dxa"/>
            <w:vAlign w:val="center"/>
          </w:tcPr>
          <w:p w14:paraId="2B748DB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现场查看相关设施及巡查、报修记录。</w:t>
            </w:r>
          </w:p>
        </w:tc>
        <w:tc>
          <w:tcPr>
            <w:tcW w:w="2266" w:type="dxa"/>
            <w:vAlign w:val="center"/>
          </w:tcPr>
          <w:p w14:paraId="7E43E5F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不符合1处扣0.5分，出现3处以上不得分</w:t>
            </w:r>
          </w:p>
        </w:tc>
        <w:tc>
          <w:tcPr>
            <w:tcW w:w="538" w:type="dxa"/>
            <w:vAlign w:val="center"/>
          </w:tcPr>
          <w:p w14:paraId="5D576AC9">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43F1F74C">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0A5A380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1820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restart"/>
            <w:vAlign w:val="center"/>
          </w:tcPr>
          <w:p w14:paraId="07FC21F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整装巡逻</w:t>
            </w:r>
          </w:p>
        </w:tc>
        <w:tc>
          <w:tcPr>
            <w:tcW w:w="3882" w:type="dxa"/>
            <w:vAlign w:val="center"/>
          </w:tcPr>
          <w:p w14:paraId="6E42038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维序巡逻岗位配置标准</w:t>
            </w:r>
          </w:p>
        </w:tc>
        <w:tc>
          <w:tcPr>
            <w:tcW w:w="4303" w:type="dxa"/>
            <w:vAlign w:val="center"/>
          </w:tcPr>
          <w:p w14:paraId="41176BC3">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1、观察整装巡逻的最低人数为</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人。 2、观察巡逻岗是否按配置要求落实，如：防暴背心、防暴头盔、</w:t>
            </w:r>
            <w:r>
              <w:rPr>
                <w:rFonts w:hint="eastAsia" w:asciiTheme="minorEastAsia" w:hAnsiTheme="minorEastAsia" w:eastAsiaTheme="minorEastAsia"/>
                <w:color w:val="000000" w:themeColor="text1"/>
                <w:lang w:eastAsia="zh-CN"/>
                <w14:textFill>
                  <w14:solidFill>
                    <w14:schemeClr w14:val="tx1"/>
                  </w14:solidFill>
                </w14:textFill>
              </w:rPr>
              <w:t>防暴</w:t>
            </w:r>
            <w:r>
              <w:rPr>
                <w:rFonts w:hint="eastAsia" w:asciiTheme="minorEastAsia" w:hAnsiTheme="minorEastAsia" w:eastAsiaTheme="minorEastAsia"/>
                <w:color w:val="000000" w:themeColor="text1"/>
                <w14:textFill>
                  <w14:solidFill>
                    <w14:schemeClr w14:val="tx1"/>
                  </w14:solidFill>
                </w14:textFill>
              </w:rPr>
              <w:t>警棍、防暴手电和对讲机等。</w:t>
            </w:r>
          </w:p>
        </w:tc>
        <w:tc>
          <w:tcPr>
            <w:tcW w:w="2266" w:type="dxa"/>
            <w:vAlign w:val="center"/>
          </w:tcPr>
          <w:p w14:paraId="7E98682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一项不符合扣1分</w:t>
            </w:r>
          </w:p>
        </w:tc>
        <w:tc>
          <w:tcPr>
            <w:tcW w:w="538" w:type="dxa"/>
            <w:vAlign w:val="center"/>
          </w:tcPr>
          <w:p w14:paraId="74096022">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2E10F7C6">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73F89D7A">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4D16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55" w:type="dxa"/>
            <w:vMerge w:val="continue"/>
            <w:vAlign w:val="center"/>
          </w:tcPr>
          <w:p w14:paraId="2FC85296">
            <w:pPr>
              <w:rPr>
                <w:rFonts w:asciiTheme="minorEastAsia" w:hAnsiTheme="minorEastAsia" w:eastAsiaTheme="minorEastAsia"/>
                <w:color w:val="000000" w:themeColor="text1"/>
                <w14:textFill>
                  <w14:solidFill>
                    <w14:schemeClr w14:val="tx1"/>
                  </w14:solidFill>
                </w14:textFill>
              </w:rPr>
            </w:pPr>
          </w:p>
        </w:tc>
        <w:tc>
          <w:tcPr>
            <w:tcW w:w="3882" w:type="dxa"/>
            <w:vMerge w:val="restart"/>
            <w:vAlign w:val="center"/>
          </w:tcPr>
          <w:p w14:paraId="4F50B93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维序巡逻管理要求</w:t>
            </w:r>
          </w:p>
        </w:tc>
        <w:tc>
          <w:tcPr>
            <w:tcW w:w="4303" w:type="dxa"/>
            <w:vAlign w:val="center"/>
          </w:tcPr>
          <w:p w14:paraId="0D2A458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1、抽查监控录像是否巡逻每天进行1次。              </w:t>
            </w:r>
          </w:p>
        </w:tc>
        <w:tc>
          <w:tcPr>
            <w:tcW w:w="2266" w:type="dxa"/>
            <w:vMerge w:val="restart"/>
            <w:vAlign w:val="center"/>
          </w:tcPr>
          <w:p w14:paraId="3F09513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一项不符合扣2分</w:t>
            </w:r>
          </w:p>
        </w:tc>
        <w:tc>
          <w:tcPr>
            <w:tcW w:w="538" w:type="dxa"/>
            <w:vMerge w:val="restart"/>
            <w:vAlign w:val="center"/>
          </w:tcPr>
          <w:p w14:paraId="5A73BDAE">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441" w:type="dxa"/>
            <w:vMerge w:val="restart"/>
            <w:vAlign w:val="center"/>
          </w:tcPr>
          <w:p w14:paraId="2EA168A4">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499E6E0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2277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55" w:type="dxa"/>
            <w:vMerge w:val="continue"/>
            <w:vAlign w:val="center"/>
          </w:tcPr>
          <w:p w14:paraId="3A370B85">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526B41FC">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1FC4F69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2、抽查监控录像是否按巡逻路线进行巡逻。                </w:t>
            </w:r>
          </w:p>
        </w:tc>
        <w:tc>
          <w:tcPr>
            <w:tcW w:w="2266" w:type="dxa"/>
            <w:vMerge w:val="continue"/>
            <w:vAlign w:val="center"/>
          </w:tcPr>
          <w:p w14:paraId="737C9551">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0B592032">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57C15514">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7EFD9E47">
            <w:pPr>
              <w:rPr>
                <w:rFonts w:asciiTheme="minorEastAsia" w:hAnsiTheme="minorEastAsia" w:eastAsiaTheme="minorEastAsia"/>
                <w:color w:val="000000" w:themeColor="text1"/>
                <w14:textFill>
                  <w14:solidFill>
                    <w14:schemeClr w14:val="tx1"/>
                  </w14:solidFill>
                </w14:textFill>
              </w:rPr>
            </w:pPr>
          </w:p>
        </w:tc>
      </w:tr>
      <w:tr w14:paraId="0ECE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155" w:type="dxa"/>
            <w:vMerge w:val="restart"/>
            <w:vAlign w:val="center"/>
          </w:tcPr>
          <w:p w14:paraId="438E1D3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异常情况处置</w:t>
            </w:r>
          </w:p>
        </w:tc>
        <w:tc>
          <w:tcPr>
            <w:tcW w:w="3882" w:type="dxa"/>
            <w:vMerge w:val="restart"/>
            <w:vAlign w:val="center"/>
          </w:tcPr>
          <w:p w14:paraId="1C9A863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暴风雨来临前需检查防汛物资储备情况，如防汛沙袋、潜水泵、应急照明等</w:t>
            </w:r>
          </w:p>
        </w:tc>
        <w:tc>
          <w:tcPr>
            <w:tcW w:w="4303" w:type="dxa"/>
            <w:vAlign w:val="center"/>
          </w:tcPr>
          <w:p w14:paraId="17D515F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1、查看物资储备清单。         </w:t>
            </w:r>
          </w:p>
        </w:tc>
        <w:tc>
          <w:tcPr>
            <w:tcW w:w="2266" w:type="dxa"/>
            <w:vMerge w:val="restart"/>
            <w:vAlign w:val="center"/>
          </w:tcPr>
          <w:p w14:paraId="242FEF9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1项不符合扣1分，2项以上不得分</w:t>
            </w:r>
          </w:p>
        </w:tc>
        <w:tc>
          <w:tcPr>
            <w:tcW w:w="538" w:type="dxa"/>
            <w:vMerge w:val="restart"/>
            <w:vAlign w:val="center"/>
          </w:tcPr>
          <w:p w14:paraId="03775580">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441" w:type="dxa"/>
            <w:vMerge w:val="restart"/>
            <w:vAlign w:val="center"/>
          </w:tcPr>
          <w:p w14:paraId="266967B0">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00AE28E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1533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155" w:type="dxa"/>
            <w:vMerge w:val="continue"/>
            <w:vAlign w:val="center"/>
          </w:tcPr>
          <w:p w14:paraId="25D45785">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47134175">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1C0C2E4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2、查看有无配置防汛沙袋。     </w:t>
            </w:r>
          </w:p>
        </w:tc>
        <w:tc>
          <w:tcPr>
            <w:tcW w:w="2266" w:type="dxa"/>
            <w:vMerge w:val="continue"/>
            <w:vAlign w:val="center"/>
          </w:tcPr>
          <w:p w14:paraId="5C64E045">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5F648348">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4DA8300B">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1F5B968D">
            <w:pPr>
              <w:rPr>
                <w:rFonts w:asciiTheme="minorEastAsia" w:hAnsiTheme="minorEastAsia" w:eastAsiaTheme="minorEastAsia"/>
                <w:color w:val="000000" w:themeColor="text1"/>
                <w14:textFill>
                  <w14:solidFill>
                    <w14:schemeClr w14:val="tx1"/>
                  </w14:solidFill>
                </w14:textFill>
              </w:rPr>
            </w:pPr>
          </w:p>
        </w:tc>
      </w:tr>
      <w:tr w14:paraId="443F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55" w:type="dxa"/>
            <w:vMerge w:val="continue"/>
            <w:vAlign w:val="center"/>
          </w:tcPr>
          <w:p w14:paraId="61CCF736">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4D4BE4F4">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257BC26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3、查看储备的潜水泵。         </w:t>
            </w:r>
          </w:p>
        </w:tc>
        <w:tc>
          <w:tcPr>
            <w:tcW w:w="2266" w:type="dxa"/>
            <w:vMerge w:val="continue"/>
            <w:vAlign w:val="center"/>
          </w:tcPr>
          <w:p w14:paraId="76BE1E01">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00653FD8">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22258D1F">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6C2E7675">
            <w:pPr>
              <w:rPr>
                <w:rFonts w:asciiTheme="minorEastAsia" w:hAnsiTheme="minorEastAsia" w:eastAsiaTheme="minorEastAsia"/>
                <w:color w:val="000000" w:themeColor="text1"/>
                <w14:textFill>
                  <w14:solidFill>
                    <w14:schemeClr w14:val="tx1"/>
                  </w14:solidFill>
                </w14:textFill>
              </w:rPr>
            </w:pPr>
          </w:p>
        </w:tc>
      </w:tr>
      <w:tr w14:paraId="1586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55" w:type="dxa"/>
            <w:vMerge w:val="continue"/>
            <w:vAlign w:val="center"/>
          </w:tcPr>
          <w:p w14:paraId="2B3EEAC9">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207D94CC">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4067C7F4">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4、查看应急照明是否能正常使用。</w:t>
            </w:r>
          </w:p>
        </w:tc>
        <w:tc>
          <w:tcPr>
            <w:tcW w:w="2266" w:type="dxa"/>
            <w:vMerge w:val="continue"/>
            <w:vAlign w:val="center"/>
          </w:tcPr>
          <w:p w14:paraId="486738E5">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3C3C877D">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1D3C1FD2">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4C10AE89">
            <w:pPr>
              <w:rPr>
                <w:rFonts w:asciiTheme="minorEastAsia" w:hAnsiTheme="minorEastAsia" w:eastAsiaTheme="minorEastAsia"/>
                <w:color w:val="000000" w:themeColor="text1"/>
                <w14:textFill>
                  <w14:solidFill>
                    <w14:schemeClr w14:val="tx1"/>
                  </w14:solidFill>
                </w14:textFill>
              </w:rPr>
            </w:pPr>
          </w:p>
        </w:tc>
      </w:tr>
      <w:tr w14:paraId="50E0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55" w:type="dxa"/>
            <w:vMerge w:val="continue"/>
            <w:vAlign w:val="center"/>
          </w:tcPr>
          <w:p w14:paraId="115F71D6">
            <w:pPr>
              <w:rPr>
                <w:rFonts w:asciiTheme="minorEastAsia" w:hAnsiTheme="minorEastAsia" w:eastAsiaTheme="minorEastAsia"/>
                <w:color w:val="000000" w:themeColor="text1"/>
                <w14:textFill>
                  <w14:solidFill>
                    <w14:schemeClr w14:val="tx1"/>
                  </w14:solidFill>
                </w14:textFill>
              </w:rPr>
            </w:pPr>
          </w:p>
        </w:tc>
        <w:tc>
          <w:tcPr>
            <w:tcW w:w="3882" w:type="dxa"/>
            <w:vMerge w:val="restart"/>
            <w:vAlign w:val="center"/>
          </w:tcPr>
          <w:p w14:paraId="048BFFF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异常情况接报3分钟赶到现场，熟悉处置流程</w:t>
            </w:r>
          </w:p>
        </w:tc>
        <w:tc>
          <w:tcPr>
            <w:tcW w:w="4303" w:type="dxa"/>
            <w:vAlign w:val="center"/>
          </w:tcPr>
          <w:p w14:paraId="511CF2C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1、测试是否在3分钟内有维序员赶到现场，在行进中降低自身发出的音量，对现场人员进行盘查。               </w:t>
            </w:r>
          </w:p>
        </w:tc>
        <w:tc>
          <w:tcPr>
            <w:tcW w:w="2266" w:type="dxa"/>
            <w:vMerge w:val="restart"/>
            <w:vAlign w:val="center"/>
          </w:tcPr>
          <w:p w14:paraId="1587E77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1项不符合扣3分，2项以上不得分</w:t>
            </w:r>
          </w:p>
        </w:tc>
        <w:tc>
          <w:tcPr>
            <w:tcW w:w="538" w:type="dxa"/>
            <w:vMerge w:val="restart"/>
            <w:vAlign w:val="center"/>
          </w:tcPr>
          <w:p w14:paraId="0AB7E7C7">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w:t>
            </w:r>
          </w:p>
        </w:tc>
        <w:tc>
          <w:tcPr>
            <w:tcW w:w="441" w:type="dxa"/>
            <w:vMerge w:val="restart"/>
            <w:vAlign w:val="center"/>
          </w:tcPr>
          <w:p w14:paraId="44E34CC2">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02AD1C5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618F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291A57C6">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7B426236">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22670E4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2、测试当值巡逻员是否按应急预案要求时间内携带相关器材赶赴现场处理。                    </w:t>
            </w:r>
          </w:p>
        </w:tc>
        <w:tc>
          <w:tcPr>
            <w:tcW w:w="2266" w:type="dxa"/>
            <w:vMerge w:val="continue"/>
            <w:vAlign w:val="center"/>
          </w:tcPr>
          <w:p w14:paraId="6A834083">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6344A9D6">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1CD69227">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59625F20">
            <w:pPr>
              <w:rPr>
                <w:rFonts w:asciiTheme="minorEastAsia" w:hAnsiTheme="minorEastAsia" w:eastAsiaTheme="minorEastAsia"/>
                <w:color w:val="000000" w:themeColor="text1"/>
                <w14:textFill>
                  <w14:solidFill>
                    <w14:schemeClr w14:val="tx1"/>
                  </w14:solidFill>
                </w14:textFill>
              </w:rPr>
            </w:pPr>
          </w:p>
        </w:tc>
      </w:tr>
      <w:tr w14:paraId="0F83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4DD1E9BF">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6365FAAC">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6AD7FBA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3、观察到达现场后，是否检查报警区域及周边异常情况并及时反馈。                    </w:t>
            </w:r>
          </w:p>
        </w:tc>
        <w:tc>
          <w:tcPr>
            <w:tcW w:w="2266" w:type="dxa"/>
            <w:vMerge w:val="continue"/>
            <w:vAlign w:val="center"/>
          </w:tcPr>
          <w:p w14:paraId="3B584D13">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5384550E">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7D69F2D8">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181C786E">
            <w:pPr>
              <w:rPr>
                <w:rFonts w:asciiTheme="minorEastAsia" w:hAnsiTheme="minorEastAsia" w:eastAsiaTheme="minorEastAsia"/>
                <w:color w:val="000000" w:themeColor="text1"/>
                <w14:textFill>
                  <w14:solidFill>
                    <w14:schemeClr w14:val="tx1"/>
                  </w14:solidFill>
                </w14:textFill>
              </w:rPr>
            </w:pPr>
          </w:p>
        </w:tc>
      </w:tr>
      <w:tr w14:paraId="345D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restart"/>
            <w:vAlign w:val="center"/>
          </w:tcPr>
          <w:p w14:paraId="1EA4D06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安防智能系统/设备管理</w:t>
            </w:r>
          </w:p>
        </w:tc>
        <w:tc>
          <w:tcPr>
            <w:tcW w:w="3882" w:type="dxa"/>
            <w:vMerge w:val="restart"/>
            <w:vAlign w:val="center"/>
          </w:tcPr>
          <w:p w14:paraId="4735C43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门禁控制</w:t>
            </w:r>
          </w:p>
        </w:tc>
        <w:tc>
          <w:tcPr>
            <w:tcW w:w="4303" w:type="dxa"/>
            <w:vAlign w:val="center"/>
          </w:tcPr>
          <w:p w14:paraId="722E2B2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1、询问门禁配有密码开启功能，除系统管理员外，其他人员不得使用。   </w:t>
            </w:r>
          </w:p>
        </w:tc>
        <w:tc>
          <w:tcPr>
            <w:tcW w:w="2266" w:type="dxa"/>
            <w:vMerge w:val="restart"/>
            <w:vAlign w:val="center"/>
          </w:tcPr>
          <w:p w14:paraId="02D3F46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一项不符合扣2分</w:t>
            </w:r>
          </w:p>
        </w:tc>
        <w:tc>
          <w:tcPr>
            <w:tcW w:w="538" w:type="dxa"/>
            <w:vMerge w:val="restart"/>
            <w:vAlign w:val="center"/>
          </w:tcPr>
          <w:p w14:paraId="0CF0138B">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441" w:type="dxa"/>
            <w:vMerge w:val="restart"/>
            <w:vAlign w:val="center"/>
          </w:tcPr>
          <w:p w14:paraId="38314A0A">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15A64D0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7FE3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2C938A68">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4BEAE4AF">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2398E875">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2、查看《维序岗位值班记录》是否有故障记录及报修记录。</w:t>
            </w:r>
          </w:p>
        </w:tc>
        <w:tc>
          <w:tcPr>
            <w:tcW w:w="2266" w:type="dxa"/>
            <w:vMerge w:val="continue"/>
            <w:vAlign w:val="center"/>
          </w:tcPr>
          <w:p w14:paraId="4B93B20D">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4A3A538E">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63C6A537">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4F799987">
            <w:pPr>
              <w:rPr>
                <w:rFonts w:asciiTheme="minorEastAsia" w:hAnsiTheme="minorEastAsia" w:eastAsiaTheme="minorEastAsia"/>
                <w:color w:val="000000" w:themeColor="text1"/>
                <w14:textFill>
                  <w14:solidFill>
                    <w14:schemeClr w14:val="tx1"/>
                  </w14:solidFill>
                </w14:textFill>
              </w:rPr>
            </w:pPr>
          </w:p>
        </w:tc>
      </w:tr>
      <w:tr w14:paraId="00D4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5A2056EB">
            <w:pPr>
              <w:rPr>
                <w:rFonts w:asciiTheme="minorEastAsia" w:hAnsiTheme="minorEastAsia" w:eastAsiaTheme="minorEastAsia"/>
                <w:color w:val="000000" w:themeColor="text1"/>
                <w14:textFill>
                  <w14:solidFill>
                    <w14:schemeClr w14:val="tx1"/>
                  </w14:solidFill>
                </w14:textFill>
              </w:rPr>
            </w:pPr>
          </w:p>
        </w:tc>
        <w:tc>
          <w:tcPr>
            <w:tcW w:w="3882" w:type="dxa"/>
            <w:vMerge w:val="restart"/>
            <w:vAlign w:val="center"/>
          </w:tcPr>
          <w:p w14:paraId="2A5B8B9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周界防范系统（红外、电子脉冲）</w:t>
            </w:r>
          </w:p>
        </w:tc>
        <w:tc>
          <w:tcPr>
            <w:tcW w:w="4303" w:type="dxa"/>
            <w:vAlign w:val="center"/>
          </w:tcPr>
          <w:p w14:paraId="6204076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1、测试是否设防，无盲区和死角，并具备防拆、防破坏功能。      </w:t>
            </w:r>
          </w:p>
        </w:tc>
        <w:tc>
          <w:tcPr>
            <w:tcW w:w="2266" w:type="dxa"/>
            <w:vMerge w:val="restart"/>
            <w:vAlign w:val="center"/>
          </w:tcPr>
          <w:p w14:paraId="5DB8A74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1项不符合扣2分</w:t>
            </w:r>
          </w:p>
        </w:tc>
        <w:tc>
          <w:tcPr>
            <w:tcW w:w="538" w:type="dxa"/>
            <w:vMerge w:val="restart"/>
            <w:vAlign w:val="center"/>
          </w:tcPr>
          <w:p w14:paraId="4E2AC93E">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p>
        </w:tc>
        <w:tc>
          <w:tcPr>
            <w:tcW w:w="441" w:type="dxa"/>
            <w:vMerge w:val="restart"/>
            <w:vAlign w:val="center"/>
          </w:tcPr>
          <w:p w14:paraId="1E8B9453">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6FB1B5F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1FEB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1067CC40">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1F679FEC">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536F88D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2、查看每天是否有对周界报警系统的设防情况进行一次测试。    </w:t>
            </w:r>
          </w:p>
        </w:tc>
        <w:tc>
          <w:tcPr>
            <w:tcW w:w="2266" w:type="dxa"/>
            <w:vMerge w:val="continue"/>
            <w:vAlign w:val="center"/>
          </w:tcPr>
          <w:p w14:paraId="10175164">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3D55E925">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6BAF3BDD">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7D47CA18">
            <w:pPr>
              <w:rPr>
                <w:rFonts w:asciiTheme="minorEastAsia" w:hAnsiTheme="minorEastAsia" w:eastAsiaTheme="minorEastAsia"/>
                <w:color w:val="000000" w:themeColor="text1"/>
                <w14:textFill>
                  <w14:solidFill>
                    <w14:schemeClr w14:val="tx1"/>
                  </w14:solidFill>
                </w14:textFill>
              </w:rPr>
            </w:pPr>
          </w:p>
        </w:tc>
      </w:tr>
      <w:tr w14:paraId="08B0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55" w:type="dxa"/>
            <w:vMerge w:val="continue"/>
            <w:vAlign w:val="center"/>
          </w:tcPr>
          <w:p w14:paraId="2340A199">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5E3EC73C">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000AA7B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3、周界报警系统安装区域要安装监控摄像头予以辅助。          </w:t>
            </w:r>
          </w:p>
        </w:tc>
        <w:tc>
          <w:tcPr>
            <w:tcW w:w="2266" w:type="dxa"/>
            <w:vMerge w:val="continue"/>
            <w:vAlign w:val="center"/>
          </w:tcPr>
          <w:p w14:paraId="47C86587">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2C4DE94F">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08310766">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4351E4B3">
            <w:pPr>
              <w:rPr>
                <w:rFonts w:asciiTheme="minorEastAsia" w:hAnsiTheme="minorEastAsia" w:eastAsiaTheme="minorEastAsia"/>
                <w:color w:val="000000" w:themeColor="text1"/>
                <w14:textFill>
                  <w14:solidFill>
                    <w14:schemeClr w14:val="tx1"/>
                  </w14:solidFill>
                </w14:textFill>
              </w:rPr>
            </w:pPr>
          </w:p>
        </w:tc>
      </w:tr>
      <w:tr w14:paraId="02E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155" w:type="dxa"/>
            <w:vMerge w:val="restart"/>
            <w:vAlign w:val="center"/>
          </w:tcPr>
          <w:p w14:paraId="1345DDF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消防管理</w:t>
            </w:r>
          </w:p>
        </w:tc>
        <w:tc>
          <w:tcPr>
            <w:tcW w:w="3882" w:type="dxa"/>
            <w:vMerge w:val="restart"/>
            <w:vAlign w:val="center"/>
          </w:tcPr>
          <w:p w14:paraId="44B1CFE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消防设备设施台账</w:t>
            </w:r>
          </w:p>
        </w:tc>
        <w:tc>
          <w:tcPr>
            <w:tcW w:w="4303" w:type="dxa"/>
            <w:vAlign w:val="center"/>
          </w:tcPr>
          <w:p w14:paraId="5944038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1、查看消防设备设施台账类别清晰，内容完整。                </w:t>
            </w:r>
          </w:p>
        </w:tc>
        <w:tc>
          <w:tcPr>
            <w:tcW w:w="2266" w:type="dxa"/>
            <w:vMerge w:val="restart"/>
            <w:vAlign w:val="center"/>
          </w:tcPr>
          <w:p w14:paraId="74008775">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Merge w:val="restart"/>
            <w:vAlign w:val="center"/>
          </w:tcPr>
          <w:p w14:paraId="0FB3284C">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441" w:type="dxa"/>
            <w:vMerge w:val="restart"/>
            <w:vAlign w:val="center"/>
          </w:tcPr>
          <w:p w14:paraId="1DD5565C">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043862A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0659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55" w:type="dxa"/>
            <w:vMerge w:val="continue"/>
            <w:vAlign w:val="center"/>
          </w:tcPr>
          <w:p w14:paraId="1FD6F405">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13C848B7">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6C0187E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2、抽查台账所列2处物资应与现场一致。</w:t>
            </w:r>
          </w:p>
        </w:tc>
        <w:tc>
          <w:tcPr>
            <w:tcW w:w="2266" w:type="dxa"/>
            <w:vMerge w:val="continue"/>
            <w:vAlign w:val="center"/>
          </w:tcPr>
          <w:p w14:paraId="47B4393B">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30809F6A">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17EDE5DA">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65FF8113">
            <w:pPr>
              <w:rPr>
                <w:rFonts w:asciiTheme="minorEastAsia" w:hAnsiTheme="minorEastAsia" w:eastAsiaTheme="minorEastAsia"/>
                <w:color w:val="000000" w:themeColor="text1"/>
                <w14:textFill>
                  <w14:solidFill>
                    <w14:schemeClr w14:val="tx1"/>
                  </w14:solidFill>
                </w14:textFill>
              </w:rPr>
            </w:pPr>
          </w:p>
        </w:tc>
      </w:tr>
      <w:tr w14:paraId="4978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55" w:type="dxa"/>
            <w:vMerge w:val="continue"/>
            <w:vAlign w:val="center"/>
          </w:tcPr>
          <w:p w14:paraId="6F4D6A42">
            <w:pPr>
              <w:rPr>
                <w:rFonts w:asciiTheme="minorEastAsia" w:hAnsiTheme="minorEastAsia" w:eastAsiaTheme="minorEastAsia"/>
                <w:color w:val="000000" w:themeColor="text1"/>
                <w14:textFill>
                  <w14:solidFill>
                    <w14:schemeClr w14:val="tx1"/>
                  </w14:solidFill>
                </w14:textFill>
              </w:rPr>
            </w:pPr>
          </w:p>
        </w:tc>
        <w:tc>
          <w:tcPr>
            <w:tcW w:w="3882" w:type="dxa"/>
            <w:vMerge w:val="restart"/>
            <w:vAlign w:val="center"/>
          </w:tcPr>
          <w:p w14:paraId="49BD72E5">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消防通道</w:t>
            </w:r>
          </w:p>
        </w:tc>
        <w:tc>
          <w:tcPr>
            <w:tcW w:w="4303" w:type="dxa"/>
            <w:vAlign w:val="center"/>
          </w:tcPr>
          <w:p w14:paraId="0E0794E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1、查看消防通道无堆放杂物，畅通、无阻碍物和无不符合消防规定的门等设施。  </w:t>
            </w:r>
          </w:p>
        </w:tc>
        <w:tc>
          <w:tcPr>
            <w:tcW w:w="2266" w:type="dxa"/>
            <w:vMerge w:val="restart"/>
            <w:vAlign w:val="center"/>
          </w:tcPr>
          <w:p w14:paraId="7618502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1项不符合扣1分，2项以上不得分</w:t>
            </w:r>
          </w:p>
        </w:tc>
        <w:tc>
          <w:tcPr>
            <w:tcW w:w="538" w:type="dxa"/>
            <w:vMerge w:val="restart"/>
            <w:vAlign w:val="center"/>
          </w:tcPr>
          <w:p w14:paraId="3B7EFBD3">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441" w:type="dxa"/>
            <w:vMerge w:val="restart"/>
            <w:vAlign w:val="center"/>
          </w:tcPr>
          <w:p w14:paraId="2CD1A445">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4C99770B">
            <w:pPr>
              <w:rPr>
                <w:rFonts w:asciiTheme="minorEastAsia" w:hAnsiTheme="minorEastAsia" w:eastAsiaTheme="minorEastAsia"/>
                <w:color w:val="000000" w:themeColor="text1"/>
                <w14:textFill>
                  <w14:solidFill>
                    <w14:schemeClr w14:val="tx1"/>
                  </w14:solidFill>
                </w14:textFill>
              </w:rPr>
            </w:pPr>
          </w:p>
        </w:tc>
      </w:tr>
      <w:tr w14:paraId="6249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55" w:type="dxa"/>
            <w:vMerge w:val="continue"/>
            <w:vAlign w:val="center"/>
          </w:tcPr>
          <w:p w14:paraId="377EB837">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24789E40">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566DC32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2、检查2条消防通道是否符合公司要求。</w:t>
            </w:r>
          </w:p>
        </w:tc>
        <w:tc>
          <w:tcPr>
            <w:tcW w:w="2266" w:type="dxa"/>
            <w:vMerge w:val="continue"/>
            <w:vAlign w:val="center"/>
          </w:tcPr>
          <w:p w14:paraId="169B0257">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415C9097">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2284F905">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7C6E860E">
            <w:pPr>
              <w:rPr>
                <w:rFonts w:asciiTheme="minorEastAsia" w:hAnsiTheme="minorEastAsia" w:eastAsiaTheme="minorEastAsia"/>
                <w:color w:val="000000" w:themeColor="text1"/>
                <w14:textFill>
                  <w14:solidFill>
                    <w14:schemeClr w14:val="tx1"/>
                  </w14:solidFill>
                </w14:textFill>
              </w:rPr>
            </w:pPr>
          </w:p>
        </w:tc>
      </w:tr>
      <w:tr w14:paraId="1B82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55" w:type="dxa"/>
            <w:vMerge w:val="continue"/>
            <w:vAlign w:val="center"/>
          </w:tcPr>
          <w:p w14:paraId="66F53B36">
            <w:pPr>
              <w:rPr>
                <w:rFonts w:asciiTheme="minorEastAsia" w:hAnsiTheme="minorEastAsia" w:eastAsiaTheme="minorEastAsia"/>
                <w:color w:val="000000" w:themeColor="text1"/>
                <w14:textFill>
                  <w14:solidFill>
                    <w14:schemeClr w14:val="tx1"/>
                  </w14:solidFill>
                </w14:textFill>
              </w:rPr>
            </w:pPr>
          </w:p>
        </w:tc>
        <w:tc>
          <w:tcPr>
            <w:tcW w:w="3882" w:type="dxa"/>
            <w:vMerge w:val="restart"/>
            <w:vAlign w:val="center"/>
          </w:tcPr>
          <w:p w14:paraId="7888A04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消防设施设备</w:t>
            </w:r>
          </w:p>
        </w:tc>
        <w:tc>
          <w:tcPr>
            <w:tcW w:w="4303" w:type="dxa"/>
            <w:vAlign w:val="center"/>
          </w:tcPr>
          <w:p w14:paraId="54D3DA0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1、查看消防设备设施完好无损，可随时启用，严禁挪作他用。    </w:t>
            </w:r>
          </w:p>
        </w:tc>
        <w:tc>
          <w:tcPr>
            <w:tcW w:w="2266" w:type="dxa"/>
            <w:vMerge w:val="restart"/>
            <w:vAlign w:val="center"/>
          </w:tcPr>
          <w:p w14:paraId="329A1DA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1项不符合扣1分，3项以上不得分</w:t>
            </w:r>
          </w:p>
        </w:tc>
        <w:tc>
          <w:tcPr>
            <w:tcW w:w="538" w:type="dxa"/>
            <w:vMerge w:val="restart"/>
            <w:vAlign w:val="center"/>
          </w:tcPr>
          <w:p w14:paraId="14594A46">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441" w:type="dxa"/>
            <w:vMerge w:val="restart"/>
            <w:vAlign w:val="center"/>
          </w:tcPr>
          <w:p w14:paraId="60109146">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4D5F4F9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6D65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55" w:type="dxa"/>
            <w:vMerge w:val="continue"/>
            <w:vAlign w:val="center"/>
          </w:tcPr>
          <w:p w14:paraId="49B05B95">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500998DA">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6CC548D9">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2、查看项目消防物资配备情况，如：消防斧头、消防扳手、撬</w:t>
            </w:r>
            <w:r>
              <w:rPr>
                <w:rFonts w:hint="eastAsia" w:asciiTheme="minorEastAsia" w:hAnsiTheme="minorEastAsia" w:eastAsiaTheme="minorEastAsia"/>
                <w:color w:val="000000" w:themeColor="text1"/>
                <w:lang w:val="en-US" w:eastAsia="zh-CN"/>
                <w14:textFill>
                  <w14:solidFill>
                    <w14:schemeClr w14:val="tx1"/>
                  </w14:solidFill>
                </w14:textFill>
              </w:rPr>
              <w:t>棍</w:t>
            </w:r>
            <w:r>
              <w:rPr>
                <w:rFonts w:hint="eastAsia" w:asciiTheme="minorEastAsia" w:hAnsiTheme="minorEastAsia" w:eastAsiaTheme="minorEastAsia"/>
                <w:color w:val="000000" w:themeColor="text1"/>
                <w14:textFill>
                  <w14:solidFill>
                    <w14:schemeClr w14:val="tx1"/>
                  </w14:solidFill>
                </w14:textFill>
              </w:rPr>
              <w:t xml:space="preserve">、铁锤等消防工具，以及警戒带、医疗箱及常用医药、防烟防毒工具等。 </w:t>
            </w:r>
            <w:r>
              <w:rPr>
                <w:rFonts w:hint="eastAsia" w:asciiTheme="minorEastAsia" w:hAnsiTheme="minorEastAsia" w:eastAsiaTheme="minorEastAsia"/>
                <w:color w:val="000000" w:themeColor="text1"/>
                <w14:textFill>
                  <w14:solidFill>
                    <w14:schemeClr w14:val="tx1"/>
                  </w14:solidFill>
                </w14:textFill>
              </w:rPr>
              <w:br w:type="textWrapping"/>
            </w:r>
            <w:r>
              <w:rPr>
                <w:rFonts w:hint="eastAsia" w:asciiTheme="minorEastAsia" w:hAnsiTheme="minorEastAsia" w:eastAsiaTheme="minorEastAsia"/>
                <w:color w:val="000000" w:themeColor="text1"/>
                <w14:textFill>
                  <w14:solidFill>
                    <w14:schemeClr w14:val="tx1"/>
                  </w14:solidFill>
                </w14:textFill>
              </w:rPr>
              <w:t xml:space="preserve">3、抽查消防设施是否定期进行检查，并保存相关记录。          </w:t>
            </w:r>
          </w:p>
        </w:tc>
        <w:tc>
          <w:tcPr>
            <w:tcW w:w="2266" w:type="dxa"/>
            <w:vMerge w:val="continue"/>
            <w:vAlign w:val="center"/>
          </w:tcPr>
          <w:p w14:paraId="65C66357">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3109FE83">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4528FC08">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11231AA3">
            <w:pPr>
              <w:rPr>
                <w:rFonts w:asciiTheme="minorEastAsia" w:hAnsiTheme="minorEastAsia" w:eastAsiaTheme="minorEastAsia"/>
                <w:color w:val="000000" w:themeColor="text1"/>
                <w14:textFill>
                  <w14:solidFill>
                    <w14:schemeClr w14:val="tx1"/>
                  </w14:solidFill>
                </w14:textFill>
              </w:rPr>
            </w:pPr>
          </w:p>
        </w:tc>
      </w:tr>
      <w:tr w14:paraId="6D90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722759BD">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5FB18629">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66848CE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4、目测消防工具柜是否符合公司要求，并对相关记录进行检查。</w:t>
            </w:r>
          </w:p>
        </w:tc>
        <w:tc>
          <w:tcPr>
            <w:tcW w:w="2266" w:type="dxa"/>
            <w:vMerge w:val="continue"/>
            <w:vAlign w:val="center"/>
          </w:tcPr>
          <w:p w14:paraId="3E90200F">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27D0A383">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701AF580">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0CC1DB28">
            <w:pPr>
              <w:rPr>
                <w:rFonts w:asciiTheme="minorEastAsia" w:hAnsiTheme="minorEastAsia" w:eastAsiaTheme="minorEastAsia"/>
                <w:color w:val="000000" w:themeColor="text1"/>
                <w14:textFill>
                  <w14:solidFill>
                    <w14:schemeClr w14:val="tx1"/>
                  </w14:solidFill>
                </w14:textFill>
              </w:rPr>
            </w:pPr>
          </w:p>
        </w:tc>
      </w:tr>
      <w:tr w14:paraId="190B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5B1C4751">
            <w:pPr>
              <w:rPr>
                <w:rFonts w:asciiTheme="minorEastAsia" w:hAnsiTheme="minorEastAsia" w:eastAsiaTheme="minorEastAsia"/>
                <w:color w:val="000000" w:themeColor="text1"/>
                <w14:textFill>
                  <w14:solidFill>
                    <w14:schemeClr w14:val="tx1"/>
                  </w14:solidFill>
                </w14:textFill>
              </w:rPr>
            </w:pPr>
          </w:p>
        </w:tc>
        <w:tc>
          <w:tcPr>
            <w:tcW w:w="3882" w:type="dxa"/>
            <w:vMerge w:val="restart"/>
            <w:vAlign w:val="center"/>
          </w:tcPr>
          <w:p w14:paraId="6CD8C3B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重点区域</w:t>
            </w:r>
          </w:p>
        </w:tc>
        <w:tc>
          <w:tcPr>
            <w:tcW w:w="4303" w:type="dxa"/>
            <w:vMerge w:val="restart"/>
            <w:vAlign w:val="center"/>
          </w:tcPr>
          <w:p w14:paraId="52D1614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1、检查燃油（气）罐储备是否隔离管理，区域内有严禁烟火醒目标识，配置足够灭火器材。   </w:t>
            </w:r>
          </w:p>
        </w:tc>
        <w:tc>
          <w:tcPr>
            <w:tcW w:w="2266" w:type="dxa"/>
            <w:vMerge w:val="restart"/>
            <w:vAlign w:val="center"/>
          </w:tcPr>
          <w:p w14:paraId="582F1C4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1项不符合扣2分</w:t>
            </w:r>
          </w:p>
        </w:tc>
        <w:tc>
          <w:tcPr>
            <w:tcW w:w="538" w:type="dxa"/>
            <w:vMerge w:val="restart"/>
            <w:vAlign w:val="center"/>
          </w:tcPr>
          <w:p w14:paraId="7FD9E344">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441" w:type="dxa"/>
            <w:vMerge w:val="restart"/>
            <w:vAlign w:val="center"/>
          </w:tcPr>
          <w:p w14:paraId="594B9F34">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04955413">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1ADB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5" w:type="dxa"/>
            <w:vMerge w:val="continue"/>
            <w:vAlign w:val="center"/>
          </w:tcPr>
          <w:p w14:paraId="49DDA552">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5D478875">
            <w:pPr>
              <w:rPr>
                <w:rFonts w:asciiTheme="minorEastAsia" w:hAnsiTheme="minorEastAsia" w:eastAsiaTheme="minorEastAsia"/>
                <w:color w:val="000000" w:themeColor="text1"/>
                <w14:textFill>
                  <w14:solidFill>
                    <w14:schemeClr w14:val="tx1"/>
                  </w14:solidFill>
                </w14:textFill>
              </w:rPr>
            </w:pPr>
          </w:p>
        </w:tc>
        <w:tc>
          <w:tcPr>
            <w:tcW w:w="4303" w:type="dxa"/>
            <w:vMerge w:val="continue"/>
            <w:vAlign w:val="center"/>
          </w:tcPr>
          <w:p w14:paraId="1810AF8D">
            <w:pPr>
              <w:rPr>
                <w:rFonts w:asciiTheme="minorEastAsia" w:hAnsiTheme="minorEastAsia" w:eastAsiaTheme="minorEastAsia"/>
                <w:color w:val="000000" w:themeColor="text1"/>
                <w14:textFill>
                  <w14:solidFill>
                    <w14:schemeClr w14:val="tx1"/>
                  </w14:solidFill>
                </w14:textFill>
              </w:rPr>
            </w:pPr>
          </w:p>
        </w:tc>
        <w:tc>
          <w:tcPr>
            <w:tcW w:w="2266" w:type="dxa"/>
            <w:vMerge w:val="continue"/>
            <w:vAlign w:val="center"/>
          </w:tcPr>
          <w:p w14:paraId="3A8B04DF">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4459EAB6">
            <w:pPr>
              <w:jc w:val="cente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262B9491">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12BB5B0B">
            <w:pPr>
              <w:rPr>
                <w:rFonts w:asciiTheme="minorEastAsia" w:hAnsiTheme="minorEastAsia" w:eastAsiaTheme="minorEastAsia"/>
                <w:color w:val="000000" w:themeColor="text1"/>
                <w14:textFill>
                  <w14:solidFill>
                    <w14:schemeClr w14:val="tx1"/>
                  </w14:solidFill>
                </w14:textFill>
              </w:rPr>
            </w:pPr>
          </w:p>
        </w:tc>
      </w:tr>
      <w:tr w14:paraId="54BB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5" w:type="dxa"/>
            <w:vMerge w:val="continue"/>
            <w:vAlign w:val="center"/>
          </w:tcPr>
          <w:p w14:paraId="639C27A3">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679ED7B1">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义务消防队</w:t>
            </w:r>
          </w:p>
        </w:tc>
        <w:tc>
          <w:tcPr>
            <w:tcW w:w="4303" w:type="dxa"/>
            <w:vAlign w:val="center"/>
          </w:tcPr>
          <w:p w14:paraId="2CE2EBE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1、查看是否成立义务消防队。 2、查看义务消防队员花名册是否及时更新。</w:t>
            </w:r>
          </w:p>
        </w:tc>
        <w:tc>
          <w:tcPr>
            <w:tcW w:w="2266" w:type="dxa"/>
            <w:vAlign w:val="center"/>
          </w:tcPr>
          <w:p w14:paraId="6C7707B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Align w:val="center"/>
          </w:tcPr>
          <w:p w14:paraId="5719EF09">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Align w:val="center"/>
          </w:tcPr>
          <w:p w14:paraId="3815F9F3">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3EE9F31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1416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55" w:type="dxa"/>
            <w:vMerge w:val="restart"/>
            <w:vAlign w:val="center"/>
          </w:tcPr>
          <w:p w14:paraId="2C481E5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夜间值班管理</w:t>
            </w:r>
          </w:p>
        </w:tc>
        <w:tc>
          <w:tcPr>
            <w:tcW w:w="3882" w:type="dxa"/>
            <w:vAlign w:val="center"/>
          </w:tcPr>
          <w:p w14:paraId="71395D5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监控岗位夜间值班情况</w:t>
            </w:r>
          </w:p>
        </w:tc>
        <w:tc>
          <w:tcPr>
            <w:tcW w:w="4303" w:type="dxa"/>
            <w:vAlign w:val="center"/>
          </w:tcPr>
          <w:p w14:paraId="469D183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1、抽查2个岗位3段值班情况，是否精神状态良好、无脱岗、无睡岗。 </w:t>
            </w:r>
          </w:p>
        </w:tc>
        <w:tc>
          <w:tcPr>
            <w:tcW w:w="2266" w:type="dxa"/>
            <w:vAlign w:val="center"/>
          </w:tcPr>
          <w:p w14:paraId="26E5B7D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1项不符合扣2分，2项以上不得分</w:t>
            </w:r>
          </w:p>
        </w:tc>
        <w:tc>
          <w:tcPr>
            <w:tcW w:w="538" w:type="dxa"/>
            <w:vAlign w:val="center"/>
          </w:tcPr>
          <w:p w14:paraId="473237A4">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441" w:type="dxa"/>
            <w:vAlign w:val="center"/>
          </w:tcPr>
          <w:p w14:paraId="4502BB1B">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79D4ECD8">
            <w:pPr>
              <w:rPr>
                <w:rFonts w:asciiTheme="minorEastAsia" w:hAnsiTheme="minorEastAsia" w:eastAsiaTheme="minorEastAsia"/>
                <w:color w:val="000000" w:themeColor="text1"/>
                <w14:textFill>
                  <w14:solidFill>
                    <w14:schemeClr w14:val="tx1"/>
                  </w14:solidFill>
                </w14:textFill>
              </w:rPr>
            </w:pPr>
          </w:p>
        </w:tc>
      </w:tr>
      <w:tr w14:paraId="75AC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55" w:type="dxa"/>
            <w:vMerge w:val="continue"/>
            <w:vAlign w:val="center"/>
          </w:tcPr>
          <w:p w14:paraId="2128A751">
            <w:pPr>
              <w:rPr>
                <w:rFonts w:asciiTheme="minorEastAsia" w:hAnsiTheme="minorEastAsia" w:eastAsiaTheme="minorEastAsia"/>
                <w:color w:val="000000" w:themeColor="text1"/>
                <w14:textFill>
                  <w14:solidFill>
                    <w14:schemeClr w14:val="tx1"/>
                  </w14:solidFill>
                </w14:textFill>
              </w:rPr>
            </w:pPr>
          </w:p>
        </w:tc>
        <w:tc>
          <w:tcPr>
            <w:tcW w:w="3882" w:type="dxa"/>
            <w:vAlign w:val="center"/>
          </w:tcPr>
          <w:p w14:paraId="6B898C1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夜间查岗情况</w:t>
            </w:r>
          </w:p>
        </w:tc>
        <w:tc>
          <w:tcPr>
            <w:tcW w:w="4303" w:type="dxa"/>
            <w:vAlign w:val="center"/>
          </w:tcPr>
          <w:p w14:paraId="1A52F44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1、乙方领班应每天对秩序员夜间值班情况进行巡查并记录。查看记录或照片是否按频次要求落实。</w:t>
            </w:r>
          </w:p>
        </w:tc>
        <w:tc>
          <w:tcPr>
            <w:tcW w:w="2266" w:type="dxa"/>
            <w:vAlign w:val="center"/>
          </w:tcPr>
          <w:p w14:paraId="4685190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1次不符合扣1分,3次以上本次不得分</w:t>
            </w:r>
          </w:p>
        </w:tc>
        <w:tc>
          <w:tcPr>
            <w:tcW w:w="538" w:type="dxa"/>
            <w:vAlign w:val="center"/>
          </w:tcPr>
          <w:p w14:paraId="0AE1040A">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441" w:type="dxa"/>
            <w:vAlign w:val="center"/>
          </w:tcPr>
          <w:p w14:paraId="1DE66C1B">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2CD818B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2D7F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55" w:type="dxa"/>
            <w:vAlign w:val="center"/>
          </w:tcPr>
          <w:p w14:paraId="0D1FB69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危险源风险评价</w:t>
            </w:r>
          </w:p>
        </w:tc>
        <w:tc>
          <w:tcPr>
            <w:tcW w:w="3882" w:type="dxa"/>
            <w:vAlign w:val="center"/>
          </w:tcPr>
          <w:p w14:paraId="314DEDEC">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危险源辨识、风险评价和风险控制的评审、更新</w:t>
            </w:r>
          </w:p>
        </w:tc>
        <w:tc>
          <w:tcPr>
            <w:tcW w:w="4303" w:type="dxa"/>
            <w:vAlign w:val="center"/>
          </w:tcPr>
          <w:p w14:paraId="66FEA8F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查看《危险源辨识/评价清单</w:t>
            </w:r>
            <w:r>
              <w:rPr>
                <w:rFonts w:hint="eastAsia"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TW"/>
                <w14:textFill>
                  <w14:solidFill>
                    <w14:schemeClr w14:val="tx1"/>
                  </w14:solidFill>
                </w14:textFill>
              </w:rPr>
              <w:t>重大危险源控制清单》清单。</w:t>
            </w:r>
          </w:p>
        </w:tc>
        <w:tc>
          <w:tcPr>
            <w:tcW w:w="2266" w:type="dxa"/>
            <w:vAlign w:val="center"/>
          </w:tcPr>
          <w:p w14:paraId="249B984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Align w:val="center"/>
          </w:tcPr>
          <w:p w14:paraId="51554268">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441" w:type="dxa"/>
            <w:vAlign w:val="center"/>
          </w:tcPr>
          <w:p w14:paraId="332629F1">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60A685F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5C4E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155" w:type="dxa"/>
            <w:vAlign w:val="center"/>
          </w:tcPr>
          <w:p w14:paraId="20D60BE6">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知识技能训练</w:t>
            </w:r>
          </w:p>
        </w:tc>
        <w:tc>
          <w:tcPr>
            <w:tcW w:w="3882" w:type="dxa"/>
            <w:vAlign w:val="center"/>
          </w:tcPr>
          <w:p w14:paraId="0FA8B8D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1、乙方应为项目制定年度训练计划，分解到月。</w:t>
            </w:r>
          </w:p>
          <w:p w14:paraId="12C4B93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2、每月28日前制定下月度的训练计划，含应急预案演练。</w:t>
            </w:r>
          </w:p>
          <w:p w14:paraId="36A571F4">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3、按计划落实培训和演练。</w:t>
            </w:r>
          </w:p>
        </w:tc>
        <w:tc>
          <w:tcPr>
            <w:tcW w:w="4303" w:type="dxa"/>
            <w:vAlign w:val="center"/>
          </w:tcPr>
          <w:p w14:paraId="6CEFAC4B">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查看年度训练计划、月度训练计划、设施记录。                </w:t>
            </w:r>
          </w:p>
        </w:tc>
        <w:tc>
          <w:tcPr>
            <w:tcW w:w="2266" w:type="dxa"/>
            <w:vAlign w:val="center"/>
          </w:tcPr>
          <w:p w14:paraId="37CB6478">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一项不符合扣1分，2项以上不得分</w:t>
            </w:r>
          </w:p>
        </w:tc>
        <w:tc>
          <w:tcPr>
            <w:tcW w:w="538" w:type="dxa"/>
            <w:vAlign w:val="center"/>
          </w:tcPr>
          <w:p w14:paraId="4722DD1E">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441" w:type="dxa"/>
            <w:vAlign w:val="center"/>
          </w:tcPr>
          <w:p w14:paraId="13DDD296">
            <w:pPr>
              <w:rPr>
                <w:rFonts w:asciiTheme="minorEastAsia" w:hAnsiTheme="minorEastAsia" w:eastAsiaTheme="minorEastAsia"/>
                <w:color w:val="000000" w:themeColor="text1"/>
                <w14:textFill>
                  <w14:solidFill>
                    <w14:schemeClr w14:val="tx1"/>
                  </w14:solidFill>
                </w14:textFill>
              </w:rPr>
            </w:pPr>
          </w:p>
        </w:tc>
        <w:tc>
          <w:tcPr>
            <w:tcW w:w="1370" w:type="dxa"/>
            <w:vAlign w:val="center"/>
          </w:tcPr>
          <w:p w14:paraId="7DB71903">
            <w:pPr>
              <w:rPr>
                <w:rFonts w:asciiTheme="minorEastAsia" w:hAnsiTheme="minorEastAsia" w:eastAsiaTheme="minorEastAsia"/>
                <w:color w:val="000000" w:themeColor="text1"/>
                <w14:textFill>
                  <w14:solidFill>
                    <w14:schemeClr w14:val="tx1"/>
                  </w14:solidFill>
                </w14:textFill>
              </w:rPr>
            </w:pPr>
          </w:p>
        </w:tc>
      </w:tr>
      <w:tr w14:paraId="5D26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55" w:type="dxa"/>
            <w:vMerge w:val="restart"/>
            <w:vAlign w:val="center"/>
          </w:tcPr>
          <w:p w14:paraId="7AD590CA">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宿舍内务</w:t>
            </w:r>
          </w:p>
        </w:tc>
        <w:tc>
          <w:tcPr>
            <w:tcW w:w="3882" w:type="dxa"/>
            <w:vMerge w:val="restart"/>
            <w:vAlign w:val="center"/>
          </w:tcPr>
          <w:p w14:paraId="708A1C00">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TW"/>
                <w14:textFill>
                  <w14:solidFill>
                    <w14:schemeClr w14:val="tx1"/>
                  </w14:solidFill>
                </w14:textFill>
              </w:rPr>
              <w:t>宿舍轮流值日</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TW"/>
                <w14:textFill>
                  <w14:solidFill>
                    <w14:schemeClr w14:val="tx1"/>
                  </w14:solidFill>
                </w14:textFill>
              </w:rPr>
              <w:t>起居室</w:t>
            </w:r>
            <w:r>
              <w:rPr>
                <w:rFonts w:hint="eastAsia" w:asciiTheme="minorEastAsia" w:hAnsiTheme="minorEastAsia" w:eastAsiaTheme="minorEastAsia"/>
                <w:color w:val="000000" w:themeColor="text1"/>
                <w14:textFill>
                  <w14:solidFill>
                    <w14:schemeClr w14:val="tx1"/>
                  </w14:solidFill>
                </w14:textFill>
              </w:rPr>
              <w:t>、卫生间、</w:t>
            </w:r>
            <w:r>
              <w:rPr>
                <w:rFonts w:hint="eastAsia" w:asciiTheme="minorEastAsia" w:hAnsiTheme="minorEastAsia" w:eastAsiaTheme="minorEastAsia"/>
                <w:color w:val="000000" w:themeColor="text1"/>
                <w:lang w:eastAsia="zh-TW"/>
                <w14:textFill>
                  <w14:solidFill>
                    <w14:schemeClr w14:val="tx1"/>
                  </w14:solidFill>
                </w14:textFill>
              </w:rPr>
              <w:t>活动区域整洁</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TW"/>
                <w14:textFill>
                  <w14:solidFill>
                    <w14:schemeClr w14:val="tx1"/>
                  </w14:solidFill>
                </w14:textFill>
              </w:rPr>
              <w:t>无异味</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TW"/>
                <w14:textFill>
                  <w14:solidFill>
                    <w14:schemeClr w14:val="tx1"/>
                  </w14:solidFill>
                </w14:textFill>
              </w:rPr>
              <w:t>床铺整齐</w:t>
            </w:r>
            <w:r>
              <w:rPr>
                <w:rFonts w:hint="eastAsia" w:asciiTheme="minorEastAsia" w:hAnsiTheme="minorEastAsia" w:eastAsiaTheme="minorEastAsia"/>
                <w:color w:val="000000" w:themeColor="text1"/>
                <w14:textFill>
                  <w14:solidFill>
                    <w14:schemeClr w14:val="tx1"/>
                  </w14:solidFill>
                </w14:textFill>
              </w:rPr>
              <w:t>，无饲养宠物，无违规使用电器等安全隐患行为。</w:t>
            </w:r>
          </w:p>
        </w:tc>
        <w:tc>
          <w:tcPr>
            <w:tcW w:w="4303" w:type="dxa"/>
            <w:vAlign w:val="center"/>
          </w:tcPr>
          <w:p w14:paraId="78204865">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1、查看宿舍是否落实轮流值日。       </w:t>
            </w:r>
          </w:p>
        </w:tc>
        <w:tc>
          <w:tcPr>
            <w:tcW w:w="2266" w:type="dxa"/>
            <w:vMerge w:val="restart"/>
            <w:vAlign w:val="center"/>
          </w:tcPr>
          <w:p w14:paraId="65099B6F">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1项不符合扣1分</w:t>
            </w:r>
          </w:p>
        </w:tc>
        <w:tc>
          <w:tcPr>
            <w:tcW w:w="538" w:type="dxa"/>
            <w:vMerge w:val="restart"/>
            <w:vAlign w:val="center"/>
          </w:tcPr>
          <w:p w14:paraId="1CC4EC9D">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441" w:type="dxa"/>
            <w:vMerge w:val="restart"/>
            <w:vAlign w:val="center"/>
          </w:tcPr>
          <w:p w14:paraId="1389BFCE">
            <w:pPr>
              <w:rPr>
                <w:rFonts w:asciiTheme="minorEastAsia" w:hAnsiTheme="minorEastAsia" w:eastAsiaTheme="minorEastAsia"/>
                <w:color w:val="000000" w:themeColor="text1"/>
                <w14:textFill>
                  <w14:solidFill>
                    <w14:schemeClr w14:val="tx1"/>
                  </w14:solidFill>
                </w14:textFill>
              </w:rPr>
            </w:pPr>
          </w:p>
        </w:tc>
        <w:tc>
          <w:tcPr>
            <w:tcW w:w="1370" w:type="dxa"/>
            <w:vMerge w:val="restart"/>
            <w:vAlign w:val="center"/>
          </w:tcPr>
          <w:p w14:paraId="48CFDEC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tc>
      </w:tr>
      <w:tr w14:paraId="3E2B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55" w:type="dxa"/>
            <w:vMerge w:val="continue"/>
            <w:vAlign w:val="center"/>
          </w:tcPr>
          <w:p w14:paraId="0EB1BFBD">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592F70D9">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3815C6F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2、查看活动区域清洁情况。</w:t>
            </w:r>
          </w:p>
        </w:tc>
        <w:tc>
          <w:tcPr>
            <w:tcW w:w="2266" w:type="dxa"/>
            <w:vMerge w:val="continue"/>
            <w:vAlign w:val="center"/>
          </w:tcPr>
          <w:p w14:paraId="368C99DB">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1E1D1CA7">
            <w:pP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585467A8">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78319C32">
            <w:pPr>
              <w:rPr>
                <w:rFonts w:asciiTheme="minorEastAsia" w:hAnsiTheme="minorEastAsia" w:eastAsiaTheme="minorEastAsia"/>
                <w:color w:val="000000" w:themeColor="text1"/>
                <w14:textFill>
                  <w14:solidFill>
                    <w14:schemeClr w14:val="tx1"/>
                  </w14:solidFill>
                </w14:textFill>
              </w:rPr>
            </w:pPr>
          </w:p>
        </w:tc>
      </w:tr>
      <w:tr w14:paraId="2525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155" w:type="dxa"/>
            <w:vMerge w:val="continue"/>
            <w:vAlign w:val="center"/>
          </w:tcPr>
          <w:p w14:paraId="3B1C2CAE">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7FC5ED2A">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150AFE0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3、查看床铺、个人物品摆放情况。</w:t>
            </w:r>
          </w:p>
        </w:tc>
        <w:tc>
          <w:tcPr>
            <w:tcW w:w="2266" w:type="dxa"/>
            <w:vMerge w:val="continue"/>
            <w:vAlign w:val="center"/>
          </w:tcPr>
          <w:p w14:paraId="69EFF1E0">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1745A632">
            <w:pP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5F79F56C">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227F3F63">
            <w:pPr>
              <w:rPr>
                <w:rFonts w:asciiTheme="minorEastAsia" w:hAnsiTheme="minorEastAsia" w:eastAsiaTheme="minorEastAsia"/>
                <w:color w:val="000000" w:themeColor="text1"/>
                <w14:textFill>
                  <w14:solidFill>
                    <w14:schemeClr w14:val="tx1"/>
                  </w14:solidFill>
                </w14:textFill>
              </w:rPr>
            </w:pPr>
          </w:p>
        </w:tc>
      </w:tr>
      <w:tr w14:paraId="3A68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155" w:type="dxa"/>
            <w:vMerge w:val="continue"/>
            <w:vAlign w:val="center"/>
          </w:tcPr>
          <w:p w14:paraId="46668F92">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0F3EF2F6">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5C507F95">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4、不得在宿舍饲养宠物。</w:t>
            </w:r>
          </w:p>
        </w:tc>
        <w:tc>
          <w:tcPr>
            <w:tcW w:w="2266" w:type="dxa"/>
            <w:vMerge w:val="continue"/>
            <w:vAlign w:val="center"/>
          </w:tcPr>
          <w:p w14:paraId="242F9802">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3EE0C97B">
            <w:pP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0ED20E3D">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512EA0E4">
            <w:pPr>
              <w:rPr>
                <w:rFonts w:asciiTheme="minorEastAsia" w:hAnsiTheme="minorEastAsia" w:eastAsiaTheme="minorEastAsia"/>
                <w:color w:val="000000" w:themeColor="text1"/>
                <w14:textFill>
                  <w14:solidFill>
                    <w14:schemeClr w14:val="tx1"/>
                  </w14:solidFill>
                </w14:textFill>
              </w:rPr>
            </w:pPr>
          </w:p>
        </w:tc>
      </w:tr>
      <w:tr w14:paraId="2AB0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55" w:type="dxa"/>
            <w:vMerge w:val="continue"/>
            <w:vAlign w:val="center"/>
          </w:tcPr>
          <w:p w14:paraId="50F497B8">
            <w:pPr>
              <w:rPr>
                <w:rFonts w:asciiTheme="minorEastAsia" w:hAnsiTheme="minorEastAsia" w:eastAsiaTheme="minorEastAsia"/>
                <w:color w:val="000000" w:themeColor="text1"/>
                <w14:textFill>
                  <w14:solidFill>
                    <w14:schemeClr w14:val="tx1"/>
                  </w14:solidFill>
                </w14:textFill>
              </w:rPr>
            </w:pPr>
          </w:p>
        </w:tc>
        <w:tc>
          <w:tcPr>
            <w:tcW w:w="3882" w:type="dxa"/>
            <w:vMerge w:val="continue"/>
            <w:vAlign w:val="center"/>
          </w:tcPr>
          <w:p w14:paraId="6F6D1A6B">
            <w:pPr>
              <w:rPr>
                <w:rFonts w:asciiTheme="minorEastAsia" w:hAnsiTheme="minorEastAsia" w:eastAsiaTheme="minorEastAsia"/>
                <w:color w:val="000000" w:themeColor="text1"/>
                <w14:textFill>
                  <w14:solidFill>
                    <w14:schemeClr w14:val="tx1"/>
                  </w14:solidFill>
                </w14:textFill>
              </w:rPr>
            </w:pPr>
          </w:p>
        </w:tc>
        <w:tc>
          <w:tcPr>
            <w:tcW w:w="4303" w:type="dxa"/>
            <w:vAlign w:val="center"/>
          </w:tcPr>
          <w:p w14:paraId="2FF179C2">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5、无违规使用电器等安全隐患行为。</w:t>
            </w:r>
          </w:p>
        </w:tc>
        <w:tc>
          <w:tcPr>
            <w:tcW w:w="2266" w:type="dxa"/>
            <w:vMerge w:val="continue"/>
            <w:vAlign w:val="center"/>
          </w:tcPr>
          <w:p w14:paraId="23D026B0">
            <w:pPr>
              <w:rPr>
                <w:rFonts w:asciiTheme="minorEastAsia" w:hAnsiTheme="minorEastAsia" w:eastAsiaTheme="minorEastAsia"/>
                <w:color w:val="000000" w:themeColor="text1"/>
                <w14:textFill>
                  <w14:solidFill>
                    <w14:schemeClr w14:val="tx1"/>
                  </w14:solidFill>
                </w14:textFill>
              </w:rPr>
            </w:pPr>
          </w:p>
        </w:tc>
        <w:tc>
          <w:tcPr>
            <w:tcW w:w="538" w:type="dxa"/>
            <w:vMerge w:val="continue"/>
            <w:vAlign w:val="center"/>
          </w:tcPr>
          <w:p w14:paraId="3EA1831C">
            <w:pPr>
              <w:rPr>
                <w:rFonts w:asciiTheme="minorEastAsia" w:hAnsiTheme="minorEastAsia" w:eastAsiaTheme="minorEastAsia"/>
                <w:color w:val="000000" w:themeColor="text1"/>
                <w14:textFill>
                  <w14:solidFill>
                    <w14:schemeClr w14:val="tx1"/>
                  </w14:solidFill>
                </w14:textFill>
              </w:rPr>
            </w:pPr>
          </w:p>
        </w:tc>
        <w:tc>
          <w:tcPr>
            <w:tcW w:w="441" w:type="dxa"/>
            <w:vMerge w:val="continue"/>
            <w:vAlign w:val="center"/>
          </w:tcPr>
          <w:p w14:paraId="34E6F67F">
            <w:pPr>
              <w:rPr>
                <w:rFonts w:asciiTheme="minorEastAsia" w:hAnsiTheme="minorEastAsia" w:eastAsiaTheme="minorEastAsia"/>
                <w:color w:val="000000" w:themeColor="text1"/>
                <w14:textFill>
                  <w14:solidFill>
                    <w14:schemeClr w14:val="tx1"/>
                  </w14:solidFill>
                </w14:textFill>
              </w:rPr>
            </w:pPr>
          </w:p>
        </w:tc>
        <w:tc>
          <w:tcPr>
            <w:tcW w:w="1370" w:type="dxa"/>
            <w:vMerge w:val="continue"/>
            <w:vAlign w:val="center"/>
          </w:tcPr>
          <w:p w14:paraId="76809098">
            <w:pPr>
              <w:rPr>
                <w:rFonts w:asciiTheme="minorEastAsia" w:hAnsiTheme="minorEastAsia" w:eastAsiaTheme="minorEastAsia"/>
                <w:color w:val="000000" w:themeColor="text1"/>
                <w14:textFill>
                  <w14:solidFill>
                    <w14:schemeClr w14:val="tx1"/>
                  </w14:solidFill>
                </w14:textFill>
              </w:rPr>
            </w:pPr>
          </w:p>
        </w:tc>
      </w:tr>
    </w:tbl>
    <w:p w14:paraId="3792D8C4">
      <w:pPr>
        <w:rPr>
          <w:rStyle w:val="24"/>
          <w:rFonts w:asciiTheme="minorEastAsia" w:hAnsiTheme="minorEastAsia" w:eastAsiaTheme="minorEastAsia"/>
          <w:bCs/>
          <w:color w:val="000000" w:themeColor="text1"/>
          <w:lang w:val="zh-TW" w:eastAsia="zh-TW"/>
          <w14:textFill>
            <w14:solidFill>
              <w14:schemeClr w14:val="tx1"/>
            </w14:solidFill>
          </w14:textFill>
        </w:rPr>
      </w:pPr>
    </w:p>
    <w:p w14:paraId="38F5934E">
      <w:pPr>
        <w:ind w:firstLine="422"/>
        <w:rPr>
          <w:rStyle w:val="24"/>
          <w:rFonts w:cs="宋体" w:asciiTheme="minorEastAsia" w:hAnsiTheme="minorEastAsia" w:eastAsiaTheme="minorEastAsia"/>
          <w:b/>
          <w:color w:val="000000" w:themeColor="text1"/>
          <w:lang w:val="zh-TW" w:eastAsia="zh-TW"/>
          <w14:textFill>
            <w14:solidFill>
              <w14:schemeClr w14:val="tx1"/>
            </w14:solidFill>
          </w14:textFill>
        </w:rPr>
      </w:pPr>
    </w:p>
    <w:p w14:paraId="5EFD2880">
      <w:pPr>
        <w:ind w:firstLine="843" w:firstLineChars="400"/>
        <w:rPr>
          <w:rStyle w:val="24"/>
          <w:rFonts w:hint="eastAsia" w:cs="宋体" w:asciiTheme="minorEastAsia" w:hAnsiTheme="minorEastAsia" w:eastAsiaTheme="minorEastAsia"/>
          <w:b/>
          <w:color w:val="000000" w:themeColor="text1"/>
          <w:lang w:eastAsia="zh-TW"/>
          <w14:textFill>
            <w14:solidFill>
              <w14:schemeClr w14:val="tx1"/>
            </w14:solidFill>
          </w14:textFill>
        </w:rPr>
        <w:sectPr>
          <w:footerReference r:id="rId5" w:type="default"/>
          <w:pgSz w:w="16840" w:h="11907" w:orient="landscape"/>
          <w:pgMar w:top="1418" w:right="1417" w:bottom="1418" w:left="1417" w:header="857" w:footer="998" w:gutter="0"/>
          <w:cols w:space="0" w:num="1"/>
          <w:rtlGutter w:val="0"/>
          <w:docGrid w:linePitch="286" w:charSpace="0"/>
        </w:sectPr>
      </w:pPr>
      <w:r>
        <w:rPr>
          <w:rStyle w:val="24"/>
          <w:rFonts w:hint="eastAsia" w:cs="宋体" w:asciiTheme="minorEastAsia" w:hAnsiTheme="minorEastAsia" w:eastAsiaTheme="minorEastAsia"/>
          <w:b/>
          <w:color w:val="000000" w:themeColor="text1"/>
          <w:lang w:val="zh-TW" w:eastAsia="zh-TW"/>
          <w14:textFill>
            <w14:solidFill>
              <w14:schemeClr w14:val="tx1"/>
            </w14:solidFill>
          </w14:textFill>
        </w:rPr>
        <w:t>评分人：</w:t>
      </w:r>
      <w:r>
        <w:rPr>
          <w:rStyle w:val="24"/>
          <w:rFonts w:hint="eastAsia" w:cs="宋体" w:asciiTheme="minorEastAsia" w:hAnsiTheme="minorEastAsia" w:eastAsiaTheme="minorEastAsia"/>
          <w:b/>
          <w:color w:val="000000" w:themeColor="text1"/>
          <w14:textFill>
            <w14:solidFill>
              <w14:schemeClr w14:val="tx1"/>
            </w14:solidFill>
          </w14:textFill>
        </w:rPr>
        <w:t xml:space="preserve">                                评分日期：                                </w:t>
      </w:r>
      <w:r>
        <w:rPr>
          <w:rStyle w:val="24"/>
          <w:rFonts w:hint="eastAsia" w:cs="宋体" w:asciiTheme="minorEastAsia" w:hAnsiTheme="minorEastAsia" w:eastAsiaTheme="minorEastAsia"/>
          <w:b/>
          <w:color w:val="000000" w:themeColor="text1"/>
          <w:lang w:val="zh-TW" w:eastAsia="zh-TW"/>
          <w14:textFill>
            <w14:solidFill>
              <w14:schemeClr w14:val="tx1"/>
            </w14:solidFill>
          </w14:textFill>
        </w:rPr>
        <w:t xml:space="preserve">项目负责人确认：      </w:t>
      </w:r>
    </w:p>
    <w:p w14:paraId="16E67E64">
      <w:pPr>
        <w:rPr>
          <w:rFonts w:hint="eastAsia"/>
          <w:color w:val="000000" w:themeColor="text1"/>
          <w14:textFill>
            <w14:solidFill>
              <w14:schemeClr w14:val="tx1"/>
            </w14:solidFill>
          </w14:textFill>
        </w:rPr>
      </w:pPr>
    </w:p>
    <w:p w14:paraId="0F26858F">
      <w:pPr>
        <w:rPr>
          <w:rFonts w:hint="eastAsia"/>
          <w:color w:val="000000" w:themeColor="text1"/>
          <w14:textFill>
            <w14:solidFill>
              <w14:schemeClr w14:val="tx1"/>
            </w14:solidFill>
          </w14:textFill>
        </w:rPr>
      </w:pPr>
    </w:p>
    <w:p w14:paraId="1712D3D4">
      <w:pPr>
        <w:pStyle w:val="3"/>
        <w:keepNext w:val="0"/>
        <w:keepLines w:val="0"/>
        <w:spacing w:before="0" w:after="0" w:line="500" w:lineRule="exact"/>
        <w:ind w:firstLine="420" w:firstLineChars="0"/>
        <w:jc w:val="center"/>
        <w:rPr>
          <w:rFonts w:ascii="仿宋" w:hAnsi="仿宋" w:eastAsia="仿宋"/>
          <w:color w:val="000000" w:themeColor="text1"/>
          <w:highlight w:val="none"/>
          <w14:textFill>
            <w14:solidFill>
              <w14:schemeClr w14:val="tx1"/>
            </w14:solidFill>
          </w14:textFill>
        </w:rPr>
      </w:pPr>
      <w:bookmarkStart w:id="362" w:name="_Toc14021"/>
      <w:bookmarkStart w:id="363" w:name="_Toc7417"/>
      <w:bookmarkStart w:id="364" w:name="_Toc21811"/>
      <w:bookmarkStart w:id="365" w:name="_Toc14563"/>
      <w:bookmarkStart w:id="366" w:name="_Toc11957"/>
      <w:r>
        <w:rPr>
          <w:rFonts w:hint="eastAsia" w:ascii="仿宋" w:hAnsi="仿宋" w:eastAsia="仿宋"/>
          <w:color w:val="000000" w:themeColor="text1"/>
          <w:highlight w:val="none"/>
          <w14:textFill>
            <w14:solidFill>
              <w14:schemeClr w14:val="tx1"/>
            </w14:solidFill>
          </w14:textFill>
        </w:rPr>
        <w:t>第</w:t>
      </w:r>
      <w:r>
        <w:rPr>
          <w:rFonts w:hint="eastAsia" w:ascii="仿宋" w:hAnsi="仿宋" w:eastAsia="仿宋"/>
          <w:color w:val="000000" w:themeColor="text1"/>
          <w:highlight w:val="none"/>
          <w:lang w:val="en-US" w:eastAsia="zh-CN"/>
          <w14:textFill>
            <w14:solidFill>
              <w14:schemeClr w14:val="tx1"/>
            </w14:solidFill>
          </w14:textFill>
        </w:rPr>
        <w:t>五</w:t>
      </w:r>
      <w:r>
        <w:rPr>
          <w:rFonts w:hint="eastAsia" w:ascii="仿宋" w:hAnsi="仿宋" w:eastAsia="仿宋"/>
          <w:color w:val="000000" w:themeColor="text1"/>
          <w:highlight w:val="none"/>
          <w14:textFill>
            <w14:solidFill>
              <w14:schemeClr w14:val="tx1"/>
            </w14:solidFill>
          </w14:textFill>
        </w:rPr>
        <w:t>章  投标文件格式</w:t>
      </w:r>
      <w:bookmarkEnd w:id="356"/>
      <w:bookmarkEnd w:id="362"/>
      <w:bookmarkEnd w:id="363"/>
      <w:bookmarkEnd w:id="364"/>
      <w:bookmarkEnd w:id="365"/>
      <w:bookmarkEnd w:id="366"/>
    </w:p>
    <w:p w14:paraId="789C3356">
      <w:pPr>
        <w:rPr>
          <w:color w:val="000000" w:themeColor="text1"/>
          <w:highlight w:val="none"/>
          <w14:textFill>
            <w14:solidFill>
              <w14:schemeClr w14:val="tx1"/>
            </w14:solidFill>
          </w14:textFill>
        </w:rPr>
      </w:pPr>
    </w:p>
    <w:p w14:paraId="559B79E7">
      <w:pPr>
        <w:spacing w:line="360" w:lineRule="auto"/>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（本章格式文件可供参考，投标人可根据项目实际需求进行编制）</w:t>
      </w:r>
    </w:p>
    <w:p w14:paraId="171CCAD8">
      <w:pPr>
        <w:pStyle w:val="27"/>
        <w:spacing w:line="360" w:lineRule="auto"/>
        <w:rPr>
          <w:rFonts w:ascii="仿宋" w:hAnsi="仿宋" w:eastAsia="仿宋"/>
          <w:color w:val="000000" w:themeColor="text1"/>
          <w:highlight w:val="none"/>
          <w14:textFill>
            <w14:solidFill>
              <w14:schemeClr w14:val="tx1"/>
            </w14:solidFill>
          </w14:textFill>
        </w:rPr>
      </w:pPr>
    </w:p>
    <w:p w14:paraId="42C60398">
      <w:pPr>
        <w:pStyle w:val="27"/>
        <w:spacing w:line="360" w:lineRule="auto"/>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封面）</w:t>
      </w:r>
    </w:p>
    <w:p w14:paraId="03253567">
      <w:pPr>
        <w:spacing w:line="360" w:lineRule="auto"/>
        <w:jc w:val="center"/>
        <w:rPr>
          <w:rFonts w:ascii="仿宋" w:hAnsi="仿宋" w:eastAsia="仿宋"/>
          <w:b/>
          <w:color w:val="000000" w:themeColor="text1"/>
          <w:sz w:val="72"/>
          <w:highlight w:val="none"/>
          <w14:textFill>
            <w14:solidFill>
              <w14:schemeClr w14:val="tx1"/>
            </w14:solidFill>
          </w14:textFill>
        </w:rPr>
      </w:pPr>
    </w:p>
    <w:p w14:paraId="065AB734">
      <w:pPr>
        <w:spacing w:line="360" w:lineRule="auto"/>
        <w:jc w:val="center"/>
        <w:rPr>
          <w:rFonts w:ascii="仿宋" w:hAnsi="仿宋" w:eastAsia="仿宋"/>
          <w:b/>
          <w:color w:val="000000" w:themeColor="text1"/>
          <w:sz w:val="72"/>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投  标  文  件</w:t>
      </w:r>
    </w:p>
    <w:p w14:paraId="70D3F306">
      <w:pPr>
        <w:spacing w:line="360" w:lineRule="auto"/>
        <w:rPr>
          <w:rFonts w:ascii="仿宋" w:hAnsi="仿宋" w:eastAsia="仿宋"/>
          <w:b/>
          <w:color w:val="000000" w:themeColor="text1"/>
          <w:sz w:val="36"/>
          <w:highlight w:val="none"/>
          <w14:textFill>
            <w14:solidFill>
              <w14:schemeClr w14:val="tx1"/>
            </w14:solidFill>
          </w14:textFill>
        </w:rPr>
      </w:pPr>
    </w:p>
    <w:p w14:paraId="2E69DDE4">
      <w:pPr>
        <w:spacing w:line="360" w:lineRule="auto"/>
        <w:ind w:firstLine="1084" w:firstLineChars="300"/>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项 目 名 称：</w:t>
      </w:r>
    </w:p>
    <w:p w14:paraId="03845765">
      <w:pPr>
        <w:spacing w:line="360" w:lineRule="auto"/>
        <w:ind w:firstLine="1084" w:firstLineChars="300"/>
        <w:rPr>
          <w:rFonts w:ascii="仿宋" w:hAnsi="仿宋" w:eastAsia="仿宋"/>
          <w:b/>
          <w:color w:val="000000" w:themeColor="text1"/>
          <w:sz w:val="36"/>
          <w:highlight w:val="none"/>
          <w:u w:val="singl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招 标 编 号：</w:t>
      </w:r>
    </w:p>
    <w:p w14:paraId="7C009BAB">
      <w:pPr>
        <w:spacing w:line="360" w:lineRule="auto"/>
        <w:rPr>
          <w:rFonts w:ascii="仿宋" w:hAnsi="仿宋" w:eastAsia="仿宋"/>
          <w:b/>
          <w:color w:val="000000" w:themeColor="text1"/>
          <w:sz w:val="36"/>
          <w:highlight w:val="none"/>
          <w14:textFill>
            <w14:solidFill>
              <w14:schemeClr w14:val="tx1"/>
            </w14:solidFill>
          </w14:textFill>
        </w:rPr>
      </w:pPr>
    </w:p>
    <w:p w14:paraId="069FA967">
      <w:pPr>
        <w:spacing w:line="360" w:lineRule="auto"/>
        <w:rPr>
          <w:rFonts w:ascii="仿宋" w:hAnsi="仿宋" w:eastAsia="仿宋"/>
          <w:b/>
          <w:color w:val="000000" w:themeColor="text1"/>
          <w:sz w:val="36"/>
          <w:highlight w:val="none"/>
          <w14:textFill>
            <w14:solidFill>
              <w14:schemeClr w14:val="tx1"/>
            </w14:solidFill>
          </w14:textFill>
        </w:rPr>
      </w:pPr>
    </w:p>
    <w:p w14:paraId="16EC5809">
      <w:pPr>
        <w:spacing w:line="360" w:lineRule="auto"/>
        <w:rPr>
          <w:rFonts w:ascii="仿宋" w:hAnsi="仿宋" w:eastAsia="仿宋"/>
          <w:b/>
          <w:color w:val="000000" w:themeColor="text1"/>
          <w:sz w:val="36"/>
          <w:highlight w:val="none"/>
          <w:u w:val="singl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       投标人名称 ：</w:t>
      </w:r>
    </w:p>
    <w:p w14:paraId="43DBB8AB">
      <w:pPr>
        <w:spacing w:line="360" w:lineRule="auto"/>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       日      期 ：</w:t>
      </w:r>
    </w:p>
    <w:p w14:paraId="55FC532D">
      <w:pPr>
        <w:snapToGrid w:val="0"/>
        <w:ind w:left="0"/>
        <w:jc w:val="both"/>
        <w:rPr>
          <w:rFonts w:ascii="仿宋" w:hAnsi="仿宋" w:eastAsia="仿宋"/>
          <w:b/>
          <w:bCs/>
          <w:color w:val="000000" w:themeColor="text1"/>
          <w:sz w:val="32"/>
          <w:highlight w:val="none"/>
          <w:lang w:eastAsia="zh-CN"/>
          <w14:textFill>
            <w14:solidFill>
              <w14:schemeClr w14:val="tx1"/>
            </w14:solidFill>
          </w14:textFill>
        </w:rPr>
      </w:pPr>
      <w:r>
        <w:rPr>
          <w:rFonts w:ascii="仿宋" w:hAnsi="仿宋" w:eastAsia="仿宋"/>
          <w:b/>
          <w:bCs/>
          <w:color w:val="000000" w:themeColor="text1"/>
          <w:sz w:val="32"/>
          <w:highlight w:val="none"/>
          <w:lang w:eastAsia="zh-CN"/>
          <w14:textFill>
            <w14:solidFill>
              <w14:schemeClr w14:val="tx1"/>
            </w14:solidFill>
          </w14:textFill>
        </w:rPr>
        <w:br w:type="page"/>
      </w:r>
    </w:p>
    <w:p w14:paraId="09DAEEE2">
      <w:pPr>
        <w:pStyle w:val="7"/>
        <w:snapToGrid w:val="0"/>
        <w:spacing w:line="360" w:lineRule="auto"/>
        <w:ind w:left="0"/>
        <w:jc w:val="both"/>
        <w:rPr>
          <w:rFonts w:ascii="仿宋" w:hAnsi="仿宋" w:eastAsia="仿宋"/>
          <w:b/>
          <w:bCs/>
          <w:color w:val="000000" w:themeColor="text1"/>
          <w:sz w:val="32"/>
          <w:highlight w:val="none"/>
          <w:lang w:eastAsia="zh-CN"/>
          <w14:textFill>
            <w14:solidFill>
              <w14:schemeClr w14:val="tx1"/>
            </w14:solidFill>
          </w14:textFill>
        </w:rPr>
      </w:pPr>
    </w:p>
    <w:p w14:paraId="37BF1299">
      <w:pPr>
        <w:pStyle w:val="7"/>
        <w:snapToGrid w:val="0"/>
        <w:spacing w:line="500" w:lineRule="exact"/>
        <w:ind w:left="0" w:firstLine="3855" w:firstLineChars="1200"/>
        <w:jc w:val="both"/>
        <w:rPr>
          <w:rFonts w:ascii="仿宋" w:hAnsi="仿宋" w:eastAsia="仿宋"/>
          <w:b/>
          <w:bCs/>
          <w:color w:val="000000" w:themeColor="text1"/>
          <w:sz w:val="32"/>
          <w:szCs w:val="32"/>
          <w:highlight w:val="none"/>
          <w:lang w:eastAsia="zh-CN"/>
          <w14:textFill>
            <w14:solidFill>
              <w14:schemeClr w14:val="tx1"/>
            </w14:solidFill>
          </w14:textFill>
        </w:rPr>
      </w:pPr>
      <w:r>
        <w:rPr>
          <w:rFonts w:hint="eastAsia" w:ascii="仿宋" w:hAnsi="仿宋" w:eastAsia="仿宋"/>
          <w:b/>
          <w:bCs/>
          <w:color w:val="000000" w:themeColor="text1"/>
          <w:sz w:val="32"/>
          <w:szCs w:val="32"/>
          <w:highlight w:val="none"/>
          <w:lang w:eastAsia="zh-CN"/>
          <w14:textFill>
            <w14:solidFill>
              <w14:schemeClr w14:val="tx1"/>
            </w14:solidFill>
          </w14:textFill>
        </w:rPr>
        <w:t>目    录</w:t>
      </w:r>
    </w:p>
    <w:p w14:paraId="322950E0">
      <w:pPr>
        <w:spacing w:line="500" w:lineRule="exact"/>
        <w:rPr>
          <w:rFonts w:ascii="仿宋" w:hAnsi="仿宋" w:eastAsia="仿宋"/>
          <w:color w:val="000000" w:themeColor="text1"/>
          <w:sz w:val="32"/>
          <w:szCs w:val="32"/>
          <w:highlight w:val="none"/>
          <w14:textFill>
            <w14:solidFill>
              <w14:schemeClr w14:val="tx1"/>
            </w14:solidFill>
          </w14:textFill>
        </w:rPr>
      </w:pPr>
    </w:p>
    <w:p w14:paraId="4533AA46">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投 标 书</w:t>
      </w:r>
    </w:p>
    <w:p w14:paraId="388FD5E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开标一览表</w:t>
      </w:r>
    </w:p>
    <w:p w14:paraId="17D6F6CC">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价格明细表</w:t>
      </w:r>
    </w:p>
    <w:p w14:paraId="30A71DED">
      <w:pPr>
        <w:spacing w:line="500" w:lineRule="exac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 投标人的资格证明文件</w:t>
      </w:r>
    </w:p>
    <w:p w14:paraId="6F640533">
      <w:pPr>
        <w:spacing w:line="500" w:lineRule="exac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 带“★”号条款逐条响应表</w:t>
      </w:r>
    </w:p>
    <w:p w14:paraId="5AC6DA51">
      <w:pPr>
        <w:spacing w:line="500" w:lineRule="exac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 投标人承诺函</w:t>
      </w:r>
      <w:r>
        <w:rPr>
          <w:rFonts w:hint="eastAsia" w:ascii="仿宋" w:hAnsi="仿宋" w:eastAsia="仿宋"/>
          <w:color w:val="000000" w:themeColor="text1"/>
          <w:sz w:val="32"/>
          <w:szCs w:val="32"/>
          <w:highlight w:val="none"/>
          <w14:textFill>
            <w14:solidFill>
              <w14:schemeClr w14:val="tx1"/>
            </w14:solidFill>
          </w14:textFill>
        </w:rPr>
        <w:cr/>
      </w:r>
      <w:r>
        <w:rPr>
          <w:rFonts w:hint="eastAsia" w:ascii="仿宋" w:hAnsi="仿宋" w:eastAsia="仿宋"/>
          <w:color w:val="000000" w:themeColor="text1"/>
          <w:sz w:val="32"/>
          <w:szCs w:val="32"/>
          <w:highlight w:val="none"/>
          <w:lang w:val="en-US" w:eastAsia="zh-CN"/>
          <w14:textFill>
            <w14:solidFill>
              <w14:schemeClr w14:val="tx1"/>
            </w14:solidFill>
          </w14:textFill>
        </w:rPr>
        <w:t>7</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技术和商务响应表</w:t>
      </w:r>
    </w:p>
    <w:p w14:paraId="605E02FF">
      <w:pPr>
        <w:spacing w:line="500" w:lineRule="exac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 项目服务方案</w:t>
      </w:r>
    </w:p>
    <w:p w14:paraId="4FF96D69">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9</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法人代表授权书</w:t>
      </w:r>
    </w:p>
    <w:p w14:paraId="75C6D33D">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法人营业执照</w:t>
      </w:r>
    </w:p>
    <w:p w14:paraId="67D6BD54">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 廉洁承诺书</w:t>
      </w:r>
    </w:p>
    <w:p w14:paraId="6C23D0EE">
      <w:pPr>
        <w:spacing w:line="500" w:lineRule="exac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 投标人提交的其它资料</w:t>
      </w:r>
    </w:p>
    <w:p w14:paraId="6EEB7ECE">
      <w:pPr>
        <w:pStyle w:val="19"/>
        <w:rPr>
          <w:rFonts w:hint="eastAsia" w:ascii="仿宋" w:hAnsi="仿宋" w:eastAsia="仿宋"/>
          <w:color w:val="000000" w:themeColor="text1"/>
          <w:sz w:val="32"/>
          <w:szCs w:val="32"/>
          <w:highlight w:val="none"/>
          <w14:textFill>
            <w14:solidFill>
              <w14:schemeClr w14:val="tx1"/>
            </w14:solidFill>
          </w14:textFill>
        </w:rPr>
      </w:pPr>
    </w:p>
    <w:p w14:paraId="5268F24C">
      <w:pPr>
        <w:pStyle w:val="19"/>
        <w:rPr>
          <w:rFonts w:hint="eastAsia" w:ascii="仿宋" w:hAnsi="仿宋" w:eastAsia="仿宋"/>
          <w:color w:val="000000" w:themeColor="text1"/>
          <w:sz w:val="32"/>
          <w:szCs w:val="32"/>
          <w:highlight w:val="none"/>
          <w14:textFill>
            <w14:solidFill>
              <w14:schemeClr w14:val="tx1"/>
            </w14:solidFill>
          </w14:textFill>
        </w:rPr>
      </w:pPr>
    </w:p>
    <w:p w14:paraId="09E8050F">
      <w:pPr>
        <w:spacing w:line="440" w:lineRule="exact"/>
        <w:rPr>
          <w:rFonts w:ascii="仿宋" w:hAnsi="仿宋" w:eastAsia="仿宋"/>
          <w:b/>
          <w:color w:val="000000" w:themeColor="text1"/>
          <w:sz w:val="32"/>
          <w:szCs w:val="32"/>
          <w:highlight w:val="none"/>
          <w14:textFill>
            <w14:solidFill>
              <w14:schemeClr w14:val="tx1"/>
            </w14:solidFill>
          </w14:textFill>
        </w:rPr>
      </w:pPr>
    </w:p>
    <w:p w14:paraId="5394FF36">
      <w:pPr>
        <w:spacing w:line="440" w:lineRule="exact"/>
        <w:rPr>
          <w:rFonts w:ascii="仿宋" w:hAnsi="仿宋" w:eastAsia="仿宋"/>
          <w:b/>
          <w:color w:val="000000" w:themeColor="text1"/>
          <w:sz w:val="32"/>
          <w:szCs w:val="32"/>
          <w:highlight w:val="none"/>
          <w14:textFill>
            <w14:solidFill>
              <w14:schemeClr w14:val="tx1"/>
            </w14:solidFill>
          </w14:textFill>
        </w:rPr>
      </w:pPr>
    </w:p>
    <w:p w14:paraId="64839428">
      <w:pPr>
        <w:spacing w:line="440" w:lineRule="exact"/>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b/>
          <w:color w:val="000000" w:themeColor="text1"/>
          <w:sz w:val="32"/>
          <w:szCs w:val="32"/>
          <w:highlight w:val="none"/>
          <w14:textFill>
            <w14:solidFill>
              <w14:schemeClr w14:val="tx1"/>
            </w14:solidFill>
          </w14:textFill>
        </w:rPr>
        <w:t>说明：投标人应按投标文件的实际情况编制目录</w:t>
      </w:r>
    </w:p>
    <w:p w14:paraId="57425782">
      <w:pPr>
        <w:spacing w:line="500" w:lineRule="exact"/>
        <w:rPr>
          <w:rFonts w:ascii="仿宋" w:hAnsi="仿宋" w:eastAsia="仿宋"/>
          <w:b/>
          <w:color w:val="000000" w:themeColor="text1"/>
          <w:sz w:val="32"/>
          <w:szCs w:val="32"/>
          <w:highlight w:val="none"/>
          <w14:textFill>
            <w14:solidFill>
              <w14:schemeClr w14:val="tx1"/>
            </w14:solidFill>
          </w14:textFill>
        </w:rPr>
      </w:pPr>
    </w:p>
    <w:p w14:paraId="7B98FE28">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br w:type="page"/>
      </w:r>
      <w:bookmarkStart w:id="367" w:name="_Toc186344305"/>
      <w:r>
        <w:rPr>
          <w:rFonts w:hint="eastAsia" w:ascii="仿宋" w:hAnsi="仿宋" w:eastAsia="仿宋"/>
          <w:b/>
          <w:bCs/>
          <w:color w:val="000000" w:themeColor="text1"/>
          <w:sz w:val="32"/>
          <w:szCs w:val="32"/>
          <w:highlight w:val="none"/>
          <w14:textFill>
            <w14:solidFill>
              <w14:schemeClr w14:val="tx1"/>
            </w14:solidFill>
          </w14:textFill>
        </w:rPr>
        <w:t>格式1　　</w:t>
      </w:r>
    </w:p>
    <w:p w14:paraId="20D02291">
      <w:pPr>
        <w:spacing w:line="500" w:lineRule="exact"/>
        <w:rPr>
          <w:rFonts w:ascii="仿宋" w:hAnsi="仿宋" w:eastAsia="仿宋"/>
          <w:b/>
          <w:bCs/>
          <w:color w:val="000000" w:themeColor="text1"/>
          <w:sz w:val="32"/>
          <w:szCs w:val="32"/>
          <w:highlight w:val="none"/>
          <w14:textFill>
            <w14:solidFill>
              <w14:schemeClr w14:val="tx1"/>
            </w14:solidFill>
          </w14:textFill>
        </w:rPr>
      </w:pPr>
    </w:p>
    <w:p w14:paraId="02ACB521">
      <w:pPr>
        <w:spacing w:line="5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 标 书</w:t>
      </w:r>
      <w:bookmarkEnd w:id="367"/>
    </w:p>
    <w:p w14:paraId="44359C0C">
      <w:pPr>
        <w:spacing w:line="500" w:lineRule="exact"/>
        <w:rPr>
          <w:rFonts w:ascii="仿宋" w:hAnsi="仿宋" w:eastAsia="仿宋"/>
          <w:color w:val="000000" w:themeColor="text1"/>
          <w:sz w:val="32"/>
          <w:szCs w:val="32"/>
          <w:highlight w:val="none"/>
          <w14:textFill>
            <w14:solidFill>
              <w14:schemeClr w14:val="tx1"/>
            </w14:solidFill>
          </w14:textFill>
        </w:rPr>
      </w:pPr>
    </w:p>
    <w:p w14:paraId="252C7102">
      <w:pPr>
        <w:spacing w:line="500" w:lineRule="exact"/>
        <w:rPr>
          <w:rFonts w:hint="default" w:ascii="仿宋" w:hAnsi="仿宋" w:eastAsia="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致</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招标人  </w:t>
      </w:r>
      <w:r>
        <w:rPr>
          <w:rFonts w:hint="eastAsia" w:ascii="仿宋" w:hAnsi="仿宋" w:eastAsia="仿宋"/>
          <w:color w:val="000000" w:themeColor="text1"/>
          <w:sz w:val="32"/>
          <w:szCs w:val="32"/>
          <w:highlight w:val="none"/>
          <w:u w:val="none"/>
          <w:lang w:val="en-US" w:eastAsia="zh-CN"/>
          <w14:textFill>
            <w14:solidFill>
              <w14:schemeClr w14:val="tx1"/>
            </w14:solidFill>
          </w14:textFill>
        </w:rPr>
        <w:t>：</w:t>
      </w:r>
    </w:p>
    <w:p w14:paraId="6A55D2E5">
      <w:pPr>
        <w:spacing w:line="500" w:lineRule="exac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根据贵方为</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项目的投标要求（招标编号:</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，本签字代表</w:t>
      </w:r>
      <w:r>
        <w:rPr>
          <w:rFonts w:hint="eastAsia" w:ascii="仿宋" w:hAnsi="仿宋" w:eastAsia="仿宋"/>
          <w:color w:val="000000" w:themeColor="text1"/>
          <w:sz w:val="32"/>
          <w:szCs w:val="32"/>
          <w:highlight w:val="none"/>
          <w:u w:val="single"/>
          <w14:textFill>
            <w14:solidFill>
              <w14:schemeClr w14:val="tx1"/>
            </w14:solidFill>
          </w14:textFill>
        </w:rPr>
        <w:t>（全名、职务）</w:t>
      </w:r>
      <w:r>
        <w:rPr>
          <w:rFonts w:hint="eastAsia" w:ascii="仿宋" w:hAnsi="仿宋" w:eastAsia="仿宋"/>
          <w:color w:val="000000" w:themeColor="text1"/>
          <w:sz w:val="32"/>
          <w:szCs w:val="32"/>
          <w:highlight w:val="none"/>
          <w14:textFill>
            <w14:solidFill>
              <w14:schemeClr w14:val="tx1"/>
            </w14:solidFill>
          </w14:textFill>
        </w:rPr>
        <w:t>正式授权并代表投标人</w:t>
      </w:r>
      <w:r>
        <w:rPr>
          <w:rFonts w:hint="eastAsia" w:ascii="仿宋" w:hAnsi="仿宋" w:eastAsia="仿宋"/>
          <w:color w:val="000000" w:themeColor="text1"/>
          <w:sz w:val="32"/>
          <w:szCs w:val="32"/>
          <w:highlight w:val="none"/>
          <w:u w:val="single"/>
          <w14:textFill>
            <w14:solidFill>
              <w14:schemeClr w14:val="tx1"/>
            </w14:solidFill>
          </w14:textFill>
        </w:rPr>
        <w:t>（投标人名称、地址）</w:t>
      </w:r>
      <w:r>
        <w:rPr>
          <w:rFonts w:hint="eastAsia" w:ascii="仿宋" w:hAnsi="仿宋" w:eastAsia="仿宋"/>
          <w:color w:val="000000" w:themeColor="text1"/>
          <w:sz w:val="32"/>
          <w:szCs w:val="32"/>
          <w:highlight w:val="none"/>
          <w14:textFill>
            <w14:solidFill>
              <w14:schemeClr w14:val="tx1"/>
            </w14:solidFill>
          </w14:textFill>
        </w:rPr>
        <w:t>提交下述文件正本一份</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副本一份</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电子版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份（U盘介质）</w:t>
      </w:r>
      <w:r>
        <w:rPr>
          <w:rFonts w:hint="eastAsia" w:ascii="仿宋" w:hAnsi="仿宋" w:eastAsia="仿宋"/>
          <w:color w:val="000000" w:themeColor="text1"/>
          <w:sz w:val="32"/>
          <w:szCs w:val="32"/>
          <w:highlight w:val="none"/>
          <w14:textFill>
            <w14:solidFill>
              <w14:schemeClr w14:val="tx1"/>
            </w14:solidFill>
          </w14:textFill>
        </w:rPr>
        <w:t>。</w:t>
      </w:r>
    </w:p>
    <w:p w14:paraId="71AC15B0">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1）投标书</w:t>
      </w:r>
    </w:p>
    <w:p w14:paraId="62A18D10">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（2）开标一览表</w:t>
      </w:r>
    </w:p>
    <w:p w14:paraId="2626131F">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（3）价格明细表</w:t>
      </w:r>
    </w:p>
    <w:p w14:paraId="28EBDDA7">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（4）投标人的资格证明文件</w:t>
      </w:r>
    </w:p>
    <w:p w14:paraId="536E5EF8">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（5）带“★”号条款逐条响应表</w:t>
      </w:r>
    </w:p>
    <w:p w14:paraId="599B5B9D">
      <w:pPr>
        <w:spacing w:line="500" w:lineRule="exact"/>
        <w:ind w:firstLine="320" w:firstLineChars="1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（6）投标人承诺函</w:t>
      </w:r>
    </w:p>
    <w:p w14:paraId="2AFE76DA">
      <w:pPr>
        <w:spacing w:line="500" w:lineRule="exact"/>
        <w:ind w:firstLine="320" w:firstLineChars="1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（7）技术和商务响应表</w:t>
      </w:r>
    </w:p>
    <w:p w14:paraId="50460F1C">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（8）项目服务方案</w:t>
      </w:r>
    </w:p>
    <w:p w14:paraId="14DF6C83">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（9）投标人提交的其它资料</w:t>
      </w:r>
    </w:p>
    <w:p w14:paraId="2FA530AE">
      <w:pPr>
        <w:spacing w:line="500" w:lineRule="exact"/>
        <w:ind w:firstLine="320" w:firstLineChars="100"/>
        <w:rPr>
          <w:rFonts w:hint="default"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（10）以</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方式提供的金额为人民币</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元的投标保证金。</w:t>
      </w:r>
    </w:p>
    <w:p w14:paraId="61B238F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据此函，签字代表宣布同意如下：</w:t>
      </w:r>
    </w:p>
    <w:p w14:paraId="0B7D104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1.投标人已详细审查全部招标文件，包括修改文件（如有的话）和有关附件，将自行承担因对全部招标文件理解不正确或误解而产生的相应后果。</w:t>
      </w:r>
    </w:p>
    <w:p w14:paraId="73F67F0B">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2.投标人保证遵守招标文件的全部规定，投标人所提交的材料中所含的信息均为真实、准确、完整，且不具有任何误导性。</w:t>
      </w:r>
    </w:p>
    <w:p w14:paraId="261B4153">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3.投标人将按招标文件的规定履行合同责任和义务。</w:t>
      </w:r>
    </w:p>
    <w:p w14:paraId="3125C8F2">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4.本投标文件自开标日起投标有效期为：在招标文件投标人须知前附表所规定的期限内保持有效。</w:t>
      </w:r>
    </w:p>
    <w:p w14:paraId="4FF96E61">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5.如果发生招标文件第二章投标人须知第12条所述情况，则同意招标人不予退还投标保证金。</w:t>
      </w:r>
    </w:p>
    <w:p w14:paraId="1417A1A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6.投标人同意提供按照招标人可能要求的与其投标有关的一切数据或资料，完全理解贵方不一定要接受最低的报价或收到的任何投标。</w:t>
      </w:r>
    </w:p>
    <w:p w14:paraId="6946A8B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 与本投标有关的一切正式往来通讯请寄：</w:t>
      </w:r>
    </w:p>
    <w:p w14:paraId="00270098">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地址：</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邮编：</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418296CB">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电话：</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传真：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7D3649BC">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11DBE47">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011871A8">
      <w:pPr>
        <w:pStyle w:val="19"/>
        <w:rPr>
          <w:rFonts w:hint="default"/>
          <w:color w:val="000000" w:themeColor="text1"/>
          <w:highlight w:val="none"/>
          <w:lang w:val="en-US" w:eastAsia="zh-CN"/>
          <w14:textFill>
            <w14:solidFill>
              <w14:schemeClr w14:val="tx1"/>
            </w14:solidFill>
          </w14:textFill>
        </w:rPr>
      </w:pPr>
    </w:p>
    <w:p w14:paraId="1A75343C">
      <w:pPr>
        <w:pStyle w:val="19"/>
        <w:rPr>
          <w:rFonts w:hint="default"/>
          <w:color w:val="000000" w:themeColor="text1"/>
          <w:highlight w:val="none"/>
          <w:lang w:val="en-US" w:eastAsia="zh-CN"/>
          <w14:textFill>
            <w14:solidFill>
              <w14:schemeClr w14:val="tx1"/>
            </w14:solidFill>
          </w14:textFill>
        </w:rPr>
      </w:pPr>
    </w:p>
    <w:p w14:paraId="5C102EEE">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日  期：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 月 日</w:t>
      </w:r>
    </w:p>
    <w:p w14:paraId="48C2B6B0">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br w:type="page"/>
      </w:r>
      <w:r>
        <w:rPr>
          <w:rFonts w:hint="eastAsia" w:ascii="仿宋" w:hAnsi="仿宋" w:eastAsia="仿宋"/>
          <w:b/>
          <w:bCs/>
          <w:color w:val="000000" w:themeColor="text1"/>
          <w:sz w:val="32"/>
          <w:szCs w:val="32"/>
          <w:highlight w:val="none"/>
          <w14:textFill>
            <w14:solidFill>
              <w14:schemeClr w14:val="tx1"/>
            </w14:solidFill>
          </w14:textFill>
        </w:rPr>
        <w:t>格式2　</w:t>
      </w:r>
    </w:p>
    <w:p w14:paraId="528B546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7C3B62C">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开标一览表</w:t>
      </w:r>
    </w:p>
    <w:p w14:paraId="2D64B60E">
      <w:pPr>
        <w:pStyle w:val="9"/>
        <w:tabs>
          <w:tab w:val="left" w:pos="3996"/>
          <w:tab w:val="left" w:pos="8437"/>
        </w:tabs>
        <w:spacing w:line="500" w:lineRule="exact"/>
        <w:ind w:left="36"/>
        <w:rPr>
          <w:rFonts w:ascii="仿宋" w:hAnsi="仿宋" w:eastAsia="仿宋"/>
          <w:color w:val="000000" w:themeColor="text1"/>
          <w:sz w:val="32"/>
          <w:szCs w:val="32"/>
          <w:highlight w:val="none"/>
          <w14:textFill>
            <w14:solidFill>
              <w14:schemeClr w14:val="tx1"/>
            </w14:solidFill>
          </w14:textFill>
        </w:rPr>
      </w:pPr>
    </w:p>
    <w:p w14:paraId="57502911">
      <w:pPr>
        <w:spacing w:line="500" w:lineRule="exact"/>
        <w:rPr>
          <w:rFonts w:hint="eastAsia"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招标项目：</w:t>
      </w:r>
      <w:r>
        <w:rPr>
          <w:rFonts w:hint="eastAsia" w:ascii="仿宋" w:hAnsi="仿宋" w:eastAsia="仿宋"/>
          <w:color w:val="000000" w:themeColor="text1"/>
          <w:sz w:val="32"/>
          <w:szCs w:val="32"/>
          <w:highlight w:val="none"/>
          <w:u w:val="single"/>
          <w14:textFill>
            <w14:solidFill>
              <w14:schemeClr w14:val="tx1"/>
            </w14:solidFill>
          </w14:textFill>
        </w:rPr>
        <w:t>　　　　　　　　　　</w:t>
      </w:r>
    </w:p>
    <w:p w14:paraId="58050B38">
      <w:pPr>
        <w:spacing w:line="500" w:lineRule="exact"/>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招标编号：</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p>
    <w:p w14:paraId="07F5D03E">
      <w:pPr>
        <w:pStyle w:val="9"/>
        <w:tabs>
          <w:tab w:val="left" w:pos="3996"/>
          <w:tab w:val="left" w:pos="8437"/>
        </w:tabs>
        <w:spacing w:line="500" w:lineRule="exact"/>
        <w:ind w:left="36"/>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货币单位：</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tbl>
      <w:tblPr>
        <w:tblStyle w:val="20"/>
        <w:tblpPr w:leftFromText="180" w:rightFromText="180" w:vertAnchor="text" w:horzAnchor="page" w:tblpX="1529" w:tblpY="591"/>
        <w:tblOverlap w:val="never"/>
        <w:tblW w:w="8967" w:type="dxa"/>
        <w:tblInd w:w="0" w:type="dxa"/>
        <w:tblLayout w:type="fixed"/>
        <w:tblCellMar>
          <w:top w:w="0" w:type="dxa"/>
          <w:left w:w="0" w:type="dxa"/>
          <w:bottom w:w="0" w:type="dxa"/>
          <w:right w:w="0" w:type="dxa"/>
        </w:tblCellMar>
      </w:tblPr>
      <w:tblGrid>
        <w:gridCol w:w="1294"/>
        <w:gridCol w:w="893"/>
        <w:gridCol w:w="1981"/>
        <w:gridCol w:w="1459"/>
        <w:gridCol w:w="1800"/>
        <w:gridCol w:w="1540"/>
      </w:tblGrid>
      <w:tr w14:paraId="31EDD556">
        <w:tblPrEx>
          <w:tblCellMar>
            <w:top w:w="0" w:type="dxa"/>
            <w:left w:w="0" w:type="dxa"/>
            <w:bottom w:w="0" w:type="dxa"/>
            <w:right w:w="0" w:type="dxa"/>
          </w:tblCellMar>
        </w:tblPrEx>
        <w:trPr>
          <w:trHeight w:val="1191" w:hRule="exact"/>
        </w:trPr>
        <w:tc>
          <w:tcPr>
            <w:tcW w:w="1294" w:type="dxa"/>
            <w:tcBorders>
              <w:top w:val="single" w:color="000000" w:sz="4" w:space="0"/>
              <w:left w:val="single" w:color="000000" w:sz="4" w:space="0"/>
              <w:bottom w:val="single" w:color="000000" w:sz="4" w:space="0"/>
              <w:right w:val="single" w:color="000000" w:sz="4" w:space="0"/>
            </w:tcBorders>
            <w:vAlign w:val="center"/>
          </w:tcPr>
          <w:p w14:paraId="3B9AA76A">
            <w:pPr>
              <w:pStyle w:val="31"/>
              <w:spacing w:line="500" w:lineRule="exact"/>
              <w:jc w:val="center"/>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项目名称</w:t>
            </w:r>
          </w:p>
        </w:tc>
        <w:tc>
          <w:tcPr>
            <w:tcW w:w="893" w:type="dxa"/>
            <w:tcBorders>
              <w:top w:val="single" w:color="000000" w:sz="4" w:space="0"/>
              <w:left w:val="single" w:color="000000" w:sz="4" w:space="0"/>
              <w:bottom w:val="single" w:color="000000" w:sz="4" w:space="0"/>
              <w:right w:val="single" w:color="000000" w:sz="4" w:space="0"/>
            </w:tcBorders>
            <w:vAlign w:val="center"/>
          </w:tcPr>
          <w:p w14:paraId="7C29F162">
            <w:pPr>
              <w:pStyle w:val="31"/>
              <w:spacing w:line="500" w:lineRule="exact"/>
              <w:jc w:val="center"/>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数量</w:t>
            </w:r>
          </w:p>
        </w:tc>
        <w:tc>
          <w:tcPr>
            <w:tcW w:w="1981" w:type="dxa"/>
            <w:tcBorders>
              <w:top w:val="single" w:color="000000" w:sz="4" w:space="0"/>
              <w:left w:val="single" w:color="000000" w:sz="4" w:space="0"/>
              <w:bottom w:val="single" w:color="000000" w:sz="4" w:space="0"/>
              <w:right w:val="single" w:color="000000" w:sz="4" w:space="0"/>
            </w:tcBorders>
            <w:vAlign w:val="center"/>
          </w:tcPr>
          <w:p w14:paraId="064E79B5">
            <w:pPr>
              <w:pStyle w:val="31"/>
              <w:spacing w:line="500" w:lineRule="exact"/>
              <w:ind w:right="102"/>
              <w:jc w:val="center"/>
              <w:rPr>
                <w:rFonts w:hint="eastAsia"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val="en-US" w:eastAsia="zh-CN"/>
                <w14:textFill>
                  <w14:solidFill>
                    <w14:schemeClr w14:val="tx1"/>
                  </w14:solidFill>
                </w14:textFill>
              </w:rPr>
              <w:t>投标总</w:t>
            </w:r>
            <w:r>
              <w:rPr>
                <w:rFonts w:hint="eastAsia" w:ascii="仿宋" w:hAnsi="仿宋" w:eastAsia="仿宋" w:cs="宋体"/>
                <w:color w:val="000000" w:themeColor="text1"/>
                <w:sz w:val="28"/>
                <w:szCs w:val="28"/>
                <w:highlight w:val="none"/>
                <w:lang w:eastAsia="zh-CN"/>
                <w14:textFill>
                  <w14:solidFill>
                    <w14:schemeClr w14:val="tx1"/>
                  </w14:solidFill>
                </w14:textFill>
              </w:rPr>
              <w:t>价</w:t>
            </w:r>
          </w:p>
          <w:p w14:paraId="68999779">
            <w:pPr>
              <w:pStyle w:val="31"/>
              <w:spacing w:line="500" w:lineRule="exact"/>
              <w:ind w:right="102"/>
              <w:jc w:val="center"/>
              <w:rPr>
                <w:rFonts w:hint="default" w:ascii="仿宋" w:hAnsi="仿宋" w:eastAsia="仿宋" w:cs="宋体"/>
                <w:color w:val="000000" w:themeColor="text1"/>
                <w:sz w:val="28"/>
                <w:szCs w:val="28"/>
                <w:highlight w:val="none"/>
                <w:lang w:val="en-US" w:eastAsia="zh-CN"/>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w:t>
            </w:r>
            <w:r>
              <w:rPr>
                <w:rFonts w:hint="eastAsia" w:ascii="仿宋" w:hAnsi="仿宋" w:eastAsia="仿宋" w:cs="宋体"/>
                <w:color w:val="000000" w:themeColor="text1"/>
                <w:sz w:val="28"/>
                <w:szCs w:val="28"/>
                <w:highlight w:val="none"/>
                <w:lang w:val="en-US" w:eastAsia="zh-CN"/>
                <w14:textFill>
                  <w14:solidFill>
                    <w14:schemeClr w14:val="tx1"/>
                  </w14:solidFill>
                </w14:textFill>
              </w:rPr>
              <w:t>含税）</w:t>
            </w:r>
          </w:p>
        </w:tc>
        <w:tc>
          <w:tcPr>
            <w:tcW w:w="1459" w:type="dxa"/>
            <w:tcBorders>
              <w:top w:val="single" w:color="000000" w:sz="4" w:space="0"/>
              <w:left w:val="single" w:color="000000" w:sz="4" w:space="0"/>
              <w:bottom w:val="single" w:color="000000" w:sz="4" w:space="0"/>
              <w:right w:val="single" w:color="000000" w:sz="4" w:space="0"/>
            </w:tcBorders>
            <w:vAlign w:val="center"/>
          </w:tcPr>
          <w:p w14:paraId="73294A16">
            <w:pPr>
              <w:pStyle w:val="31"/>
              <w:spacing w:line="500" w:lineRule="exact"/>
              <w:jc w:val="center"/>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服务</w:t>
            </w:r>
            <w:r>
              <w:rPr>
                <w:rFonts w:ascii="仿宋" w:hAnsi="仿宋" w:eastAsia="仿宋" w:cs="宋体"/>
                <w:color w:val="000000" w:themeColor="text1"/>
                <w:sz w:val="28"/>
                <w:szCs w:val="28"/>
                <w:highlight w:val="none"/>
                <w14:textFill>
                  <w14:solidFill>
                    <w14:schemeClr w14:val="tx1"/>
                  </w14:solidFill>
                </w14:textFill>
              </w:rPr>
              <w:t>期</w:t>
            </w:r>
          </w:p>
        </w:tc>
        <w:tc>
          <w:tcPr>
            <w:tcW w:w="1800" w:type="dxa"/>
            <w:tcBorders>
              <w:top w:val="single" w:color="000000" w:sz="4" w:space="0"/>
              <w:left w:val="single" w:color="000000" w:sz="4" w:space="0"/>
              <w:bottom w:val="single" w:color="000000" w:sz="4" w:space="0"/>
              <w:right w:val="single" w:color="000000" w:sz="4" w:space="0"/>
            </w:tcBorders>
            <w:vAlign w:val="center"/>
          </w:tcPr>
          <w:p w14:paraId="1DE23665">
            <w:pPr>
              <w:pStyle w:val="31"/>
              <w:spacing w:line="500" w:lineRule="exact"/>
              <w:ind w:right="107"/>
              <w:jc w:val="center"/>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投标保证金</w:t>
            </w:r>
          </w:p>
        </w:tc>
        <w:tc>
          <w:tcPr>
            <w:tcW w:w="1540" w:type="dxa"/>
            <w:tcBorders>
              <w:top w:val="single" w:color="000000" w:sz="4" w:space="0"/>
              <w:left w:val="single" w:color="000000" w:sz="4" w:space="0"/>
              <w:bottom w:val="single" w:color="000000" w:sz="4" w:space="0"/>
              <w:right w:val="single" w:color="000000" w:sz="4" w:space="0"/>
            </w:tcBorders>
            <w:vAlign w:val="center"/>
          </w:tcPr>
          <w:p w14:paraId="12ED1E2F">
            <w:pPr>
              <w:pStyle w:val="31"/>
              <w:spacing w:line="500" w:lineRule="exact"/>
              <w:jc w:val="center"/>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备注</w:t>
            </w:r>
          </w:p>
        </w:tc>
      </w:tr>
      <w:tr w14:paraId="785BECFE">
        <w:tblPrEx>
          <w:tblCellMar>
            <w:top w:w="0" w:type="dxa"/>
            <w:left w:w="0" w:type="dxa"/>
            <w:bottom w:w="0" w:type="dxa"/>
            <w:right w:w="0" w:type="dxa"/>
          </w:tblCellMar>
        </w:tblPrEx>
        <w:trPr>
          <w:trHeight w:val="972" w:hRule="exact"/>
        </w:trPr>
        <w:tc>
          <w:tcPr>
            <w:tcW w:w="1294" w:type="dxa"/>
            <w:tcBorders>
              <w:top w:val="single" w:color="000000" w:sz="4" w:space="0"/>
              <w:left w:val="single" w:color="000000" w:sz="4" w:space="0"/>
              <w:bottom w:val="single" w:color="000000" w:sz="4" w:space="0"/>
              <w:right w:val="single" w:color="000000" w:sz="4" w:space="0"/>
            </w:tcBorders>
          </w:tcPr>
          <w:p w14:paraId="5F80DBE3">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Pr>
          <w:p w14:paraId="0654FB99">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981" w:type="dxa"/>
            <w:tcBorders>
              <w:top w:val="single" w:color="000000" w:sz="4" w:space="0"/>
              <w:left w:val="single" w:color="000000" w:sz="4" w:space="0"/>
              <w:bottom w:val="single" w:color="000000" w:sz="4" w:space="0"/>
              <w:right w:val="single" w:color="000000" w:sz="4" w:space="0"/>
            </w:tcBorders>
          </w:tcPr>
          <w:p w14:paraId="0392F8F5">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tcPr>
          <w:p w14:paraId="4E9D7783">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tcPr>
          <w:p w14:paraId="5FFB8ECE">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Pr>
          <w:p w14:paraId="093385D1">
            <w:pPr>
              <w:spacing w:line="500" w:lineRule="exact"/>
              <w:rPr>
                <w:rFonts w:ascii="仿宋" w:hAnsi="仿宋" w:eastAsia="仿宋"/>
                <w:color w:val="000000" w:themeColor="text1"/>
                <w:sz w:val="28"/>
                <w:szCs w:val="28"/>
                <w:highlight w:val="none"/>
                <w14:textFill>
                  <w14:solidFill>
                    <w14:schemeClr w14:val="tx1"/>
                  </w14:solidFill>
                </w14:textFill>
              </w:rPr>
            </w:pPr>
          </w:p>
        </w:tc>
      </w:tr>
    </w:tbl>
    <w:p w14:paraId="54A9FD85">
      <w:pPr>
        <w:pStyle w:val="9"/>
        <w:spacing w:line="500" w:lineRule="exact"/>
        <w:rPr>
          <w:rFonts w:ascii="仿宋" w:hAnsi="仿宋" w:eastAsia="仿宋"/>
          <w:color w:val="000000" w:themeColor="text1"/>
          <w:sz w:val="24"/>
          <w:szCs w:val="24"/>
          <w:highlight w:val="none"/>
          <w14:textFill>
            <w14:solidFill>
              <w14:schemeClr w14:val="tx1"/>
            </w14:solidFill>
          </w14:textFill>
        </w:rPr>
      </w:pPr>
    </w:p>
    <w:p w14:paraId="784280F1">
      <w:pPr>
        <w:pStyle w:val="9"/>
        <w:spacing w:line="500" w:lineRule="exact"/>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注：详细报价清单应另纸详列。</w:t>
      </w:r>
    </w:p>
    <w:p w14:paraId="47121CE3">
      <w:pPr>
        <w:pStyle w:val="9"/>
        <w:tabs>
          <w:tab w:val="left" w:pos="4340"/>
        </w:tabs>
        <w:spacing w:before="25" w:line="500" w:lineRule="exact"/>
        <w:ind w:right="946"/>
        <w:rPr>
          <w:rFonts w:ascii="仿宋" w:hAnsi="仿宋" w:eastAsia="仿宋"/>
          <w:color w:val="000000" w:themeColor="text1"/>
          <w:sz w:val="32"/>
          <w:szCs w:val="32"/>
          <w:highlight w:val="none"/>
          <w14:textFill>
            <w14:solidFill>
              <w14:schemeClr w14:val="tx1"/>
            </w14:solidFill>
          </w14:textFill>
        </w:rPr>
      </w:pPr>
    </w:p>
    <w:p w14:paraId="6B60B3F2">
      <w:pPr>
        <w:spacing w:line="500" w:lineRule="exact"/>
        <w:ind w:firstLine="2240" w:firstLineChars="7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7DF6B08E">
      <w:pPr>
        <w:spacing w:line="500" w:lineRule="exact"/>
        <w:ind w:firstLine="2880" w:firstLineChars="9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投标人代表签字：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72E55234">
      <w:pPr>
        <w:spacing w:line="500" w:lineRule="exact"/>
        <w:ind w:firstLine="4160" w:firstLineChars="1300"/>
        <w:rPr>
          <w:rFonts w:hint="eastAsia" w:ascii="仿宋" w:hAnsi="仿宋" w:eastAsia="仿宋"/>
          <w:color w:val="000000" w:themeColor="text1"/>
          <w:sz w:val="32"/>
          <w:szCs w:val="32"/>
          <w:highlight w:val="none"/>
          <w:u w:val="single"/>
          <w:lang w:val="en-US" w:eastAsia="zh-CN"/>
          <w14:textFill>
            <w14:solidFill>
              <w14:schemeClr w14:val="tx1"/>
            </w14:solidFill>
          </w14:textFill>
        </w:rPr>
        <w:sectPr>
          <w:pgSz w:w="11907" w:h="16840"/>
          <w:pgMar w:top="1417" w:right="1418" w:bottom="1417" w:left="1418" w:header="857" w:footer="998" w:gutter="0"/>
          <w:cols w:space="0" w:num="1"/>
          <w:rtlGutter w:val="0"/>
          <w:docGrid w:linePitch="286" w:charSpace="0"/>
        </w:sect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5355BB1">
      <w:pPr>
        <w:spacing w:line="500" w:lineRule="exact"/>
        <w:rPr>
          <w:rFonts w:ascii="仿宋" w:hAnsi="仿宋" w:eastAsia="仿宋"/>
          <w:b/>
          <w:bCs/>
          <w:color w:val="000000" w:themeColor="text1"/>
          <w:sz w:val="32"/>
          <w:szCs w:val="32"/>
          <w:highlight w:val="none"/>
          <w14:textFill>
            <w14:solidFill>
              <w14:schemeClr w14:val="tx1"/>
            </w14:solidFill>
          </w14:textFill>
        </w:rPr>
      </w:pPr>
      <w:bookmarkStart w:id="368" w:name="_bookmark30"/>
      <w:bookmarkEnd w:id="368"/>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3</w:t>
      </w:r>
      <w:r>
        <w:rPr>
          <w:rFonts w:hint="eastAsia" w:ascii="仿宋" w:hAnsi="仿宋" w:eastAsia="仿宋"/>
          <w:b/>
          <w:bCs/>
          <w:color w:val="000000" w:themeColor="text1"/>
          <w:sz w:val="32"/>
          <w:szCs w:val="32"/>
          <w:highlight w:val="none"/>
          <w14:textFill>
            <w14:solidFill>
              <w14:schemeClr w14:val="tx1"/>
            </w14:solidFill>
          </w14:textFill>
        </w:rPr>
        <w:t xml:space="preserve">  </w:t>
      </w:r>
    </w:p>
    <w:p w14:paraId="5819A6EE">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法定代表人授权书</w:t>
      </w:r>
    </w:p>
    <w:p w14:paraId="01BD92A3">
      <w:pPr>
        <w:spacing w:line="500" w:lineRule="exact"/>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致</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招标人   </w:t>
      </w:r>
    </w:p>
    <w:p w14:paraId="43B9B36D">
      <w:pPr>
        <w:pStyle w:val="11"/>
        <w:snapToGrid w:val="0"/>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u w:val="none"/>
          <w:lang w:val="en-US" w:eastAsia="zh-CN"/>
          <w14:textFill>
            <w14:solidFill>
              <w14:schemeClr w14:val="tx1"/>
            </w14:solidFill>
          </w14:textFill>
        </w:rPr>
        <w:t>本人</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（姓名）</w:t>
      </w:r>
      <w:r>
        <w:rPr>
          <w:rFonts w:hint="eastAsia" w:ascii="仿宋" w:hAnsi="仿宋" w:eastAsia="仿宋"/>
          <w:color w:val="000000" w:themeColor="text1"/>
          <w:sz w:val="32"/>
          <w:szCs w:val="32"/>
          <w:highlight w:val="none"/>
          <w:u w:val="none"/>
          <w:lang w:val="en-US" w:eastAsia="zh-CN"/>
          <w14:textFill>
            <w14:solidFill>
              <w14:schemeClr w14:val="tx1"/>
            </w14:solidFill>
          </w14:textFill>
        </w:rPr>
        <w:t>系</w:t>
      </w:r>
      <w:r>
        <w:rPr>
          <w:rFonts w:hint="eastAsia" w:ascii="仿宋" w:hAnsi="仿宋" w:eastAsia="仿宋"/>
          <w:color w:val="000000" w:themeColor="text1"/>
          <w:sz w:val="32"/>
          <w:szCs w:val="32"/>
          <w:highlight w:val="none"/>
          <w:u w:val="single"/>
          <w14:textFill>
            <w14:solidFill>
              <w14:schemeClr w14:val="tx1"/>
            </w14:solidFill>
          </w14:textFill>
        </w:rPr>
        <w:t>（投标人全称）</w:t>
      </w:r>
      <w:r>
        <w:rPr>
          <w:rFonts w:hint="eastAsia" w:ascii="仿宋" w:hAnsi="仿宋" w:eastAsia="仿宋"/>
          <w:color w:val="000000" w:themeColor="text1"/>
          <w:sz w:val="32"/>
          <w:szCs w:val="32"/>
          <w:highlight w:val="none"/>
          <w14:textFill>
            <w14:solidFill>
              <w14:schemeClr w14:val="tx1"/>
            </w14:solidFill>
          </w14:textFill>
        </w:rPr>
        <w:t>法定代表人</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现</w:t>
      </w:r>
      <w:r>
        <w:rPr>
          <w:rFonts w:hint="eastAsia" w:ascii="仿宋" w:hAnsi="仿宋" w:eastAsia="仿宋"/>
          <w:color w:val="000000" w:themeColor="text1"/>
          <w:sz w:val="32"/>
          <w:szCs w:val="32"/>
          <w:highlight w:val="none"/>
          <w14:textFill>
            <w14:solidFill>
              <w14:schemeClr w14:val="tx1"/>
            </w14:solidFill>
          </w14:textFill>
        </w:rPr>
        <w:t>授权</w:t>
      </w:r>
      <w:r>
        <w:rPr>
          <w:rFonts w:hint="eastAsia" w:ascii="仿宋" w:hAnsi="仿宋" w:eastAsia="仿宋"/>
          <w:color w:val="000000" w:themeColor="text1"/>
          <w:sz w:val="32"/>
          <w:szCs w:val="32"/>
          <w:highlight w:val="none"/>
          <w:u w:val="single"/>
          <w14:textFill>
            <w14:solidFill>
              <w14:schemeClr w14:val="tx1"/>
            </w14:solidFill>
          </w14:textFill>
        </w:rPr>
        <w:t xml:space="preserve"> （投标人代表姓名）</w:t>
      </w:r>
      <w:r>
        <w:rPr>
          <w:rFonts w:hint="eastAsia" w:ascii="仿宋" w:hAnsi="仿宋" w:eastAsia="仿宋"/>
          <w:color w:val="000000" w:themeColor="text1"/>
          <w:sz w:val="32"/>
          <w:szCs w:val="32"/>
          <w:highlight w:val="none"/>
          <w14:textFill>
            <w14:solidFill>
              <w14:schemeClr w14:val="tx1"/>
            </w14:solidFill>
          </w14:textFill>
        </w:rPr>
        <w:t>为投标人代表，代表本公司参加贵司组织的</w:t>
      </w:r>
      <w:r>
        <w:rPr>
          <w:rFonts w:hint="eastAsia" w:ascii="仿宋" w:hAnsi="仿宋" w:eastAsia="仿宋"/>
          <w:color w:val="000000" w:themeColor="text1"/>
          <w:sz w:val="32"/>
          <w:szCs w:val="32"/>
          <w:highlight w:val="none"/>
          <w:u w:val="single"/>
          <w:lang w:eastAsia="zh-CN"/>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项目名称）</w:t>
      </w:r>
      <w:r>
        <w:rPr>
          <w:rFonts w:hint="eastAsia" w:ascii="仿宋" w:hAnsi="仿宋" w:eastAsia="仿宋"/>
          <w:color w:val="000000" w:themeColor="text1"/>
          <w:sz w:val="32"/>
          <w:szCs w:val="32"/>
          <w:highlight w:val="none"/>
          <w14:textFill>
            <w14:solidFill>
              <w14:schemeClr w14:val="tx1"/>
            </w14:solidFill>
          </w14:textFill>
        </w:rPr>
        <w:t>项目</w:t>
      </w:r>
      <w:r>
        <w:rPr>
          <w:rFonts w:hint="eastAsia" w:ascii="仿宋" w:hAnsi="仿宋" w:eastAsia="仿宋"/>
          <w:color w:val="000000" w:themeColor="text1"/>
          <w:sz w:val="32"/>
          <w:szCs w:val="32"/>
          <w:highlight w:val="none"/>
          <w:u w:val="single"/>
          <w14:textFill>
            <w14:solidFill>
              <w14:schemeClr w14:val="tx1"/>
            </w14:solidFill>
          </w14:textFill>
        </w:rPr>
        <w:t>（招标编号</w:t>
      </w:r>
      <w:r>
        <w:rPr>
          <w:rFonts w:hint="eastAsia" w:ascii="仿宋" w:hAnsi="仿宋" w:eastAsia="仿宋"/>
          <w:color w:val="000000" w:themeColor="text1"/>
          <w:sz w:val="32"/>
          <w:szCs w:val="32"/>
          <w:highlight w:val="none"/>
          <w:u w:val="single"/>
          <w:lang w:eastAsia="zh-CN"/>
          <w14:textFill>
            <w14:solidFill>
              <w14:schemeClr w14:val="tx1"/>
            </w14:solidFill>
          </w14:textFill>
        </w:rPr>
        <w:t>：</w:t>
      </w:r>
      <w:r>
        <w:rPr>
          <w:rFonts w:hint="eastAsia" w:ascii="仿宋" w:hAnsi="仿宋" w:eastAsia="仿宋"/>
          <w:color w:val="000000" w:themeColor="text1"/>
          <w:sz w:val="32"/>
          <w:szCs w:val="32"/>
          <w:highlight w:val="none"/>
          <w:u w:val="singl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w:t>
      </w:r>
    </w:p>
    <w:p w14:paraId="48C15F32">
      <w:pPr>
        <w:pStyle w:val="11"/>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特此授权。本授权书自出具之日起生效。</w:t>
      </w:r>
    </w:p>
    <w:p w14:paraId="5C160034">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性别：</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613BC6C8">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身份证号：</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单位：</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24B3D5C9">
      <w:pPr>
        <w:spacing w:line="500" w:lineRule="exact"/>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部门：</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职务：</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7C2D1962">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详细通讯地址：</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邮政编码</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3AD4718E">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电话：</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6576D8D6">
      <w:pPr>
        <w:spacing w:line="500" w:lineRule="exact"/>
        <w:ind w:firstLine="5120" w:firstLineChars="1600"/>
        <w:rPr>
          <w:rFonts w:hint="eastAsia" w:ascii="仿宋" w:hAnsi="仿宋" w:eastAsia="仿宋"/>
          <w:color w:val="000000" w:themeColor="text1"/>
          <w:sz w:val="32"/>
          <w:szCs w:val="32"/>
          <w:highlight w:val="none"/>
          <w14:textFill>
            <w14:solidFill>
              <w14:schemeClr w14:val="tx1"/>
            </w14:solidFill>
          </w14:textFill>
        </w:rPr>
      </w:pPr>
    </w:p>
    <w:p w14:paraId="7B074ED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授权方</w:t>
      </w:r>
    </w:p>
    <w:p w14:paraId="3D4A13BD">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w:t>
      </w:r>
      <w:r>
        <w:rPr>
          <w:rFonts w:hint="eastAsia" w:ascii="仿宋" w:hAnsi="仿宋" w:eastAsia="仿宋"/>
          <w:color w:val="000000" w:themeColor="text1"/>
          <w:sz w:val="32"/>
          <w:szCs w:val="32"/>
          <w:highlight w:val="none"/>
          <w:u w:val="single"/>
          <w14:textFill>
            <w14:solidFill>
              <w14:schemeClr w14:val="tx1"/>
            </w14:solidFill>
          </w14:textFill>
        </w:rPr>
        <w:t>（全称并加盖公章）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C2ED924">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法定代表人签字：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35F6CF77">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979AB71">
      <w:pPr>
        <w:spacing w:line="500" w:lineRule="exact"/>
        <w:ind w:firstLine="5120" w:firstLineChars="1600"/>
        <w:rPr>
          <w:rFonts w:hint="eastAsia" w:ascii="仿宋" w:hAnsi="仿宋" w:eastAsia="仿宋"/>
          <w:color w:val="000000" w:themeColor="text1"/>
          <w:sz w:val="32"/>
          <w:szCs w:val="32"/>
          <w:highlight w:val="none"/>
          <w14:textFill>
            <w14:solidFill>
              <w14:schemeClr w14:val="tx1"/>
            </w14:solidFill>
          </w14:textFill>
        </w:rPr>
      </w:pPr>
    </w:p>
    <w:p w14:paraId="678D1F0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接受授权方</w:t>
      </w:r>
    </w:p>
    <w:p w14:paraId="7F6BF2D2">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6118B581">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C454150">
      <w:pPr>
        <w:pStyle w:val="19"/>
        <w:rPr>
          <w:rFonts w:hint="eastAsia"/>
          <w:color w:val="000000" w:themeColor="text1"/>
          <w:highlight w:val="none"/>
          <w:lang w:val="en-US" w:eastAsia="zh-CN"/>
          <w14:textFill>
            <w14:solidFill>
              <w14:schemeClr w14:val="tx1"/>
            </w14:solidFill>
          </w14:textFill>
        </w:rPr>
      </w:pPr>
    </w:p>
    <w:p w14:paraId="36421341">
      <w:pPr>
        <w:wordWrap w:val="0"/>
        <w:spacing w:line="360" w:lineRule="auto"/>
        <w:ind w:firstLine="723" w:firstLineChars="3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Times New Roman"/>
          <w:b/>
          <w:color w:val="000000" w:themeColor="text1"/>
          <w:sz w:val="24"/>
          <w:highlight w:val="none"/>
          <w14:textFill>
            <w14:solidFill>
              <w14:schemeClr w14:val="tx1"/>
            </w14:solidFill>
          </w14:textFill>
        </w:rPr>
        <w:t>后附：法定代表人身份证</w:t>
      </w:r>
      <w:r>
        <w:rPr>
          <w:rFonts w:hint="eastAsia" w:ascii="宋体" w:hAnsi="宋体" w:cs="Times New Roman"/>
          <w:b/>
          <w:color w:val="000000" w:themeColor="text1"/>
          <w:sz w:val="24"/>
          <w:highlight w:val="none"/>
          <w:lang w:val="en-US" w:eastAsia="zh-CN"/>
          <w14:textFill>
            <w14:solidFill>
              <w14:schemeClr w14:val="tx1"/>
            </w14:solidFill>
          </w14:textFill>
        </w:rPr>
        <w:t>正反面</w:t>
      </w:r>
      <w:r>
        <w:rPr>
          <w:rFonts w:hint="eastAsia" w:ascii="宋体" w:hAnsi="宋体" w:cs="Times New Roman"/>
          <w:b/>
          <w:color w:val="000000" w:themeColor="text1"/>
          <w:sz w:val="24"/>
          <w:highlight w:val="none"/>
          <w14:textFill>
            <w14:solidFill>
              <w14:schemeClr w14:val="tx1"/>
            </w14:solidFill>
          </w14:textFill>
        </w:rPr>
        <w:t>复印件、投标</w:t>
      </w:r>
      <w:r>
        <w:rPr>
          <w:rFonts w:hint="eastAsia" w:ascii="宋体" w:hAnsi="宋体"/>
          <w:b/>
          <w:color w:val="000000" w:themeColor="text1"/>
          <w:sz w:val="24"/>
          <w:highlight w:val="none"/>
          <w14:textFill>
            <w14:solidFill>
              <w14:schemeClr w14:val="tx1"/>
            </w14:solidFill>
          </w14:textFill>
        </w:rPr>
        <w:t>人代表身份证正反面复印件</w:t>
      </w:r>
    </w:p>
    <w:p w14:paraId="61315BD6">
      <w:pPr>
        <w:spacing w:line="500" w:lineRule="exact"/>
        <w:rPr>
          <w:rFonts w:ascii="仿宋" w:hAnsi="仿宋" w:eastAsia="仿宋"/>
          <w:b/>
          <w:bCs/>
          <w:color w:val="000000" w:themeColor="text1"/>
          <w:sz w:val="32"/>
          <w:szCs w:val="32"/>
          <w:highlight w:val="none"/>
          <w14:textFill>
            <w14:solidFill>
              <w14:schemeClr w14:val="tx1"/>
            </w14:solidFill>
          </w14:textFill>
        </w:rPr>
      </w:pPr>
    </w:p>
    <w:p w14:paraId="0DA9FD4B">
      <w:pPr>
        <w:spacing w:line="240" w:lineRule="auto"/>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14F782AD">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4</w:t>
      </w:r>
      <w:r>
        <w:rPr>
          <w:rFonts w:hint="eastAsia" w:ascii="仿宋" w:hAnsi="仿宋" w:eastAsia="仿宋"/>
          <w:b/>
          <w:bCs/>
          <w:color w:val="000000" w:themeColor="text1"/>
          <w:sz w:val="32"/>
          <w:szCs w:val="32"/>
          <w:highlight w:val="none"/>
          <w14:textFill>
            <w14:solidFill>
              <w14:schemeClr w14:val="tx1"/>
            </w14:solidFill>
          </w14:textFill>
        </w:rPr>
        <w:t xml:space="preserve">   </w:t>
      </w:r>
    </w:p>
    <w:p w14:paraId="5F4573C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0516375F">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法人营业执照</w:t>
      </w:r>
    </w:p>
    <w:p w14:paraId="5DD0743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45252B7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招标人 </w:t>
      </w:r>
      <w:r>
        <w:rPr>
          <w:rFonts w:hint="eastAsia" w:ascii="仿宋" w:hAnsi="仿宋" w:eastAsia="仿宋"/>
          <w:color w:val="000000" w:themeColor="text1"/>
          <w:sz w:val="32"/>
          <w:szCs w:val="32"/>
          <w:highlight w:val="none"/>
          <w14:textFill>
            <w14:solidFill>
              <w14:schemeClr w14:val="tx1"/>
            </w14:solidFill>
          </w14:textFill>
        </w:rPr>
        <w:t>：</w:t>
      </w:r>
    </w:p>
    <w:p w14:paraId="616405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现附上由</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（签发机关名称）</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签发的我方营业执照复印件，该执照</w:t>
      </w:r>
      <w:r>
        <w:rPr>
          <w:rFonts w:hint="eastAsia" w:ascii="仿宋" w:hAnsi="仿宋" w:eastAsia="仿宋"/>
          <w:color w:val="000000" w:themeColor="text1"/>
          <w:sz w:val="32"/>
          <w:szCs w:val="32"/>
          <w:highlight w:val="none"/>
          <w:lang w:val="en-US" w:eastAsia="zh-CN"/>
          <w14:textFill>
            <w14:solidFill>
              <w14:schemeClr w14:val="tx1"/>
            </w14:solidFill>
          </w14:textFill>
        </w:rPr>
        <w:t>复印件与原件一致，</w:t>
      </w:r>
      <w:r>
        <w:rPr>
          <w:rFonts w:hint="eastAsia" w:ascii="仿宋" w:hAnsi="仿宋" w:eastAsia="仿宋"/>
          <w:color w:val="000000" w:themeColor="text1"/>
          <w:sz w:val="32"/>
          <w:szCs w:val="32"/>
          <w:highlight w:val="none"/>
          <w14:textFill>
            <w14:solidFill>
              <w14:schemeClr w14:val="tx1"/>
            </w14:solidFill>
          </w14:textFill>
        </w:rPr>
        <w:t>真实有效。</w:t>
      </w:r>
    </w:p>
    <w:p w14:paraId="1F6449A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40BA5442">
      <w:pPr>
        <w:pStyle w:val="19"/>
        <w:keepNext w:val="0"/>
        <w:keepLines w:val="0"/>
        <w:pageBreakBefore w:val="0"/>
        <w:widowControl w:val="0"/>
        <w:kinsoku/>
        <w:wordWrap/>
        <w:overflowPunct/>
        <w:topLinePunct w:val="0"/>
        <w:autoSpaceDE/>
        <w:autoSpaceDN/>
        <w:bidi w:val="0"/>
        <w:adjustRightInd/>
        <w:snapToGrid/>
        <w:spacing w:line="500" w:lineRule="exact"/>
        <w:textAlignment w:val="auto"/>
        <w:rPr>
          <w:color w:val="000000" w:themeColor="text1"/>
          <w:highlight w:val="none"/>
          <w14:textFill>
            <w14:solidFill>
              <w14:schemeClr w14:val="tx1"/>
            </w14:solidFill>
          </w14:textFill>
        </w:rPr>
      </w:pPr>
    </w:p>
    <w:p w14:paraId="6631540C">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 标 人（全称并加盖公章）：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4C70ED99">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30CBAA4">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98A016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br w:type="page"/>
      </w:r>
    </w:p>
    <w:p w14:paraId="05CEBFD0">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5</w:t>
      </w:r>
      <w:r>
        <w:rPr>
          <w:rFonts w:hint="eastAsia" w:ascii="仿宋" w:hAnsi="仿宋" w:eastAsia="仿宋"/>
          <w:b/>
          <w:bCs/>
          <w:color w:val="000000" w:themeColor="text1"/>
          <w:sz w:val="32"/>
          <w:szCs w:val="32"/>
          <w:highlight w:val="none"/>
          <w14:textFill>
            <w14:solidFill>
              <w14:schemeClr w14:val="tx1"/>
            </w14:solidFill>
          </w14:textFill>
        </w:rPr>
        <w:t xml:space="preserve">  </w:t>
      </w:r>
    </w:p>
    <w:p w14:paraId="46AD093A">
      <w:pPr>
        <w:spacing w:before="120" w:beforeLines="50" w:after="120" w:afterLines="50"/>
        <w:jc w:val="cente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带“★”号条款逐条响应表</w:t>
      </w:r>
    </w:p>
    <w:p w14:paraId="41E82C16">
      <w:pPr>
        <w:pStyle w:val="19"/>
        <w:rPr>
          <w:color w:val="000000" w:themeColor="text1"/>
          <w:highlight w:val="none"/>
          <w14:textFill>
            <w14:solidFill>
              <w14:schemeClr w14:val="tx1"/>
            </w14:solidFill>
          </w14:textFill>
        </w:rPr>
      </w:pPr>
    </w:p>
    <w:p w14:paraId="39CD58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项目名称：</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  </w:t>
      </w:r>
    </w:p>
    <w:p w14:paraId="678BF13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宋体"/>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招标编号</w:t>
      </w:r>
      <w:r>
        <w:rPr>
          <w:rFonts w:hint="eastAsia" w:ascii="仿宋" w:hAnsi="仿宋" w:eastAsia="仿宋" w:cs="宋体"/>
          <w:color w:val="000000" w:themeColor="text1"/>
          <w:sz w:val="32"/>
          <w:szCs w:val="32"/>
          <w:highlight w:val="none"/>
          <w14:textFill>
            <w14:solidFill>
              <w14:schemeClr w14:val="tx1"/>
            </w14:solidFill>
          </w14:textFill>
        </w:rPr>
        <w:t>：</w:t>
      </w:r>
      <w:r>
        <w:rPr>
          <w:rFonts w:hint="eastAsia" w:ascii="仿宋" w:hAnsi="仿宋" w:eastAsia="仿宋" w:cs="宋体"/>
          <w:color w:val="000000" w:themeColor="text1"/>
          <w:sz w:val="32"/>
          <w:szCs w:val="32"/>
          <w:highlight w:val="none"/>
          <w:u w:val="single"/>
          <w:lang w:val="en-US" w:eastAsia="zh-CN"/>
          <w14:textFill>
            <w14:solidFill>
              <w14:schemeClr w14:val="tx1"/>
            </w14:solidFill>
          </w14:textFill>
        </w:rPr>
        <w:t xml:space="preserve">            </w:t>
      </w:r>
    </w:p>
    <w:p w14:paraId="5AF1B73A">
      <w:pPr>
        <w:pStyle w:val="19"/>
        <w:rPr>
          <w:color w:val="000000" w:themeColor="text1"/>
          <w:highlight w:val="none"/>
          <w14:textFill>
            <w14:solidFill>
              <w14:schemeClr w14:val="tx1"/>
            </w14:solidFill>
          </w14:textFill>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33"/>
        <w:gridCol w:w="2117"/>
        <w:gridCol w:w="2495"/>
      </w:tblGrid>
      <w:tr w14:paraId="7B11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vAlign w:val="center"/>
          </w:tcPr>
          <w:p w14:paraId="7BCA7938">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序号</w:t>
            </w:r>
          </w:p>
        </w:tc>
        <w:tc>
          <w:tcPr>
            <w:tcW w:w="3733" w:type="dxa"/>
            <w:vAlign w:val="center"/>
          </w:tcPr>
          <w:p w14:paraId="041C61C9">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招标文件中带</w:t>
            </w:r>
            <w:r>
              <w:rPr>
                <w:rFonts w:hint="eastAsia" w:ascii="仿宋" w:hAnsi="仿宋" w:eastAsia="仿宋" w:cs="仿宋"/>
                <w:bCs/>
                <w:color w:val="000000" w:themeColor="text1"/>
                <w:sz w:val="28"/>
                <w:szCs w:val="28"/>
                <w:highlight w:val="none"/>
                <w14:textFill>
                  <w14:solidFill>
                    <w14:schemeClr w14:val="tx1"/>
                  </w14:solidFill>
                </w14:textFill>
              </w:rPr>
              <w:t>“★”号的条款</w:t>
            </w:r>
          </w:p>
        </w:tc>
        <w:tc>
          <w:tcPr>
            <w:tcW w:w="2117" w:type="dxa"/>
            <w:vAlign w:val="center"/>
          </w:tcPr>
          <w:p w14:paraId="687459E2">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投标响应内容</w:t>
            </w:r>
          </w:p>
        </w:tc>
        <w:tc>
          <w:tcPr>
            <w:tcW w:w="2495" w:type="dxa"/>
            <w:vAlign w:val="center"/>
          </w:tcPr>
          <w:p w14:paraId="2EBCA744">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对应投标文件页码</w:t>
            </w:r>
          </w:p>
        </w:tc>
      </w:tr>
      <w:tr w14:paraId="4D78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6D31FF9F">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48B9A10B">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79C4DF81">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3A6DA0FE">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r w14:paraId="3CB7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062AFF45">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07A27074">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321059E1">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7AE50C39">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r w14:paraId="2B33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6316F76A">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6B1294EC">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6E784496">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5D98DFA7">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r w14:paraId="717A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501E162">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41C15E65">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43488410">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7F898E20">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r w14:paraId="1291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E41744C">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34AB58F6">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20931970">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1A63E001">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bl>
    <w:p w14:paraId="25EB33C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color w:val="000000" w:themeColor="text1"/>
          <w:sz w:val="28"/>
          <w:szCs w:val="28"/>
          <w:highlight w:val="none"/>
          <w14:textFill>
            <w14:solidFill>
              <w14:schemeClr w14:val="tx1"/>
            </w14:solidFill>
          </w14:textFill>
        </w:rPr>
      </w:pPr>
      <w:r>
        <w:rPr>
          <w:rFonts w:hint="eastAsia" w:ascii="仿宋" w:hAnsi="仿宋" w:eastAsia="仿宋" w:cs="Times New Roman"/>
          <w:b/>
          <w:color w:val="000000" w:themeColor="text1"/>
          <w:sz w:val="28"/>
          <w:szCs w:val="28"/>
          <w:highlight w:val="none"/>
          <w14:textFill>
            <w14:solidFill>
              <w14:schemeClr w14:val="tx1"/>
            </w14:solidFill>
          </w14:textFill>
        </w:rPr>
        <w:t>注：以上★号条款为招标文件中的所有★号条款，无论是技术指标或文字描述要求，投标人必须逐条如实地书面响应及承诺。（说明：若无带“★”号条款则无需提供此表）</w:t>
      </w:r>
    </w:p>
    <w:p w14:paraId="47E14DD8">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color w:val="000000" w:themeColor="text1"/>
          <w:highlight w:val="none"/>
          <w14:textFill>
            <w14:solidFill>
              <w14:schemeClr w14:val="tx1"/>
            </w14:solidFill>
          </w14:textFill>
        </w:rPr>
      </w:pPr>
    </w:p>
    <w:p w14:paraId="6F9C64DB">
      <w:pPr>
        <w:pStyle w:val="19"/>
        <w:keepNext w:val="0"/>
        <w:keepLines w:val="0"/>
        <w:pageBreakBefore w:val="0"/>
        <w:widowControl w:val="0"/>
        <w:kinsoku/>
        <w:wordWrap/>
        <w:overflowPunct/>
        <w:topLinePunct w:val="0"/>
        <w:autoSpaceDE/>
        <w:autoSpaceDN/>
        <w:bidi w:val="0"/>
        <w:adjustRightInd/>
        <w:snapToGrid/>
        <w:spacing w:line="500" w:lineRule="exact"/>
        <w:textAlignment w:val="auto"/>
        <w:rPr>
          <w:color w:val="000000" w:themeColor="text1"/>
          <w:highlight w:val="none"/>
          <w14:textFill>
            <w14:solidFill>
              <w14:schemeClr w14:val="tx1"/>
            </w14:solidFill>
          </w14:textFill>
        </w:rPr>
      </w:pPr>
    </w:p>
    <w:p w14:paraId="29B5DAD3">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w:t>
      </w:r>
      <w:r>
        <w:rPr>
          <w:rFonts w:hint="eastAsia" w:ascii="仿宋" w:hAnsi="仿宋" w:eastAsia="仿宋"/>
          <w:color w:val="000000" w:themeColor="text1"/>
          <w:sz w:val="32"/>
          <w:szCs w:val="32"/>
          <w:highlight w:val="none"/>
          <w:lang w:val="en-US" w:eastAsia="zh-CN"/>
          <w14:textFill>
            <w14:solidFill>
              <w14:schemeClr w14:val="tx1"/>
            </w14:solidFill>
          </w14:textFill>
        </w:rPr>
        <w:t>并</w:t>
      </w:r>
      <w:r>
        <w:rPr>
          <w:rFonts w:hint="eastAsia" w:ascii="仿宋" w:hAnsi="仿宋" w:eastAsia="仿宋"/>
          <w:color w:val="000000" w:themeColor="text1"/>
          <w:sz w:val="32"/>
          <w:szCs w:val="32"/>
          <w:highlight w:val="none"/>
          <w14:textFill>
            <w14:solidFill>
              <w14:schemeClr w14:val="tx1"/>
            </w14:solidFill>
          </w14:textFill>
        </w:rPr>
        <w:t>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40E0610D">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E86B282">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期：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2885A9A4">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 w:hAnsi="仿宋" w:eastAsia="仿宋"/>
          <w:color w:val="000000" w:themeColor="text1"/>
          <w:sz w:val="32"/>
          <w:szCs w:val="32"/>
          <w:highlight w:val="none"/>
          <w14:textFill>
            <w14:solidFill>
              <w14:schemeClr w14:val="tx1"/>
            </w14:solidFill>
          </w14:textFill>
        </w:rPr>
      </w:pPr>
    </w:p>
    <w:p w14:paraId="0C0E9862">
      <w:pPr>
        <w:spacing w:line="540" w:lineRule="exact"/>
        <w:ind w:firstLine="0" w:firstLineChars="0"/>
        <w:rPr>
          <w:rFonts w:hint="eastAsia" w:ascii="仿宋" w:hAnsi="仿宋" w:eastAsia="仿宋"/>
          <w:color w:val="000000" w:themeColor="text1"/>
          <w:sz w:val="32"/>
          <w:szCs w:val="32"/>
          <w:highlight w:val="none"/>
          <w14:textFill>
            <w14:solidFill>
              <w14:schemeClr w14:val="tx1"/>
            </w14:solidFill>
          </w14:textFill>
        </w:rPr>
      </w:pPr>
    </w:p>
    <w:p w14:paraId="05C318A7">
      <w:pPr>
        <w:jc w:val="left"/>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ascii="仿宋" w:hAnsi="仿宋" w:eastAsia="仿宋"/>
          <w:bCs/>
          <w:color w:val="000000" w:themeColor="text1"/>
          <w:sz w:val="28"/>
          <w:szCs w:val="28"/>
          <w:highlight w:val="none"/>
          <w14:textFill>
            <w14:solidFill>
              <w14:schemeClr w14:val="tx1"/>
            </w14:solidFill>
          </w14:textFill>
        </w:rPr>
        <w:br w:type="page"/>
      </w: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6</w:t>
      </w:r>
    </w:p>
    <w:p w14:paraId="151A06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作业安全承诺书</w:t>
      </w:r>
    </w:p>
    <w:p w14:paraId="71531F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000000" w:themeColor="text1"/>
          <w:sz w:val="28"/>
          <w:szCs w:val="28"/>
          <w:highlight w:val="none"/>
          <w14:textFill>
            <w14:solidFill>
              <w14:schemeClr w14:val="tx1"/>
            </w14:solidFill>
          </w14:textFill>
        </w:rPr>
      </w:pPr>
    </w:p>
    <w:p w14:paraId="3201B97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招标人 </w:t>
      </w:r>
      <w:r>
        <w:rPr>
          <w:rFonts w:hint="eastAsia" w:ascii="仿宋" w:hAnsi="仿宋" w:eastAsia="仿宋"/>
          <w:color w:val="000000" w:themeColor="text1"/>
          <w:sz w:val="32"/>
          <w:szCs w:val="32"/>
          <w:highlight w:val="none"/>
          <w:u w:val="none"/>
          <w:lang w:val="en-US" w:eastAsia="zh-CN"/>
          <w14:textFill>
            <w14:solidFill>
              <w14:schemeClr w14:val="tx1"/>
            </w14:solidFill>
          </w14:textFill>
        </w:rPr>
        <w:t>：</w:t>
      </w:r>
    </w:p>
    <w:p w14:paraId="372EFD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eastAsia="仿宋"/>
          <w:color w:val="000000" w:themeColor="text1"/>
          <w:sz w:val="32"/>
          <w:szCs w:val="32"/>
          <w:highlight w:val="none"/>
          <w14:textFill>
            <w14:solidFill>
              <w14:schemeClr w14:val="tx1"/>
            </w14:solidFill>
          </w14:textFill>
        </w:rPr>
        <w:t>       </w:t>
      </w:r>
      <w:r>
        <w:rPr>
          <w:rFonts w:hint="eastAsia" w:ascii="仿宋" w:hAnsi="仿宋" w:eastAsia="仿宋"/>
          <w:color w:val="000000" w:themeColor="text1"/>
          <w:sz w:val="32"/>
          <w:szCs w:val="32"/>
          <w:highlight w:val="none"/>
          <w14:textFill>
            <w14:solidFill>
              <w14:schemeClr w14:val="tx1"/>
            </w14:solidFill>
          </w14:textFill>
        </w:rPr>
        <w:t xml:space="preserve"> 为贯彻“安全第一，预防为主，综合治理”方针，保证作业质量和安全生产，保持良好的工作秩序，保护作业人员的安全和身体健康，防止伤亡事故的发生。加强对作业人员在贵司管辖范围内进行的外包项目作业安全管理秩序维护服务（门岗值守、园区巡逻、监控值守、车辆管理、装修管控、消防巡查、应急处置</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其他____________），我司承诺如下：</w:t>
      </w:r>
    </w:p>
    <w:p w14:paraId="287611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一、加强对现场工作人员的安全教育，提高现场工作人员的安全意识和安全技术水平。</w:t>
      </w:r>
    </w:p>
    <w:p w14:paraId="4F865E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二、作业携带的设备及用具，符合国家和企业安全规程要求，特种作业人员须持有效证件操作。</w:t>
      </w:r>
    </w:p>
    <w:p w14:paraId="51C18A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三、在作业时设置醒目的警示标牌及安全标识，明确指定现场安全负责人，加强作业地点的文明卫生及安全管理，所有作业人员正确穿戴好防护用品，遵守贵司的各种规章制度、现场管理规定，做到安全、文明作业。</w:t>
      </w:r>
    </w:p>
    <w:p w14:paraId="7F5B43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四、在作业过程中，采取符合国家标准的安全防护措施，做到“三不伤害”（自己不伤害自己，自己不伤害他人，自己不被他人伤害），确保不出安全责任事故。在作业过程中发生的一切伤亡（包括由我司造成贵司人员、其他人员、行人伤亡）、火警、火灾、机械等事故，由我司负责事故上报、经济赔偿和善后处理。事故的损失和善后处理费用均由我司承担。</w:t>
      </w:r>
    </w:p>
    <w:p w14:paraId="782D42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五、我司对作业人员投保相关的安全责任险。</w:t>
      </w:r>
    </w:p>
    <w:p w14:paraId="63C55C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六、我司认真执行国家、行业等相关作业的安全技术操作规程。作业时，与贵司项目负责人保持密切联系，如作业需要动用贵司水、电和其它设备设施或进行危险作业（拆除、吊装、危险搬运、登高作业、动火、临时用电、电气安装、切割焊接、绿化修剪、消杀作业等），必须与贵司办理相关手续后实施，接水、接电必须由贵司或贵司指定人员操作。未经贵司允许，我司不得擅自使用和移动贵司的设备设施，否则所发生的一切后果由我司承担。</w:t>
      </w:r>
    </w:p>
    <w:p w14:paraId="7B3CE5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七、在高温、大风等不良气候条件下作业时，我司自备防高温、防风、防雨、防雷击等安全措施，确保安全作业。</w:t>
      </w:r>
    </w:p>
    <w:p w14:paraId="1BF263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八、我司作业人员不得擅自进入业主的非作业区域，若因作业需要临时进入业主非作业区域，应向贵司专业负责人办理登记手续、取得业主同意后才可入内，进入人员须严格遵守业主各项规章制度。</w:t>
      </w:r>
    </w:p>
    <w:p w14:paraId="02A529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九、作业过程中，我司注意作业现场地下管线及高低压架空线路的保护。贵司项目对口负责人对地下管线和障碍物应详细交底，我司应遵守交底要求，如遇有情况，应及时向贵司和有关部门联系，采取保护措施。</w:t>
      </w:r>
    </w:p>
    <w:p w14:paraId="3E77AA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十、作业材料堆放整齐，垃圾及时处理，不影响贵司正常秩序及通信畅通。</w:t>
      </w:r>
    </w:p>
    <w:p w14:paraId="57F256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十一、贵司有权对我司作业现场安全进行指导及监督，对作业现场检查时提出的违章现象和不安全隐患，我司立即整改。如出现危及人身和设备安全的紧急情况，贵司有权对我司进行处罚或责令我司停止作业。</w:t>
      </w:r>
    </w:p>
    <w:p w14:paraId="0A710B0A">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s="Times New Roman"/>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投标人（全称并加盖公章）：</w:t>
      </w:r>
      <w:r>
        <w:rPr>
          <w:rFonts w:hint="eastAsia" w:ascii="仿宋" w:hAnsi="仿宋" w:eastAsia="仿宋" w:cs="Times New Roman"/>
          <w:color w:val="000000" w:themeColor="text1"/>
          <w:sz w:val="32"/>
          <w:szCs w:val="32"/>
          <w:highlight w:val="none"/>
          <w:u w:val="single"/>
          <w:lang w:val="en-US" w:eastAsia="zh-CN"/>
          <w14:textFill>
            <w14:solidFill>
              <w14:schemeClr w14:val="tx1"/>
            </w14:solidFill>
          </w14:textFill>
        </w:rPr>
        <w:t xml:space="preserve">            </w:t>
      </w:r>
    </w:p>
    <w:p w14:paraId="164E4FA0">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default" w:ascii="仿宋" w:hAnsi="仿宋" w:eastAsia="仿宋" w:cs="Times New Roman"/>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投标人代表签字：</w:t>
      </w:r>
      <w:r>
        <w:rPr>
          <w:rFonts w:hint="eastAsia" w:ascii="仿宋" w:hAnsi="仿宋" w:eastAsia="仿宋"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 xml:space="preserve">        </w:t>
      </w:r>
    </w:p>
    <w:p w14:paraId="7D6CED86">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日  期：</w:t>
      </w:r>
      <w:r>
        <w:rPr>
          <w:rFonts w:hint="eastAsia" w:ascii="仿宋" w:hAnsi="仿宋" w:eastAsia="仿宋" w:cs="Times New Roman"/>
          <w:color w:val="000000" w:themeColor="text1"/>
          <w:sz w:val="32"/>
          <w:szCs w:val="32"/>
          <w:highlight w:val="none"/>
          <w:u w:val="single"/>
          <w:lang w:val="en-US" w:eastAsia="zh-CN"/>
          <w14:textFill>
            <w14:solidFill>
              <w14:schemeClr w14:val="tx1"/>
            </w14:solidFill>
          </w14:textFill>
        </w:rPr>
        <w:t xml:space="preserve">                          </w:t>
      </w:r>
    </w:p>
    <w:p w14:paraId="7134B671">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26C9A25">
      <w:pPr>
        <w:spacing w:line="240" w:lineRule="auto"/>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2C51D6AD">
      <w:pPr>
        <w:pStyle w:val="2"/>
        <w:rPr>
          <w:rFonts w:hint="eastAsia"/>
          <w:color w:val="000000" w:themeColor="text1"/>
          <w14:textFill>
            <w14:solidFill>
              <w14:schemeClr w14:val="tx1"/>
            </w14:solidFill>
          </w14:textFill>
        </w:rPr>
      </w:pPr>
    </w:p>
    <w:p w14:paraId="75D64739">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7</w:t>
      </w:r>
      <w:r>
        <w:rPr>
          <w:rFonts w:hint="eastAsia" w:ascii="仿宋" w:hAnsi="仿宋" w:eastAsia="仿宋"/>
          <w:b/>
          <w:bCs/>
          <w:color w:val="000000" w:themeColor="text1"/>
          <w:sz w:val="32"/>
          <w:szCs w:val="32"/>
          <w:highlight w:val="none"/>
          <w14:textFill>
            <w14:solidFill>
              <w14:schemeClr w14:val="tx1"/>
            </w14:solidFill>
          </w14:textFill>
        </w:rPr>
        <w:t xml:space="preserve">  </w:t>
      </w:r>
    </w:p>
    <w:p w14:paraId="34653AEA">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2AB5D10">
      <w:pPr>
        <w:spacing w:line="5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服务承诺函</w:t>
      </w:r>
    </w:p>
    <w:p w14:paraId="0707E09C">
      <w:pPr>
        <w:spacing w:line="500" w:lineRule="exact"/>
        <w:rPr>
          <w:rFonts w:ascii="仿宋" w:hAnsi="仿宋" w:eastAsia="仿宋"/>
          <w:color w:val="000000" w:themeColor="text1"/>
          <w:sz w:val="28"/>
          <w:szCs w:val="28"/>
          <w:highlight w:val="none"/>
          <w14:textFill>
            <w14:solidFill>
              <w14:schemeClr w14:val="tx1"/>
            </w14:solidFill>
          </w14:textFill>
        </w:rPr>
      </w:pPr>
    </w:p>
    <w:p w14:paraId="512BCE21">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致：</w:t>
      </w:r>
      <w:r>
        <w:rPr>
          <w:rFonts w:hint="eastAsia" w:ascii="仿宋" w:hAnsi="仿宋" w:eastAsia="仿宋" w:cs="仿宋"/>
          <w:color w:val="000000" w:themeColor="text1"/>
          <w:sz w:val="32"/>
          <w:szCs w:val="32"/>
          <w:highlight w:val="none"/>
          <w:u w:val="single"/>
          <w14:textFill>
            <w14:solidFill>
              <w14:schemeClr w14:val="tx1"/>
            </w14:solidFill>
          </w14:textFill>
        </w:rPr>
        <w:t xml:space="preserve">  （招标人）   </w:t>
      </w:r>
    </w:p>
    <w:p w14:paraId="76159A50">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根据贵方为</w:t>
      </w:r>
      <w:r>
        <w:rPr>
          <w:rFonts w:hint="eastAsia" w:ascii="仿宋" w:hAnsi="仿宋" w:eastAsia="仿宋" w:cs="仿宋"/>
          <w:color w:val="000000" w:themeColor="text1"/>
          <w:sz w:val="32"/>
          <w:szCs w:val="32"/>
          <w:highlight w:val="none"/>
          <w:u w:val="single"/>
          <w14:textFill>
            <w14:solidFill>
              <w14:schemeClr w14:val="tx1"/>
            </w14:solidFill>
          </w14:textFill>
        </w:rPr>
        <w:t xml:space="preserve">    （项目名称）  </w:t>
      </w:r>
      <w:r>
        <w:rPr>
          <w:rFonts w:hint="eastAsia" w:ascii="仿宋" w:hAnsi="仿宋" w:eastAsia="仿宋" w:cs="仿宋"/>
          <w:color w:val="000000" w:themeColor="text1"/>
          <w:sz w:val="32"/>
          <w:szCs w:val="32"/>
          <w:highlight w:val="none"/>
          <w14:textFill>
            <w14:solidFill>
              <w14:schemeClr w14:val="tx1"/>
            </w14:solidFill>
          </w14:textFill>
        </w:rPr>
        <w:t>（项目编号：</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）招标项目的投标</w:t>
      </w:r>
      <w:r>
        <w:rPr>
          <w:rFonts w:hint="eastAsia" w:ascii="仿宋" w:hAnsi="仿宋" w:eastAsia="仿宋" w:cs="仿宋"/>
          <w:color w:val="000000" w:themeColor="text1"/>
          <w:sz w:val="32"/>
          <w:szCs w:val="32"/>
          <w:highlight w:val="none"/>
          <w:lang w:val="en-US" w:eastAsia="zh-CN"/>
          <w14:textFill>
            <w14:solidFill>
              <w14:schemeClr w14:val="tx1"/>
            </w14:solidFill>
          </w14:textFill>
        </w:rPr>
        <w:t>要求</w:t>
      </w:r>
      <w:r>
        <w:rPr>
          <w:rFonts w:hint="eastAsia" w:ascii="仿宋" w:hAnsi="仿宋" w:eastAsia="仿宋" w:cs="仿宋"/>
          <w:color w:val="000000" w:themeColor="text1"/>
          <w:sz w:val="32"/>
          <w:szCs w:val="32"/>
          <w:highlight w:val="none"/>
          <w14:textFill>
            <w14:solidFill>
              <w14:schemeClr w14:val="tx1"/>
            </w14:solidFill>
          </w14:textFill>
        </w:rPr>
        <w:t>，我公司对该项目做出如下服务承诺：</w:t>
      </w:r>
    </w:p>
    <w:p w14:paraId="49045052">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p>
    <w:p w14:paraId="74E00F3E">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（内容根据招标文件要求自拟）</w:t>
      </w:r>
    </w:p>
    <w:p w14:paraId="7A3176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p>
    <w:p w14:paraId="315024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p>
    <w:p w14:paraId="2A408A95">
      <w:pPr>
        <w:keepNext w:val="0"/>
        <w:keepLines w:val="0"/>
        <w:pageBreakBefore w:val="0"/>
        <w:widowControl w:val="0"/>
        <w:tabs>
          <w:tab w:val="left" w:pos="6814"/>
        </w:tabs>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ab/>
      </w:r>
    </w:p>
    <w:p w14:paraId="2080007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64B81F4A">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bookmarkStart w:id="369" w:name="OLE_LINK4"/>
      <w:r>
        <w:rPr>
          <w:rFonts w:hint="eastAsia" w:ascii="仿宋" w:hAnsi="仿宋" w:eastAsia="仿宋"/>
          <w:color w:val="000000" w:themeColor="text1"/>
          <w:sz w:val="32"/>
          <w:szCs w:val="32"/>
          <w:highlight w:val="none"/>
          <w14:textFill>
            <w14:solidFill>
              <w14:schemeClr w14:val="tx1"/>
            </w14:solidFill>
          </w14:textFill>
        </w:rPr>
        <w:t>投标人(全称</w:t>
      </w:r>
      <w:r>
        <w:rPr>
          <w:rFonts w:hint="eastAsia" w:ascii="仿宋" w:hAnsi="仿宋" w:eastAsia="仿宋"/>
          <w:color w:val="000000" w:themeColor="text1"/>
          <w:sz w:val="32"/>
          <w:szCs w:val="32"/>
          <w:highlight w:val="none"/>
          <w:lang w:val="en-US" w:eastAsia="zh-CN"/>
          <w14:textFill>
            <w14:solidFill>
              <w14:schemeClr w14:val="tx1"/>
            </w14:solidFill>
          </w14:textFill>
        </w:rPr>
        <w:t>并</w:t>
      </w:r>
      <w:r>
        <w:rPr>
          <w:rFonts w:hint="eastAsia" w:ascii="仿宋" w:hAnsi="仿宋" w:eastAsia="仿宋"/>
          <w:color w:val="000000" w:themeColor="text1"/>
          <w:sz w:val="32"/>
          <w:szCs w:val="32"/>
          <w:highlight w:val="none"/>
          <w14:textFill>
            <w14:solidFill>
              <w14:schemeClr w14:val="tx1"/>
            </w14:solidFill>
          </w14:textFill>
        </w:rPr>
        <w:t>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E620B8E">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45B22FBE">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bookmarkEnd w:id="369"/>
    </w:p>
    <w:p w14:paraId="03927EA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449C892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E64D2F9">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54888DF">
      <w:pPr>
        <w:spacing w:line="500" w:lineRule="exact"/>
        <w:rPr>
          <w:rFonts w:ascii="仿宋" w:hAnsi="仿宋" w:eastAsia="仿宋"/>
          <w:b/>
          <w:bCs/>
          <w:color w:val="000000" w:themeColor="text1"/>
          <w:sz w:val="32"/>
          <w:szCs w:val="32"/>
          <w:highlight w:val="none"/>
          <w14:textFill>
            <w14:solidFill>
              <w14:schemeClr w14:val="tx1"/>
            </w14:solidFill>
          </w14:textFill>
        </w:rPr>
      </w:pPr>
    </w:p>
    <w:p w14:paraId="567291BE">
      <w:pPr>
        <w:spacing w:line="500" w:lineRule="exact"/>
        <w:rPr>
          <w:rFonts w:ascii="仿宋" w:hAnsi="仿宋" w:eastAsia="仿宋"/>
          <w:b/>
          <w:bCs/>
          <w:color w:val="000000" w:themeColor="text1"/>
          <w:sz w:val="32"/>
          <w:szCs w:val="32"/>
          <w:highlight w:val="none"/>
          <w14:textFill>
            <w14:solidFill>
              <w14:schemeClr w14:val="tx1"/>
            </w14:solidFill>
          </w14:textFill>
        </w:rPr>
      </w:pPr>
    </w:p>
    <w:p w14:paraId="5774C6EE">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9E0DF72">
      <w:pPr>
        <w:spacing w:line="500" w:lineRule="exact"/>
        <w:rPr>
          <w:rFonts w:ascii="仿宋" w:hAnsi="仿宋" w:eastAsia="仿宋"/>
          <w:b/>
          <w:bCs/>
          <w:color w:val="000000" w:themeColor="text1"/>
          <w:sz w:val="32"/>
          <w:szCs w:val="32"/>
          <w:highlight w:val="none"/>
          <w14:textFill>
            <w14:solidFill>
              <w14:schemeClr w14:val="tx1"/>
            </w14:solidFill>
          </w14:textFill>
        </w:rPr>
      </w:pPr>
    </w:p>
    <w:p w14:paraId="18C625DB">
      <w:pPr>
        <w:spacing w:line="240" w:lineRule="auto"/>
        <w:jc w:val="left"/>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textWrapping"/>
      </w:r>
      <w:r>
        <w:rPr>
          <w:rFonts w:hint="eastAsia" w:ascii="仿宋" w:hAnsi="仿宋" w:eastAsia="仿宋"/>
          <w:b/>
          <w:bCs/>
          <w:color w:val="000000" w:themeColor="text1"/>
          <w:sz w:val="32"/>
          <w:szCs w:val="32"/>
          <w:highlight w:val="none"/>
          <w14:textFill>
            <w14:solidFill>
              <w14:schemeClr w14:val="tx1"/>
            </w14:solidFill>
          </w14:textFill>
        </w:rPr>
        <w:br w:type="page"/>
      </w:r>
    </w:p>
    <w:p w14:paraId="2075C32B">
      <w:pPr>
        <w:spacing w:line="220" w:lineRule="atLeast"/>
        <w:jc w:val="lef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格式8</w:t>
      </w:r>
    </w:p>
    <w:p w14:paraId="36155240">
      <w:pPr>
        <w:spacing w:line="220" w:lineRule="atLeas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廉洁诚信承诺书</w:t>
      </w:r>
    </w:p>
    <w:p w14:paraId="5D741DAC">
      <w:pPr>
        <w:spacing w:line="300" w:lineRule="exact"/>
        <w:jc w:val="center"/>
        <w:rPr>
          <w:rFonts w:ascii="仿宋" w:hAnsi="仿宋" w:eastAsia="仿宋"/>
          <w:b/>
          <w:color w:val="000000" w:themeColor="text1"/>
          <w:sz w:val="28"/>
          <w:szCs w:val="28"/>
          <w:highlight w:val="none"/>
          <w14:textFill>
            <w14:solidFill>
              <w14:schemeClr w14:val="tx1"/>
            </w14:solidFill>
          </w14:textFill>
        </w:rPr>
      </w:pPr>
    </w:p>
    <w:p w14:paraId="026D0E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u w:val="single"/>
          <w:lang w:eastAsia="zh-CN"/>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招标人）  </w:t>
      </w:r>
    </w:p>
    <w:p w14:paraId="56AE1BD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承诺方系厦门国贸城市服务集团股份有限公司（以下简称“国贸服务”）的供应商、服务商或合作商，在相关业务活动(包括但不限于交易洽谈、供货、服务、承揽、技术合作交流、付款)中接触国贸服务相关人员和资讯，在廉洁义务和操守方面做出如下承诺：</w:t>
      </w:r>
    </w:p>
    <w:p w14:paraId="368B61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391D99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二、不向国贸服务的工作人员及其亲属馈赠礼金、礼品（含有价证券）；不向国贸服务的工作人员提供任何应由其个人支付报酬的劳务和其它服务；不为国贸服务的工作人员安排可能影响公正执行公务的任何活动；不为国贸服务的工作人员支付应由其个人支付的任何赞助费、宣传费、咨询费、劳务费等；不为国贸服务工作人员报销任何名义的个人消费凭证。一经发现有上述行为，招标人有权取消中标资格。</w:t>
      </w:r>
    </w:p>
    <w:p w14:paraId="11FDA6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52816C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四、承诺方在与国贸服务达成和交易履行过程中，提供的资质证明、证照、企业及个人资料、住所、产品名称、规格、品质、服务标准、票据、权证、权利限制均为真实，不存在虚假、期满、伪造、变造行为，如上述情况发生变更，承诺方需在5个工作日内通知国贸服务备案存档。</w:t>
      </w:r>
    </w:p>
    <w:p w14:paraId="524701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五、承诺方禁止提供仿冒品（包括但不限于如贴牌、掺杂掺假，以次充好，以旧冒新、以不合格冒充合格）或不符合国贸服务所需规格之商品提供国贸服务使用。</w:t>
      </w:r>
    </w:p>
    <w:p w14:paraId="12D3D90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六、承诺方同意国贸服务依其保密制度所划列的机密资料可包括一切关于国贸服务，无论是否有价值，被公开或正在采取保密措施的书面、口头或以其他形式呈现、保存之资讯、承诺方与接受机密资料五年内均有保密义务，未经国贸服务同意不得利用或向任何第三方泄露、交付。</w:t>
      </w:r>
    </w:p>
    <w:p w14:paraId="054315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七、为净化采购相关秩序及环境，可至国贸服务进行投诉或申报。</w:t>
      </w:r>
    </w:p>
    <w:p w14:paraId="644F89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八、违约责任</w:t>
      </w:r>
    </w:p>
    <w:p w14:paraId="7D23E9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承诺方承诺如违反本承诺书所述任何义务，无论是否给国贸服务造成损失，承诺方将承担一切责任，并就国贸服务实际造成的经济、名誉损失进行赔偿。国贸服务有权解除双方合同并不负任何违约责任，有权从应付承诺方账款中扣罚，并可采用法律手段索赔。</w:t>
      </w:r>
    </w:p>
    <w:p w14:paraId="7C1DA5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九、自觉接受监督。</w:t>
      </w:r>
    </w:p>
    <w:p w14:paraId="542379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特此承诺。</w:t>
      </w:r>
    </w:p>
    <w:p w14:paraId="2A2C3CE3">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ascii="仿宋" w:hAnsi="仿宋" w:eastAsia="仿宋"/>
          <w:color w:val="000000" w:themeColor="text1"/>
          <w:sz w:val="32"/>
          <w:szCs w:val="32"/>
          <w:highlight w:val="none"/>
          <w14:textFill>
            <w14:solidFill>
              <w14:schemeClr w14:val="tx1"/>
            </w14:solidFill>
          </w14:textFill>
        </w:rPr>
      </w:pPr>
    </w:p>
    <w:p w14:paraId="00287EAC">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ascii="仿宋" w:hAnsi="仿宋" w:eastAsia="仿宋"/>
          <w:color w:val="000000" w:themeColor="text1"/>
          <w:sz w:val="32"/>
          <w:szCs w:val="32"/>
          <w:highlight w:val="none"/>
          <w14:textFill>
            <w14:solidFill>
              <w14:schemeClr w14:val="tx1"/>
            </w14:solidFill>
          </w14:textFill>
        </w:rPr>
      </w:pPr>
    </w:p>
    <w:p w14:paraId="5460C095">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承诺人（投标人）（</w:t>
      </w:r>
      <w:r>
        <w:rPr>
          <w:rFonts w:hint="eastAsia" w:ascii="仿宋" w:hAnsi="仿宋" w:eastAsia="仿宋"/>
          <w:color w:val="000000" w:themeColor="text1"/>
          <w:sz w:val="32"/>
          <w:szCs w:val="32"/>
          <w:highlight w:val="none"/>
          <w:lang w:val="en-US" w:eastAsia="zh-CN"/>
          <w14:textFill>
            <w14:solidFill>
              <w14:schemeClr w14:val="tx1"/>
            </w14:solidFill>
          </w14:textFill>
        </w:rPr>
        <w:t>全称并加盖公章</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075378C2">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法定代表人（或投标人代表）：</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DA58685">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648E50F5">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0D9F950D">
      <w:pPr>
        <w:spacing w:line="240" w:lineRule="auto"/>
        <w:jc w:val="left"/>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2518FBA9">
      <w:pPr>
        <w:spacing w:line="220" w:lineRule="atLeast"/>
        <w:jc w:val="left"/>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9</w:t>
      </w:r>
    </w:p>
    <w:p w14:paraId="55664AC7">
      <w:pPr>
        <w:pStyle w:val="19"/>
        <w:jc w:val="center"/>
        <w:rPr>
          <w:rFonts w:hint="eastAsia" w:ascii="仿宋" w:hAnsi="仿宋" w:eastAsia="仿宋"/>
          <w:color w:val="000000" w:themeColor="text1"/>
          <w:sz w:val="32"/>
          <w:szCs w:val="32"/>
          <w:highlight w:val="none"/>
          <w14:textFill>
            <w14:solidFill>
              <w14:schemeClr w14:val="tx1"/>
            </w14:solidFill>
          </w14:textFill>
        </w:rPr>
      </w:pPr>
    </w:p>
    <w:p w14:paraId="6CA858B2">
      <w:pPr>
        <w:pStyle w:val="19"/>
        <w:ind w:left="0" w:leftChars="0" w:firstLine="0" w:firstLineChars="0"/>
        <w:jc w:val="cente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参加采购活动前</w:t>
      </w:r>
      <w:r>
        <w:rPr>
          <w:rFonts w:hint="eastAsia" w:ascii="仿宋" w:hAnsi="仿宋" w:eastAsia="仿宋"/>
          <w:b/>
          <w:color w:val="000000" w:themeColor="text1"/>
          <w:sz w:val="32"/>
          <w:szCs w:val="32"/>
          <w:highlight w:val="none"/>
          <w:lang w:val="en-US" w:eastAsia="zh-CN"/>
          <w14:textFill>
            <w14:solidFill>
              <w14:schemeClr w14:val="tx1"/>
            </w14:solidFill>
          </w14:textFill>
        </w:rPr>
        <w:t>三</w:t>
      </w:r>
      <w:r>
        <w:rPr>
          <w:rFonts w:hint="eastAsia" w:ascii="仿宋" w:hAnsi="仿宋" w:eastAsia="仿宋"/>
          <w:b/>
          <w:color w:val="000000" w:themeColor="text1"/>
          <w:sz w:val="32"/>
          <w:szCs w:val="32"/>
          <w:highlight w:val="none"/>
          <w14:textFill>
            <w14:solidFill>
              <w14:schemeClr w14:val="tx1"/>
            </w14:solidFill>
          </w14:textFill>
        </w:rPr>
        <w:t>年内在经营活动中没有重大违法记录的</w:t>
      </w:r>
    </w:p>
    <w:p w14:paraId="2CF5F7E5">
      <w:pPr>
        <w:pStyle w:val="19"/>
        <w:ind w:left="0" w:leftChars="0" w:firstLine="0" w:firstLineChars="0"/>
        <w:jc w:val="cente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书面声明</w:t>
      </w:r>
    </w:p>
    <w:p w14:paraId="7E471AEE">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致</w:t>
      </w: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u w:val="single"/>
          <w14:textFill>
            <w14:solidFill>
              <w14:schemeClr w14:val="tx1"/>
            </w14:solidFill>
          </w14:textFill>
        </w:rPr>
        <w:t>     </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招标人</w:t>
      </w:r>
      <w:r>
        <w:rPr>
          <w:rFonts w:hint="eastAsia" w:ascii="仿宋" w:hAnsi="仿宋" w:eastAsia="仿宋" w:cs="仿宋"/>
          <w:color w:val="000000" w:themeColor="text1"/>
          <w:sz w:val="32"/>
          <w:szCs w:val="32"/>
          <w:highlight w:val="none"/>
          <w:u w:val="single"/>
          <w14:textFill>
            <w14:solidFill>
              <w14:schemeClr w14:val="tx1"/>
            </w14:solidFill>
          </w14:textFill>
        </w:rPr>
        <w:t>      </w:t>
      </w:r>
    </w:p>
    <w:p w14:paraId="344F2952">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参加招标活动前三年内，我方在经营活动中没有重大违法记录，否则产生不利后果由我方承担责任。</w:t>
      </w:r>
    </w:p>
    <w:p w14:paraId="4CBB7643">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特此声明。</w:t>
      </w:r>
    </w:p>
    <w:p w14:paraId="68C8F788">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p>
    <w:p w14:paraId="48D5402D">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注意：</w:t>
      </w:r>
    </w:p>
    <w:p w14:paraId="14DDC337">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5317F18">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2.请投标人根据实际情况如实声明，否则视为提供虚假材料。</w:t>
      </w:r>
    </w:p>
    <w:p w14:paraId="456EBF06">
      <w:pPr>
        <w:keepNext w:val="0"/>
        <w:keepLines w:val="0"/>
        <w:pageBreakBefore w:val="0"/>
        <w:widowControl/>
        <w:kinsoku/>
        <w:overflowPunct/>
        <w:topLinePunct w:val="0"/>
        <w:autoSpaceDE/>
        <w:autoSpaceDN/>
        <w:bidi w:val="0"/>
        <w:adjustRightInd/>
        <w:snapToGrid/>
        <w:spacing w:line="500" w:lineRule="exact"/>
        <w:ind w:firstLine="652" w:firstLineChars="204"/>
        <w:jc w:val="left"/>
        <w:textAlignment w:val="auto"/>
        <w:rPr>
          <w:rFonts w:hint="eastAsia" w:ascii="宋体" w:hAnsi="宋体" w:cs="宋体"/>
          <w:color w:val="000000" w:themeColor="text1"/>
          <w:kern w:val="0"/>
          <w:sz w:val="32"/>
          <w:szCs w:val="32"/>
          <w:highlight w:val="none"/>
          <w14:textFill>
            <w14:solidFill>
              <w14:schemeClr w14:val="tx1"/>
            </w14:solidFill>
          </w14:textFill>
        </w:rPr>
      </w:pPr>
    </w:p>
    <w:p w14:paraId="513245F4">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000000" w:themeColor="text1"/>
          <w:sz w:val="32"/>
          <w:szCs w:val="32"/>
          <w:highlight w:val="none"/>
          <w14:textFill>
            <w14:solidFill>
              <w14:schemeClr w14:val="tx1"/>
            </w14:solidFill>
          </w14:textFill>
        </w:rPr>
      </w:pPr>
    </w:p>
    <w:p w14:paraId="63B3C058">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000000" w:themeColor="text1"/>
          <w:sz w:val="32"/>
          <w:szCs w:val="32"/>
          <w:highlight w:val="none"/>
          <w14:textFill>
            <w14:solidFill>
              <w14:schemeClr w14:val="tx1"/>
            </w14:solidFill>
          </w14:textFill>
        </w:rPr>
      </w:pPr>
    </w:p>
    <w:p w14:paraId="60728C19">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投标人（全称并加盖公章）：</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w:t>
      </w:r>
    </w:p>
    <w:p w14:paraId="74AD6F60">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投标人代表签字：</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w:t>
      </w:r>
    </w:p>
    <w:p w14:paraId="34C1EF5A">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w:t>
      </w:r>
    </w:p>
    <w:p w14:paraId="7AA8D656">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日  期：</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日</w:t>
      </w:r>
    </w:p>
    <w:p w14:paraId="58912545">
      <w:pPr>
        <w:pStyle w:val="19"/>
        <w:rPr>
          <w:rFonts w:hint="eastAsia" w:ascii="仿宋" w:hAnsi="仿宋" w:eastAsia="仿宋"/>
          <w:color w:val="000000" w:themeColor="text1"/>
          <w:sz w:val="32"/>
          <w:szCs w:val="32"/>
          <w:highlight w:val="none"/>
          <w14:textFill>
            <w14:solidFill>
              <w14:schemeClr w14:val="tx1"/>
            </w14:solidFill>
          </w14:textFill>
        </w:rPr>
      </w:pPr>
    </w:p>
    <w:p w14:paraId="0430D69D">
      <w:pPr>
        <w:spacing w:line="240" w:lineRule="auto"/>
        <w:jc w:val="left"/>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4A8874FC">
      <w:pPr>
        <w:spacing w:line="220" w:lineRule="atLeast"/>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10</w:t>
      </w:r>
    </w:p>
    <w:p w14:paraId="0D1FCFF2">
      <w:pPr>
        <w:pStyle w:val="19"/>
        <w:jc w:val="center"/>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技术和商务响应表</w:t>
      </w:r>
    </w:p>
    <w:p w14:paraId="25BA3286">
      <w:pPr>
        <w:spacing w:line="360" w:lineRule="auto"/>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项目名称：</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xml:space="preserve">            </w:t>
      </w:r>
    </w:p>
    <w:p w14:paraId="0D6D1F2D">
      <w:pPr>
        <w:pStyle w:val="19"/>
        <w:ind w:left="0" w:leftChars="0" w:firstLine="0" w:firstLineChars="0"/>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招标编号：</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213"/>
        <w:gridCol w:w="1725"/>
        <w:gridCol w:w="2475"/>
        <w:gridCol w:w="1703"/>
      </w:tblGrid>
      <w:tr w14:paraId="4691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10BE0992">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序号</w:t>
            </w:r>
          </w:p>
        </w:tc>
        <w:tc>
          <w:tcPr>
            <w:tcW w:w="2213" w:type="dxa"/>
            <w:vAlign w:val="center"/>
          </w:tcPr>
          <w:p w14:paraId="08510B07">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招标文件要求</w:t>
            </w:r>
          </w:p>
        </w:tc>
        <w:tc>
          <w:tcPr>
            <w:tcW w:w="1725" w:type="dxa"/>
            <w:vAlign w:val="center"/>
          </w:tcPr>
          <w:p w14:paraId="6169C5F2">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响应情况</w:t>
            </w:r>
          </w:p>
        </w:tc>
        <w:tc>
          <w:tcPr>
            <w:tcW w:w="2475" w:type="dxa"/>
            <w:vAlign w:val="center"/>
          </w:tcPr>
          <w:p w14:paraId="7ACB5F85">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响应对应的页码</w:t>
            </w:r>
          </w:p>
        </w:tc>
        <w:tc>
          <w:tcPr>
            <w:tcW w:w="1703" w:type="dxa"/>
            <w:vAlign w:val="center"/>
          </w:tcPr>
          <w:p w14:paraId="5098F2F6">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偏离</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情况</w:t>
            </w:r>
          </w:p>
        </w:tc>
      </w:tr>
      <w:tr w14:paraId="5A2C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68855C06">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213" w:type="dxa"/>
          </w:tcPr>
          <w:p w14:paraId="19AE120E">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25" w:type="dxa"/>
          </w:tcPr>
          <w:p w14:paraId="7821E501">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475" w:type="dxa"/>
          </w:tcPr>
          <w:p w14:paraId="425ECD0D">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03" w:type="dxa"/>
          </w:tcPr>
          <w:p w14:paraId="784B1333">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r>
      <w:tr w14:paraId="0DCC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221471D4">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213" w:type="dxa"/>
          </w:tcPr>
          <w:p w14:paraId="0ADF5417">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25" w:type="dxa"/>
          </w:tcPr>
          <w:p w14:paraId="2D17A699">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475" w:type="dxa"/>
          </w:tcPr>
          <w:p w14:paraId="13D1D651">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03" w:type="dxa"/>
          </w:tcPr>
          <w:p w14:paraId="4DF0D903">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r>
      <w:tr w14:paraId="2186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02D5277F">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213" w:type="dxa"/>
          </w:tcPr>
          <w:p w14:paraId="5BDF78E2">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25" w:type="dxa"/>
          </w:tcPr>
          <w:p w14:paraId="78574823">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475" w:type="dxa"/>
          </w:tcPr>
          <w:p w14:paraId="0C668A20">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03" w:type="dxa"/>
          </w:tcPr>
          <w:p w14:paraId="7E33836E">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r>
      <w:tr w14:paraId="05B8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3F646E3E">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213" w:type="dxa"/>
          </w:tcPr>
          <w:p w14:paraId="2EDD80BE">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25" w:type="dxa"/>
          </w:tcPr>
          <w:p w14:paraId="257CA403">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475" w:type="dxa"/>
          </w:tcPr>
          <w:p w14:paraId="5AF369C7">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03" w:type="dxa"/>
          </w:tcPr>
          <w:p w14:paraId="75543CB9">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r>
    </w:tbl>
    <w:p w14:paraId="7AC52AB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注：</w:t>
      </w:r>
    </w:p>
    <w:p w14:paraId="7FB58E8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14:textFill>
            <w14:solidFill>
              <w14:schemeClr w14:val="tx1"/>
            </w14:solidFill>
          </w14:textFill>
        </w:rPr>
        <w:t>投标人应对招标文件技术</w:t>
      </w: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和商务</w:t>
      </w:r>
      <w:r>
        <w:rPr>
          <w:rFonts w:hint="eastAsia" w:ascii="仿宋" w:hAnsi="仿宋" w:eastAsia="仿宋" w:cs="仿宋"/>
          <w:b/>
          <w:bCs/>
          <w:color w:val="000000" w:themeColor="text1"/>
          <w:kern w:val="0"/>
          <w:sz w:val="28"/>
          <w:szCs w:val="28"/>
          <w:highlight w:val="none"/>
          <w14:textFill>
            <w14:solidFill>
              <w14:schemeClr w14:val="tx1"/>
            </w14:solidFill>
          </w14:textFill>
        </w:rPr>
        <w:t>要求进行逐条响应，列在响应表中。偏离情况请根据实际响应情况列明</w:t>
      </w:r>
      <w:r>
        <w:rPr>
          <w:rFonts w:hint="eastAsia" w:ascii="仿宋" w:hAnsi="仿宋" w:eastAsia="仿宋" w:cs="仿宋"/>
          <w:b/>
          <w:bCs/>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14:textFill>
            <w14:solidFill>
              <w14:schemeClr w14:val="tx1"/>
            </w14:solidFill>
          </w14:textFill>
        </w:rPr>
        <w:t>优于的，填写“正偏离”；符合的，填写“无偏离”；低于的，填写“负偏离”。</w:t>
      </w:r>
    </w:p>
    <w:p w14:paraId="5AA4486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2、如果投标人在投标文件中没有以书面方式对招标文件规定的各项要求和条款提出不满足或不响应或负偏离，则视为投标人能够完全理解并满足本招标文件规定的各相关条款要求。如有不满足或不响应或负偏离，不管是多么微小，投标人都应在投标文件中按上表格式加以如实详细说明，否则，投标人中标后才提出或者被招标人发现的任何负偏离或不响应或不满足均视为成交供应商违约，招标人将取消其中标供应商资格。</w:t>
      </w:r>
    </w:p>
    <w:p w14:paraId="6D55BA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pPr>
    </w:p>
    <w:p w14:paraId="63D88788">
      <w:pPr>
        <w:keepNext w:val="0"/>
        <w:keepLines w:val="0"/>
        <w:pageBreakBefore w:val="0"/>
        <w:widowControl/>
        <w:kinsoku/>
        <w:wordWrap/>
        <w:overflowPunct/>
        <w:topLinePunct w:val="0"/>
        <w:autoSpaceDE/>
        <w:autoSpaceDN/>
        <w:bidi w:val="0"/>
        <w:adjustRightInd/>
        <w:snapToGrid/>
        <w:spacing w:line="500" w:lineRule="exact"/>
        <w:ind w:firstLine="3200" w:firstLineChars="1000"/>
        <w:jc w:val="left"/>
        <w:textAlignment w:val="auto"/>
        <w:rPr>
          <w:rFonts w:hint="default" w:ascii="仿宋" w:hAnsi="仿宋" w:eastAsia="仿宋" w:cs="仿宋"/>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0"/>
          <w:sz w:val="32"/>
          <w:szCs w:val="32"/>
          <w:highlight w:val="none"/>
          <w14:textFill>
            <w14:solidFill>
              <w14:schemeClr w14:val="tx1"/>
            </w14:solidFill>
          </w14:textFill>
        </w:rPr>
        <w:t>投标人(全称</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并</w:t>
      </w:r>
      <w:r>
        <w:rPr>
          <w:rFonts w:hint="eastAsia" w:ascii="仿宋" w:hAnsi="仿宋" w:eastAsia="仿宋" w:cs="仿宋"/>
          <w:bCs/>
          <w:color w:val="000000" w:themeColor="text1"/>
          <w:kern w:val="0"/>
          <w:sz w:val="32"/>
          <w:szCs w:val="32"/>
          <w:highlight w:val="none"/>
          <w14:textFill>
            <w14:solidFill>
              <w14:schemeClr w14:val="tx1"/>
            </w14:solidFill>
          </w14:textFill>
        </w:rPr>
        <w:t>加盖公章)：</w:t>
      </w:r>
      <w:r>
        <w:rPr>
          <w:rFonts w:hint="eastAsia" w:ascii="仿宋" w:hAnsi="仿宋" w:eastAsia="仿宋" w:cs="仿宋"/>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 xml:space="preserve">      </w:t>
      </w:r>
    </w:p>
    <w:p w14:paraId="397DD05E">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default" w:ascii="仿宋" w:hAnsi="仿宋" w:eastAsia="仿宋" w:cs="仿宋"/>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0"/>
          <w:sz w:val="32"/>
          <w:szCs w:val="32"/>
          <w:highlight w:val="none"/>
          <w14:textFill>
            <w14:solidFill>
              <w14:schemeClr w14:val="tx1"/>
            </w14:solidFill>
          </w14:textFill>
        </w:rPr>
        <w:t>投标人代表签字：</w:t>
      </w:r>
      <w:r>
        <w:rPr>
          <w:rFonts w:hint="eastAsia" w:ascii="仿宋" w:hAnsi="仿宋" w:eastAsia="仿宋" w:cs="仿宋"/>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 xml:space="preserve">            </w:t>
      </w:r>
    </w:p>
    <w:p w14:paraId="0BBA8B3F">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eastAsia" w:ascii="仿宋" w:hAnsi="仿宋" w:eastAsia="仿宋" w:cs="仿宋"/>
          <w:bCs/>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kern w:val="0"/>
          <w:sz w:val="32"/>
          <w:szCs w:val="32"/>
          <w:highlight w:val="none"/>
          <w14:textFill>
            <w14:solidFill>
              <w14:schemeClr w14:val="tx1"/>
            </w14:solidFill>
          </w14:textFill>
        </w:rPr>
        <w:t>日</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32"/>
          <w:szCs w:val="32"/>
          <w:highlight w:val="none"/>
          <w14:textFill>
            <w14:solidFill>
              <w14:schemeClr w14:val="tx1"/>
            </w14:solidFill>
          </w14:textFill>
        </w:rPr>
        <w:t>期：</w:t>
      </w:r>
      <w:r>
        <w:rPr>
          <w:rFonts w:hint="eastAsia" w:ascii="仿宋" w:hAnsi="仿宋" w:eastAsia="仿宋" w:cs="仿宋"/>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28"/>
          <w:szCs w:val="28"/>
          <w:highlight w:val="none"/>
          <w:lang w:val="en-US" w:eastAsia="zh-CN"/>
          <w14:textFill>
            <w14:solidFill>
              <w14:schemeClr w14:val="tx1"/>
            </w14:solidFill>
          </w14:textFill>
        </w:rPr>
        <w:t xml:space="preserve">                   </w:t>
      </w:r>
    </w:p>
    <w:p w14:paraId="255179B8">
      <w:pPr>
        <w:spacing w:line="240" w:lineRule="auto"/>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0E9F024D">
      <w:pPr>
        <w:spacing w:line="500" w:lineRule="exact"/>
        <w:rPr>
          <w:rFonts w:hint="default"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11</w:t>
      </w:r>
    </w:p>
    <w:p w14:paraId="14FA812F">
      <w:pPr>
        <w:spacing w:line="500" w:lineRule="exact"/>
        <w:jc w:val="cente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投标人业绩证明</w:t>
      </w:r>
    </w:p>
    <w:p w14:paraId="27C559FC">
      <w:pPr>
        <w:pStyle w:val="7"/>
        <w:snapToGrid w:val="0"/>
        <w:spacing w:line="420" w:lineRule="atLeast"/>
        <w:ind w:left="0"/>
        <w:jc w:val="both"/>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p>
    <w:p w14:paraId="710FF230">
      <w:pPr>
        <w:spacing w:line="360" w:lineRule="auto"/>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项目名称：</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xml:space="preserve">              </w:t>
      </w:r>
    </w:p>
    <w:p w14:paraId="53BB7FBD">
      <w:pPr>
        <w:spacing w:line="360" w:lineRule="auto"/>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招标编号：</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463"/>
        <w:gridCol w:w="1331"/>
        <w:gridCol w:w="1419"/>
        <w:gridCol w:w="1548"/>
        <w:gridCol w:w="1548"/>
      </w:tblGrid>
      <w:tr w14:paraId="715F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vAlign w:val="center"/>
          </w:tcPr>
          <w:p w14:paraId="37192B91">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招标采购单位</w:t>
            </w:r>
          </w:p>
        </w:tc>
        <w:tc>
          <w:tcPr>
            <w:tcW w:w="1463" w:type="dxa"/>
            <w:vAlign w:val="center"/>
          </w:tcPr>
          <w:p w14:paraId="39F3E118">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项目名称</w:t>
            </w:r>
          </w:p>
        </w:tc>
        <w:tc>
          <w:tcPr>
            <w:tcW w:w="1331" w:type="dxa"/>
            <w:vAlign w:val="center"/>
          </w:tcPr>
          <w:p w14:paraId="23E7BE38">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数量</w:t>
            </w:r>
          </w:p>
        </w:tc>
        <w:tc>
          <w:tcPr>
            <w:tcW w:w="1419" w:type="dxa"/>
            <w:vAlign w:val="center"/>
          </w:tcPr>
          <w:p w14:paraId="0F270CE9">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采购金额</w:t>
            </w:r>
          </w:p>
        </w:tc>
        <w:tc>
          <w:tcPr>
            <w:tcW w:w="1548" w:type="dxa"/>
            <w:vAlign w:val="center"/>
          </w:tcPr>
          <w:p w14:paraId="2A76A625">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联系人</w:t>
            </w:r>
          </w:p>
        </w:tc>
        <w:tc>
          <w:tcPr>
            <w:tcW w:w="1548" w:type="dxa"/>
            <w:vAlign w:val="center"/>
          </w:tcPr>
          <w:p w14:paraId="1545CA5B">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联系电话</w:t>
            </w:r>
          </w:p>
        </w:tc>
      </w:tr>
      <w:tr w14:paraId="7EE4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3C685A95">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463" w:type="dxa"/>
          </w:tcPr>
          <w:p w14:paraId="2F22AFD9">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331" w:type="dxa"/>
          </w:tcPr>
          <w:p w14:paraId="35044699">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419" w:type="dxa"/>
          </w:tcPr>
          <w:p w14:paraId="4156DA64">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548" w:type="dxa"/>
          </w:tcPr>
          <w:p w14:paraId="433A87AF">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548" w:type="dxa"/>
          </w:tcPr>
          <w:p w14:paraId="03298391">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r>
      <w:tr w14:paraId="6C79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72ACBB99">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463" w:type="dxa"/>
          </w:tcPr>
          <w:p w14:paraId="125CE1F2">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331" w:type="dxa"/>
          </w:tcPr>
          <w:p w14:paraId="39DF97BD">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419" w:type="dxa"/>
          </w:tcPr>
          <w:p w14:paraId="56F2ABA2">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548" w:type="dxa"/>
          </w:tcPr>
          <w:p w14:paraId="2981FC3D">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548" w:type="dxa"/>
          </w:tcPr>
          <w:p w14:paraId="19780918">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r>
      <w:tr w14:paraId="0388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770C97FB">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463" w:type="dxa"/>
          </w:tcPr>
          <w:p w14:paraId="6CE75B0C">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331" w:type="dxa"/>
          </w:tcPr>
          <w:p w14:paraId="69725B58">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419" w:type="dxa"/>
          </w:tcPr>
          <w:p w14:paraId="69C95410">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548" w:type="dxa"/>
          </w:tcPr>
          <w:p w14:paraId="37ED3A31">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548" w:type="dxa"/>
          </w:tcPr>
          <w:p w14:paraId="2E95611F">
            <w:pPr>
              <w:pStyle w:val="1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r>
    </w:tbl>
    <w:p w14:paraId="2229BA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color w:val="000000" w:themeColor="text1"/>
          <w:sz w:val="28"/>
          <w:szCs w:val="28"/>
          <w:highlight w:val="none"/>
          <w14:textFill>
            <w14:solidFill>
              <w14:schemeClr w14:val="tx1"/>
            </w14:solidFill>
          </w14:textFill>
        </w:rPr>
      </w:pPr>
      <w:r>
        <w:rPr>
          <w:rFonts w:hint="eastAsia" w:ascii="仿宋" w:hAnsi="仿宋" w:eastAsia="仿宋" w:cs="Times New Roman"/>
          <w:b/>
          <w:bCs/>
          <w:color w:val="000000" w:themeColor="text1"/>
          <w:sz w:val="28"/>
          <w:szCs w:val="28"/>
          <w:highlight w:val="none"/>
          <w:lang w:val="en-US" w:eastAsia="zh-CN"/>
          <w14:textFill>
            <w14:solidFill>
              <w14:schemeClr w14:val="tx1"/>
            </w14:solidFill>
          </w14:textFill>
        </w:rPr>
        <w:t>注：投标人</w:t>
      </w:r>
      <w:r>
        <w:rPr>
          <w:rFonts w:hint="eastAsia" w:ascii="仿宋" w:hAnsi="仿宋" w:eastAsia="仿宋" w:cs="Times New Roman"/>
          <w:b/>
          <w:bCs/>
          <w:color w:val="000000" w:themeColor="text1"/>
          <w:sz w:val="28"/>
          <w:szCs w:val="28"/>
          <w:highlight w:val="none"/>
          <w14:textFill>
            <w14:solidFill>
              <w14:schemeClr w14:val="tx1"/>
            </w14:solidFill>
          </w14:textFill>
        </w:rPr>
        <w:t>根据本招标文件要求，提供相关的业绩证明文件。投标人承诺以上项目为投标人实际</w:t>
      </w:r>
      <w:r>
        <w:rPr>
          <w:rFonts w:hint="eastAsia" w:ascii="仿宋" w:hAnsi="仿宋" w:eastAsia="仿宋" w:cs="Times New Roman"/>
          <w:b/>
          <w:bCs/>
          <w:color w:val="000000" w:themeColor="text1"/>
          <w:sz w:val="28"/>
          <w:szCs w:val="28"/>
          <w:highlight w:val="none"/>
          <w:lang w:val="en-US" w:eastAsia="zh-CN"/>
          <w14:textFill>
            <w14:solidFill>
              <w14:schemeClr w14:val="tx1"/>
            </w14:solidFill>
          </w14:textFill>
        </w:rPr>
        <w:t>业绩</w:t>
      </w:r>
      <w:r>
        <w:rPr>
          <w:rFonts w:hint="eastAsia" w:ascii="仿宋" w:hAnsi="仿宋" w:eastAsia="仿宋" w:cs="Times New Roman"/>
          <w:b/>
          <w:bCs/>
          <w:color w:val="000000" w:themeColor="text1"/>
          <w:sz w:val="28"/>
          <w:szCs w:val="28"/>
          <w:highlight w:val="none"/>
          <w14:textFill>
            <w14:solidFill>
              <w14:schemeClr w14:val="tx1"/>
            </w14:solidFill>
          </w14:textFill>
        </w:rPr>
        <w:t>项目</w:t>
      </w:r>
      <w:r>
        <w:rPr>
          <w:rFonts w:hint="eastAsia" w:ascii="仿宋" w:hAnsi="仿宋" w:eastAsia="仿宋" w:cs="Times New Roman"/>
          <w:b/>
          <w:bCs/>
          <w:color w:val="000000" w:themeColor="text1"/>
          <w:sz w:val="28"/>
          <w:szCs w:val="28"/>
          <w:highlight w:val="none"/>
          <w:lang w:eastAsia="zh-CN"/>
          <w14:textFill>
            <w14:solidFill>
              <w14:schemeClr w14:val="tx1"/>
            </w14:solidFill>
          </w14:textFill>
        </w:rPr>
        <w:t>，</w:t>
      </w:r>
      <w:r>
        <w:rPr>
          <w:rFonts w:hint="eastAsia" w:ascii="仿宋" w:hAnsi="仿宋" w:eastAsia="仿宋" w:cs="Times New Roman"/>
          <w:b/>
          <w:bCs/>
          <w:color w:val="000000" w:themeColor="text1"/>
          <w:sz w:val="28"/>
          <w:szCs w:val="28"/>
          <w:highlight w:val="none"/>
          <w14:textFill>
            <w14:solidFill>
              <w14:schemeClr w14:val="tx1"/>
            </w14:solidFill>
          </w14:textFill>
        </w:rPr>
        <w:t>如投标人成为本次项目的中标人，接受招标人对上述项目的现场核实。</w:t>
      </w:r>
    </w:p>
    <w:p w14:paraId="0C5F321E">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Cs/>
          <w:color w:val="000000" w:themeColor="text1"/>
          <w:sz w:val="28"/>
          <w:szCs w:val="28"/>
          <w:highlight w:val="none"/>
          <w14:textFill>
            <w14:solidFill>
              <w14:schemeClr w14:val="tx1"/>
            </w14:solidFill>
          </w14:textFill>
        </w:rPr>
      </w:pPr>
    </w:p>
    <w:p w14:paraId="2C90307C">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000000" w:themeColor="text1"/>
          <w:sz w:val="28"/>
          <w:szCs w:val="28"/>
          <w:highlight w:val="none"/>
          <w14:textFill>
            <w14:solidFill>
              <w14:schemeClr w14:val="tx1"/>
            </w14:solidFill>
          </w14:textFill>
        </w:rPr>
      </w:pPr>
    </w:p>
    <w:p w14:paraId="15E496FC">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000000" w:themeColor="text1"/>
          <w:sz w:val="28"/>
          <w:szCs w:val="28"/>
          <w:highlight w:val="none"/>
          <w14:textFill>
            <w14:solidFill>
              <w14:schemeClr w14:val="tx1"/>
            </w14:solidFill>
          </w14:textFill>
        </w:rPr>
      </w:pPr>
    </w:p>
    <w:p w14:paraId="4CA5182A">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000000" w:themeColor="text1"/>
          <w:sz w:val="28"/>
          <w:szCs w:val="28"/>
          <w:highlight w:val="none"/>
          <w14:textFill>
            <w14:solidFill>
              <w14:schemeClr w14:val="tx1"/>
            </w14:solidFill>
          </w14:textFill>
        </w:rPr>
      </w:pPr>
    </w:p>
    <w:p w14:paraId="3AB22FC8">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06EB39F1">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 </w:t>
      </w:r>
    </w:p>
    <w:p w14:paraId="0EBB0B4C">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3E4576B0">
      <w:pPr>
        <w:pStyle w:val="19"/>
        <w:rPr>
          <w:rFonts w:ascii="仿宋" w:hAnsi="仿宋" w:eastAsia="仿宋"/>
          <w:b/>
          <w:bCs/>
          <w:color w:val="000000" w:themeColor="text1"/>
          <w:sz w:val="32"/>
          <w:szCs w:val="32"/>
          <w:highlight w:val="none"/>
          <w14:textFill>
            <w14:solidFill>
              <w14:schemeClr w14:val="tx1"/>
            </w14:solidFill>
          </w14:textFill>
        </w:rPr>
      </w:pPr>
    </w:p>
    <w:p w14:paraId="676F62B1">
      <w:pPr>
        <w:pStyle w:val="19"/>
        <w:rPr>
          <w:rFonts w:ascii="仿宋" w:hAnsi="仿宋" w:eastAsia="仿宋"/>
          <w:b/>
          <w:bCs/>
          <w:color w:val="000000" w:themeColor="text1"/>
          <w:sz w:val="32"/>
          <w:szCs w:val="32"/>
          <w:highlight w:val="none"/>
          <w14:textFill>
            <w14:solidFill>
              <w14:schemeClr w14:val="tx1"/>
            </w14:solidFill>
          </w14:textFill>
        </w:rPr>
      </w:pPr>
    </w:p>
    <w:p w14:paraId="73C5CFAB">
      <w:pPr>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br w:type="page"/>
      </w:r>
    </w:p>
    <w:p w14:paraId="29F6ACC8">
      <w:pPr>
        <w:spacing w:line="500" w:lineRule="exact"/>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14:textFill>
            <w14:solidFill>
              <w14:schemeClr w14:val="tx1"/>
            </w14:solidFill>
          </w14:textFill>
        </w:rPr>
        <w:t>1</w:t>
      </w:r>
      <w:r>
        <w:rPr>
          <w:rFonts w:hint="eastAsia" w:ascii="仿宋" w:hAnsi="仿宋" w:eastAsia="仿宋"/>
          <w:b/>
          <w:bCs/>
          <w:color w:val="000000" w:themeColor="text1"/>
          <w:sz w:val="32"/>
          <w:szCs w:val="32"/>
          <w:highlight w:val="none"/>
          <w:lang w:val="en-US" w:eastAsia="zh-CN"/>
          <w14:textFill>
            <w14:solidFill>
              <w14:schemeClr w14:val="tx1"/>
            </w14:solidFill>
          </w14:textFill>
        </w:rPr>
        <w:t>2</w:t>
      </w:r>
    </w:p>
    <w:p w14:paraId="2EA3C2E3">
      <w:pPr>
        <w:spacing w:line="500" w:lineRule="exact"/>
        <w:rPr>
          <w:rFonts w:hint="eastAsia" w:ascii="仿宋" w:hAnsi="仿宋" w:eastAsia="仿宋"/>
          <w:b/>
          <w:bCs/>
          <w:color w:val="000000" w:themeColor="text1"/>
          <w:sz w:val="32"/>
          <w:szCs w:val="32"/>
          <w:highlight w:val="none"/>
          <w:lang w:val="en-US" w:eastAsia="zh-CN"/>
          <w14:textFill>
            <w14:solidFill>
              <w14:schemeClr w14:val="tx1"/>
            </w14:solidFill>
          </w14:textFill>
        </w:rPr>
      </w:pPr>
    </w:p>
    <w:p w14:paraId="6E929E93">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投标人提交的其它资料</w:t>
      </w:r>
    </w:p>
    <w:p w14:paraId="493941A9">
      <w:pPr>
        <w:spacing w:line="500" w:lineRule="exact"/>
        <w:rPr>
          <w:rFonts w:ascii="仿宋" w:hAnsi="仿宋" w:eastAsia="仿宋"/>
          <w:b/>
          <w:color w:val="000000" w:themeColor="text1"/>
          <w:sz w:val="32"/>
          <w:szCs w:val="32"/>
          <w:highlight w:val="none"/>
          <w14:textFill>
            <w14:solidFill>
              <w14:schemeClr w14:val="tx1"/>
            </w14:solidFill>
          </w14:textFill>
        </w:rPr>
      </w:pPr>
    </w:p>
    <w:p w14:paraId="6BF489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（投标人认为应提交的其他材料, 可在此附件中提交）</w:t>
      </w:r>
    </w:p>
    <w:p w14:paraId="277A0CE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4516A92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62019B59">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478D465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5706F264">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w:t>
      </w:r>
      <w:r>
        <w:rPr>
          <w:rFonts w:hint="eastAsia" w:ascii="仿宋" w:hAnsi="仿宋" w:eastAsia="仿宋"/>
          <w:color w:val="000000" w:themeColor="text1"/>
          <w:sz w:val="32"/>
          <w:szCs w:val="32"/>
          <w:highlight w:val="none"/>
          <w:lang w:val="en-US" w:eastAsia="zh-CN"/>
          <w14:textFill>
            <w14:solidFill>
              <w14:schemeClr w14:val="tx1"/>
            </w14:solidFill>
          </w14:textFill>
        </w:rPr>
        <w:t>并</w:t>
      </w:r>
      <w:r>
        <w:rPr>
          <w:rFonts w:hint="eastAsia" w:ascii="仿宋" w:hAnsi="仿宋" w:eastAsia="仿宋"/>
          <w:color w:val="000000" w:themeColor="text1"/>
          <w:sz w:val="32"/>
          <w:szCs w:val="32"/>
          <w:highlight w:val="none"/>
          <w14:textFill>
            <w14:solidFill>
              <w14:schemeClr w14:val="tx1"/>
            </w14:solidFill>
          </w14:textFill>
        </w:rPr>
        <w:t>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70BA9F01">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9B3D013">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6C25B7E">
      <w:pPr>
        <w:pStyle w:val="19"/>
        <w:rPr>
          <w:rFonts w:hint="eastAsia" w:ascii="仿宋" w:hAnsi="仿宋" w:eastAsia="仿宋"/>
          <w:color w:val="000000" w:themeColor="text1"/>
          <w:sz w:val="32"/>
          <w:szCs w:val="32"/>
          <w:highlight w:val="none"/>
          <w14:textFill>
            <w14:solidFill>
              <w14:schemeClr w14:val="tx1"/>
            </w14:solidFill>
          </w14:textFill>
        </w:rPr>
      </w:pPr>
    </w:p>
    <w:p w14:paraId="56381D24">
      <w:pPr>
        <w:pStyle w:val="19"/>
        <w:rPr>
          <w:rFonts w:hint="eastAsia" w:ascii="仿宋" w:hAnsi="仿宋" w:eastAsia="仿宋"/>
          <w:color w:val="000000" w:themeColor="text1"/>
          <w:sz w:val="32"/>
          <w:szCs w:val="32"/>
          <w:highlight w:val="none"/>
          <w14:textFill>
            <w14:solidFill>
              <w14:schemeClr w14:val="tx1"/>
            </w14:solidFill>
          </w14:textFill>
        </w:rPr>
      </w:pPr>
    </w:p>
    <w:p w14:paraId="13788BD3">
      <w:pPr>
        <w:pStyle w:val="19"/>
        <w:rPr>
          <w:rFonts w:hint="eastAsia" w:ascii="仿宋" w:hAnsi="仿宋" w:eastAsia="仿宋"/>
          <w:color w:val="000000" w:themeColor="text1"/>
          <w:sz w:val="32"/>
          <w:szCs w:val="32"/>
          <w:highlight w:val="none"/>
          <w14:textFill>
            <w14:solidFill>
              <w14:schemeClr w14:val="tx1"/>
            </w14:solidFill>
          </w14:textFill>
        </w:rPr>
      </w:pPr>
    </w:p>
    <w:p w14:paraId="5E1BB550">
      <w:pPr>
        <w:pStyle w:val="19"/>
        <w:rPr>
          <w:rFonts w:hint="eastAsia" w:ascii="仿宋" w:hAnsi="仿宋" w:eastAsia="仿宋"/>
          <w:color w:val="000000" w:themeColor="text1"/>
          <w:sz w:val="32"/>
          <w:szCs w:val="32"/>
          <w:highlight w:val="none"/>
          <w14:textFill>
            <w14:solidFill>
              <w14:schemeClr w14:val="tx1"/>
            </w14:solidFill>
          </w14:textFill>
        </w:rPr>
      </w:pPr>
    </w:p>
    <w:p w14:paraId="41370C8D">
      <w:pPr>
        <w:pStyle w:val="19"/>
        <w:rPr>
          <w:rFonts w:hint="eastAsia" w:ascii="仿宋" w:hAnsi="仿宋" w:eastAsia="仿宋"/>
          <w:color w:val="000000" w:themeColor="text1"/>
          <w:sz w:val="32"/>
          <w:szCs w:val="32"/>
          <w:highlight w:val="none"/>
          <w14:textFill>
            <w14:solidFill>
              <w14:schemeClr w14:val="tx1"/>
            </w14:solidFill>
          </w14:textFill>
        </w:rPr>
      </w:pPr>
    </w:p>
    <w:p w14:paraId="110083BE">
      <w:pPr>
        <w:pStyle w:val="19"/>
        <w:rPr>
          <w:rFonts w:hint="eastAsia" w:ascii="仿宋" w:hAnsi="仿宋" w:eastAsia="仿宋"/>
          <w:color w:val="000000" w:themeColor="text1"/>
          <w:sz w:val="32"/>
          <w:szCs w:val="32"/>
          <w:highlight w:val="none"/>
          <w14:textFill>
            <w14:solidFill>
              <w14:schemeClr w14:val="tx1"/>
            </w14:solidFill>
          </w14:textFill>
        </w:rPr>
      </w:pPr>
    </w:p>
    <w:p w14:paraId="38CDEE84">
      <w:pPr>
        <w:pStyle w:val="19"/>
        <w:rPr>
          <w:rFonts w:hint="eastAsia" w:ascii="仿宋" w:hAnsi="仿宋" w:eastAsia="仿宋"/>
          <w:color w:val="000000" w:themeColor="text1"/>
          <w:sz w:val="32"/>
          <w:szCs w:val="32"/>
          <w:highlight w:val="none"/>
          <w14:textFill>
            <w14:solidFill>
              <w14:schemeClr w14:val="tx1"/>
            </w14:solidFill>
          </w14:textFill>
        </w:rPr>
      </w:pPr>
    </w:p>
    <w:p w14:paraId="5AEB8A1F">
      <w:pPr>
        <w:pStyle w:val="19"/>
        <w:rPr>
          <w:rFonts w:hint="eastAsia" w:ascii="仿宋" w:hAnsi="仿宋" w:eastAsia="仿宋"/>
          <w:color w:val="000000" w:themeColor="text1"/>
          <w:sz w:val="32"/>
          <w:szCs w:val="32"/>
          <w:highlight w:val="none"/>
          <w14:textFill>
            <w14:solidFill>
              <w14:schemeClr w14:val="tx1"/>
            </w14:solidFill>
          </w14:textFill>
        </w:rPr>
      </w:pPr>
    </w:p>
    <w:p w14:paraId="6A434D6B">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br w:type="page"/>
      </w:r>
    </w:p>
    <w:p w14:paraId="08323069">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格式1</w:t>
      </w:r>
      <w:r>
        <w:rPr>
          <w:rFonts w:hint="eastAsia" w:ascii="仿宋" w:hAnsi="仿宋" w:eastAsia="仿宋"/>
          <w:b/>
          <w:bCs/>
          <w:color w:val="000000" w:themeColor="text1"/>
          <w:sz w:val="32"/>
          <w:szCs w:val="32"/>
          <w:highlight w:val="none"/>
          <w:lang w:val="en-US" w:eastAsia="zh-CN"/>
          <w14:textFill>
            <w14:solidFill>
              <w14:schemeClr w14:val="tx1"/>
            </w14:solidFill>
          </w14:textFill>
        </w:rPr>
        <w:t>3</w:t>
      </w:r>
      <w:r>
        <w:rPr>
          <w:rFonts w:hint="eastAsia" w:ascii="仿宋" w:hAnsi="仿宋" w:eastAsia="仿宋"/>
          <w:b/>
          <w:bCs/>
          <w:color w:val="000000" w:themeColor="text1"/>
          <w:sz w:val="32"/>
          <w:szCs w:val="32"/>
          <w:highlight w:val="none"/>
          <w14:textFill>
            <w14:solidFill>
              <w14:schemeClr w14:val="tx1"/>
            </w14:solidFill>
          </w14:textFill>
        </w:rPr>
        <w:t xml:space="preserve"> 投标人密封条</w:t>
      </w:r>
    </w:p>
    <w:p w14:paraId="7A55652C">
      <w:pPr>
        <w:spacing w:line="500" w:lineRule="exact"/>
        <w:rPr>
          <w:rFonts w:ascii="仿宋" w:hAnsi="仿宋" w:eastAsia="仿宋"/>
          <w:color w:val="000000" w:themeColor="text1"/>
          <w:sz w:val="32"/>
          <w:szCs w:val="32"/>
          <w:highlight w:val="none"/>
          <w14:textFill>
            <w14:solidFill>
              <w14:schemeClr w14:val="tx1"/>
            </w14:solidFill>
          </w14:textFill>
        </w:rPr>
      </w:pPr>
    </w:p>
    <w:p w14:paraId="4553C2ED">
      <w:pPr>
        <w:spacing w:line="500" w:lineRule="exact"/>
        <w:rPr>
          <w:rFonts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t>--------------------------------------------------------</w:t>
      </w:r>
    </w:p>
    <w:p w14:paraId="29260473">
      <w:pPr>
        <w:spacing w:line="50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密    封    条</w:t>
      </w:r>
    </w:p>
    <w:tbl>
      <w:tblPr>
        <w:tblStyle w:val="20"/>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70"/>
        <w:gridCol w:w="1837"/>
        <w:gridCol w:w="1888"/>
        <w:gridCol w:w="2200"/>
      </w:tblGrid>
      <w:tr w14:paraId="0737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62" w:type="dxa"/>
            <w:vAlign w:val="center"/>
          </w:tcPr>
          <w:p w14:paraId="4C6110E1">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送   呈</w:t>
            </w:r>
          </w:p>
        </w:tc>
        <w:tc>
          <w:tcPr>
            <w:tcW w:w="6995" w:type="dxa"/>
            <w:gridSpan w:val="4"/>
            <w:vAlign w:val="center"/>
          </w:tcPr>
          <w:p w14:paraId="68C5B08D">
            <w:pPr>
              <w:spacing w:line="500" w:lineRule="exact"/>
              <w:rPr>
                <w:rFonts w:hint="default" w:ascii="仿宋" w:hAnsi="仿宋" w:eastAsia="仿宋" w:cs="Arial"/>
                <w:color w:val="000000" w:themeColor="text1"/>
                <w:kern w:val="0"/>
                <w:sz w:val="28"/>
                <w:szCs w:val="28"/>
                <w:highlight w:val="none"/>
                <w:lang w:val="en-US" w:eastAsia="zh-CN"/>
                <w14:textFill>
                  <w14:solidFill>
                    <w14:schemeClr w14:val="tx1"/>
                  </w14:solidFill>
                </w14:textFill>
              </w:rPr>
            </w:pP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招标人</w:t>
            </w:r>
          </w:p>
        </w:tc>
      </w:tr>
      <w:tr w14:paraId="529F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62" w:type="dxa"/>
            <w:vAlign w:val="center"/>
          </w:tcPr>
          <w:p w14:paraId="4E40CA39">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项目名称</w:t>
            </w:r>
          </w:p>
        </w:tc>
        <w:tc>
          <w:tcPr>
            <w:tcW w:w="2907" w:type="dxa"/>
            <w:gridSpan w:val="2"/>
            <w:vAlign w:val="center"/>
          </w:tcPr>
          <w:p w14:paraId="08C87CAD">
            <w:pPr>
              <w:spacing w:line="500" w:lineRule="exact"/>
              <w:rPr>
                <w:rFonts w:ascii="仿宋" w:hAnsi="仿宋" w:eastAsia="仿宋" w:cs="仿宋"/>
                <w:bCs/>
                <w:color w:val="000000" w:themeColor="text1"/>
                <w:sz w:val="28"/>
                <w:szCs w:val="28"/>
                <w:highlight w:val="none"/>
                <w:lang w:val="zh-CN"/>
                <w14:textFill>
                  <w14:solidFill>
                    <w14:schemeClr w14:val="tx1"/>
                  </w14:solidFill>
                </w14:textFill>
              </w:rPr>
            </w:pPr>
            <w:r>
              <w:rPr>
                <w:rFonts w:hint="eastAsia" w:ascii="仿宋" w:hAnsi="仿宋" w:eastAsia="仿宋" w:cs="仿宋"/>
                <w:bCs/>
                <w:color w:val="000000" w:themeColor="text1"/>
                <w:sz w:val="28"/>
                <w:szCs w:val="28"/>
                <w:highlight w:val="none"/>
                <w:lang w:val="zh-CN"/>
                <w14:textFill>
                  <w14:solidFill>
                    <w14:schemeClr w14:val="tx1"/>
                  </w14:solidFill>
                </w14:textFill>
              </w:rPr>
              <w:t>*******项目</w:t>
            </w:r>
          </w:p>
        </w:tc>
        <w:tc>
          <w:tcPr>
            <w:tcW w:w="1888" w:type="dxa"/>
            <w:vAlign w:val="center"/>
          </w:tcPr>
          <w:p w14:paraId="6FE06D7D">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招标编号</w:t>
            </w:r>
          </w:p>
        </w:tc>
        <w:tc>
          <w:tcPr>
            <w:tcW w:w="2200" w:type="dxa"/>
            <w:vAlign w:val="center"/>
          </w:tcPr>
          <w:p w14:paraId="5F793A20">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w:t>
            </w:r>
          </w:p>
        </w:tc>
      </w:tr>
      <w:tr w14:paraId="7E0C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62" w:type="dxa"/>
            <w:vAlign w:val="center"/>
          </w:tcPr>
          <w:p w14:paraId="6AD0516E">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截标日期</w:t>
            </w:r>
          </w:p>
        </w:tc>
        <w:tc>
          <w:tcPr>
            <w:tcW w:w="6995" w:type="dxa"/>
            <w:gridSpan w:val="4"/>
            <w:vAlign w:val="center"/>
          </w:tcPr>
          <w:p w14:paraId="7D385E53">
            <w:pPr>
              <w:spacing w:line="500" w:lineRule="exact"/>
              <w:ind w:firstLine="560" w:firstLineChars="200"/>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年</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月</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日</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分止</w:t>
            </w:r>
          </w:p>
        </w:tc>
      </w:tr>
      <w:tr w14:paraId="2C42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6C03AEBC">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投标人</w:t>
            </w:r>
            <w:r>
              <w:rPr>
                <w:rFonts w:hint="eastAsia" w:ascii="仿宋" w:hAnsi="仿宋" w:eastAsia="仿宋" w:cs="Arial"/>
                <w:color w:val="000000" w:themeColor="text1"/>
                <w:kern w:val="0"/>
                <w:sz w:val="28"/>
                <w:szCs w:val="28"/>
                <w:highlight w:val="none"/>
                <w14:textFill>
                  <w14:solidFill>
                    <w14:schemeClr w14:val="tx1"/>
                  </w14:solidFill>
                </w14:textFill>
              </w:rPr>
              <w:t>名称（加盖密封章或公章）</w:t>
            </w:r>
          </w:p>
        </w:tc>
        <w:tc>
          <w:tcPr>
            <w:tcW w:w="5925" w:type="dxa"/>
            <w:gridSpan w:val="3"/>
            <w:vAlign w:val="center"/>
          </w:tcPr>
          <w:p w14:paraId="5A7B30CF">
            <w:pPr>
              <w:spacing w:line="500" w:lineRule="exact"/>
              <w:rPr>
                <w:rFonts w:ascii="仿宋" w:hAnsi="仿宋" w:eastAsia="仿宋" w:cs="Arial"/>
                <w:color w:val="000000" w:themeColor="text1"/>
                <w:kern w:val="0"/>
                <w:sz w:val="28"/>
                <w:szCs w:val="28"/>
                <w:highlight w:val="none"/>
                <w14:textFill>
                  <w14:solidFill>
                    <w14:schemeClr w14:val="tx1"/>
                  </w14:solidFill>
                </w14:textFill>
              </w:rPr>
            </w:pPr>
          </w:p>
        </w:tc>
      </w:tr>
    </w:tbl>
    <w:p w14:paraId="581A559C">
      <w:pPr>
        <w:pBdr>
          <w:bottom w:val="none" w:color="auto" w:sz="0" w:space="0"/>
        </w:pBdr>
        <w:spacing w:line="500" w:lineRule="exact"/>
        <w:rPr>
          <w:rFonts w:ascii="仿宋" w:hAnsi="仿宋" w:eastAsia="仿宋"/>
          <w:b/>
          <w:color w:val="000000" w:themeColor="text1"/>
          <w:sz w:val="32"/>
          <w:szCs w:val="32"/>
          <w:highlight w:val="none"/>
          <w14:textFill>
            <w14:solidFill>
              <w14:schemeClr w14:val="tx1"/>
            </w14:solidFill>
          </w14:textFill>
        </w:rPr>
      </w:pPr>
    </w:p>
    <w:bookmarkEnd w:id="5"/>
    <w:bookmarkEnd w:id="6"/>
    <w:p w14:paraId="7F71E6BD">
      <w:pPr>
        <w:pBdr>
          <w:top w:val="none" w:color="auto" w:sz="0" w:space="0"/>
          <w:bottom w:val="none" w:color="auto" w:sz="0" w:space="0"/>
        </w:pBdr>
        <w:spacing w:line="500" w:lineRule="exact"/>
        <w:jc w:val="left"/>
        <w:rPr>
          <w:rFonts w:hint="eastAsia" w:ascii="仿宋" w:hAnsi="仿宋" w:eastAsia="仿宋"/>
          <w:b/>
          <w:bCs/>
          <w:color w:val="000000" w:themeColor="text1"/>
          <w:sz w:val="32"/>
          <w:szCs w:val="32"/>
          <w:highlight w:val="none"/>
          <w:u w:val="none"/>
          <w:lang w:eastAsia="zh-CN"/>
          <w14:textFill>
            <w14:solidFill>
              <w14:schemeClr w14:val="tx1"/>
            </w14:solidFill>
          </w14:textFill>
        </w:rPr>
      </w:pPr>
    </w:p>
    <w:sectPr>
      <w:headerReference r:id="rId6" w:type="default"/>
      <w:footerReference r:id="rId7" w:type="default"/>
      <w:pgSz w:w="11906" w:h="16838"/>
      <w:pgMar w:top="720" w:right="720" w:bottom="720" w:left="72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5"/>
    </w:sdtPr>
    <w:sdtContent>
      <w:p w14:paraId="1E67532B">
        <w:pPr>
          <w:pStyle w:val="1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B4CB1B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1E43BD01">
        <w:pPr>
          <w:pStyle w:val="15"/>
          <w:jc w:val="center"/>
        </w:pPr>
        <w:r>
          <w:fldChar w:fldCharType="begin"/>
        </w:r>
        <w:r>
          <w:instrText xml:space="preserve"> PAGE   \* MERGEFORMAT </w:instrText>
        </w:r>
        <w:r>
          <w:fldChar w:fldCharType="separate"/>
        </w:r>
        <w:r>
          <w:rPr>
            <w:lang w:val="zh-CN"/>
          </w:rPr>
          <w:t>31</w:t>
        </w:r>
        <w:r>
          <w:rPr>
            <w:lang w:val="zh-CN"/>
          </w:rPr>
          <w:fldChar w:fldCharType="end"/>
        </w:r>
      </w:p>
    </w:sdtContent>
  </w:sdt>
  <w:p w14:paraId="1C56B2D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C19B">
    <w:pPr>
      <w:pStyle w:val="15"/>
      <w:ind w:firstLine="144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2DCCD">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2C8D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99568"/>
    <w:multiLevelType w:val="singleLevel"/>
    <w:tmpl w:val="AC899568"/>
    <w:lvl w:ilvl="0" w:tentative="0">
      <w:start w:val="10"/>
      <w:numFmt w:val="chineseCounting"/>
      <w:suff w:val="space"/>
      <w:lvlText w:val="第%1条"/>
      <w:lvlJc w:val="left"/>
      <w:rPr>
        <w:rFonts w:hint="eastAsia"/>
      </w:rPr>
    </w:lvl>
  </w:abstractNum>
  <w:abstractNum w:abstractNumId="1">
    <w:nsid w:val="E7D842BB"/>
    <w:multiLevelType w:val="singleLevel"/>
    <w:tmpl w:val="E7D842BB"/>
    <w:lvl w:ilvl="0" w:tentative="0">
      <w:start w:val="1"/>
      <w:numFmt w:val="decimal"/>
      <w:suff w:val="nothing"/>
      <w:lvlText w:val="%1、"/>
      <w:lvlJc w:val="left"/>
    </w:lvl>
  </w:abstractNum>
  <w:abstractNum w:abstractNumId="2">
    <w:nsid w:val="FCCBAE00"/>
    <w:multiLevelType w:val="singleLevel"/>
    <w:tmpl w:val="FCCBAE00"/>
    <w:lvl w:ilvl="0" w:tentative="0">
      <w:start w:val="8"/>
      <w:numFmt w:val="decimal"/>
      <w:lvlText w:val="%1."/>
      <w:lvlJc w:val="left"/>
      <w:pPr>
        <w:tabs>
          <w:tab w:val="left" w:pos="312"/>
        </w:tabs>
      </w:pPr>
    </w:lvl>
  </w:abstractNum>
  <w:abstractNum w:abstractNumId="3">
    <w:nsid w:val="7D6DF629"/>
    <w:multiLevelType w:val="singleLevel"/>
    <w:tmpl w:val="7D6DF629"/>
    <w:lvl w:ilvl="0" w:tentative="0">
      <w:start w:val="4"/>
      <w:numFmt w:val="chineseCounting"/>
      <w:suff w:val="space"/>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NDkyZGQ3NWM4NzBhMzBmOWExMjIxNDhhMGM1YTMifQ=="/>
  </w:docVars>
  <w:rsids>
    <w:rsidRoot w:val="5A9E4E10"/>
    <w:rsid w:val="0007691E"/>
    <w:rsid w:val="001606E8"/>
    <w:rsid w:val="009212E9"/>
    <w:rsid w:val="00A92F32"/>
    <w:rsid w:val="00C972F1"/>
    <w:rsid w:val="00CD3D14"/>
    <w:rsid w:val="00F46AD6"/>
    <w:rsid w:val="00F97650"/>
    <w:rsid w:val="013623B0"/>
    <w:rsid w:val="015772A4"/>
    <w:rsid w:val="018102E2"/>
    <w:rsid w:val="01B35B8E"/>
    <w:rsid w:val="02452765"/>
    <w:rsid w:val="02777BFD"/>
    <w:rsid w:val="02906F11"/>
    <w:rsid w:val="03106CF8"/>
    <w:rsid w:val="0330102C"/>
    <w:rsid w:val="03A42931"/>
    <w:rsid w:val="03E33071"/>
    <w:rsid w:val="047144DF"/>
    <w:rsid w:val="0477097E"/>
    <w:rsid w:val="05840A34"/>
    <w:rsid w:val="05930833"/>
    <w:rsid w:val="0640211D"/>
    <w:rsid w:val="064D68D8"/>
    <w:rsid w:val="06510766"/>
    <w:rsid w:val="068A1EC0"/>
    <w:rsid w:val="06B267CE"/>
    <w:rsid w:val="06F62664"/>
    <w:rsid w:val="078A03D3"/>
    <w:rsid w:val="081D54B2"/>
    <w:rsid w:val="08334756"/>
    <w:rsid w:val="08357DA8"/>
    <w:rsid w:val="087370B9"/>
    <w:rsid w:val="087D5842"/>
    <w:rsid w:val="08EE635C"/>
    <w:rsid w:val="096F0B9E"/>
    <w:rsid w:val="0A074DCE"/>
    <w:rsid w:val="0AC459AA"/>
    <w:rsid w:val="0AD07617"/>
    <w:rsid w:val="0BA4504A"/>
    <w:rsid w:val="0C26412D"/>
    <w:rsid w:val="0CD93263"/>
    <w:rsid w:val="0D1057AD"/>
    <w:rsid w:val="0D23491D"/>
    <w:rsid w:val="0D436541"/>
    <w:rsid w:val="0D616004"/>
    <w:rsid w:val="0D84749B"/>
    <w:rsid w:val="0D9F0B7D"/>
    <w:rsid w:val="0E2857D8"/>
    <w:rsid w:val="0E5536F4"/>
    <w:rsid w:val="0EA92008"/>
    <w:rsid w:val="0EC97F4B"/>
    <w:rsid w:val="0EE41D12"/>
    <w:rsid w:val="0EEC54CF"/>
    <w:rsid w:val="0F5B65A1"/>
    <w:rsid w:val="0F7C2CF7"/>
    <w:rsid w:val="107C2883"/>
    <w:rsid w:val="10BA0C23"/>
    <w:rsid w:val="11052878"/>
    <w:rsid w:val="115B5F20"/>
    <w:rsid w:val="11B06C88"/>
    <w:rsid w:val="121662AF"/>
    <w:rsid w:val="127F72C5"/>
    <w:rsid w:val="12B33BE4"/>
    <w:rsid w:val="13124C14"/>
    <w:rsid w:val="135A537D"/>
    <w:rsid w:val="13920207"/>
    <w:rsid w:val="14206D94"/>
    <w:rsid w:val="14436E3F"/>
    <w:rsid w:val="14447B5C"/>
    <w:rsid w:val="14927C94"/>
    <w:rsid w:val="14C307F1"/>
    <w:rsid w:val="15547FDE"/>
    <w:rsid w:val="159B19FD"/>
    <w:rsid w:val="16116EDB"/>
    <w:rsid w:val="163836F0"/>
    <w:rsid w:val="166A5D4B"/>
    <w:rsid w:val="168801D3"/>
    <w:rsid w:val="170862F7"/>
    <w:rsid w:val="17155968"/>
    <w:rsid w:val="183D4FEE"/>
    <w:rsid w:val="189839F7"/>
    <w:rsid w:val="19090D31"/>
    <w:rsid w:val="19206DE3"/>
    <w:rsid w:val="19762565"/>
    <w:rsid w:val="19D32F1D"/>
    <w:rsid w:val="19DB686C"/>
    <w:rsid w:val="1A091A86"/>
    <w:rsid w:val="1B075110"/>
    <w:rsid w:val="1B5453D7"/>
    <w:rsid w:val="1B9A0D78"/>
    <w:rsid w:val="1C5D1817"/>
    <w:rsid w:val="1C7A236C"/>
    <w:rsid w:val="1CA556C4"/>
    <w:rsid w:val="1D23333A"/>
    <w:rsid w:val="1D4248DD"/>
    <w:rsid w:val="1D807E56"/>
    <w:rsid w:val="1DA82F09"/>
    <w:rsid w:val="1DFD165E"/>
    <w:rsid w:val="1E0D6378"/>
    <w:rsid w:val="1E4A14A1"/>
    <w:rsid w:val="1E4F2DAA"/>
    <w:rsid w:val="1E5A660D"/>
    <w:rsid w:val="1EDF0BAD"/>
    <w:rsid w:val="1FB042F7"/>
    <w:rsid w:val="1FB20158"/>
    <w:rsid w:val="20983709"/>
    <w:rsid w:val="209B6D55"/>
    <w:rsid w:val="20B17B2F"/>
    <w:rsid w:val="20B35CC0"/>
    <w:rsid w:val="20E3149B"/>
    <w:rsid w:val="20FB4647"/>
    <w:rsid w:val="21666C90"/>
    <w:rsid w:val="217355DC"/>
    <w:rsid w:val="22407EED"/>
    <w:rsid w:val="22561785"/>
    <w:rsid w:val="228B58E4"/>
    <w:rsid w:val="235C0A1E"/>
    <w:rsid w:val="236D42CA"/>
    <w:rsid w:val="23A931DE"/>
    <w:rsid w:val="24083565"/>
    <w:rsid w:val="24092228"/>
    <w:rsid w:val="24283C14"/>
    <w:rsid w:val="24833D88"/>
    <w:rsid w:val="24CD76F9"/>
    <w:rsid w:val="254A0CE6"/>
    <w:rsid w:val="254A5D0C"/>
    <w:rsid w:val="25C04EE2"/>
    <w:rsid w:val="262D1D64"/>
    <w:rsid w:val="26EF1BA9"/>
    <w:rsid w:val="273B3040"/>
    <w:rsid w:val="28814EFD"/>
    <w:rsid w:val="28FC3D70"/>
    <w:rsid w:val="28FE17A7"/>
    <w:rsid w:val="29347D47"/>
    <w:rsid w:val="2964062C"/>
    <w:rsid w:val="29FA0F90"/>
    <w:rsid w:val="29FB11D2"/>
    <w:rsid w:val="2A7C19A5"/>
    <w:rsid w:val="2AC375D4"/>
    <w:rsid w:val="2AF7061B"/>
    <w:rsid w:val="2BCE4483"/>
    <w:rsid w:val="2C017F2A"/>
    <w:rsid w:val="2C625CF0"/>
    <w:rsid w:val="2CF61AA4"/>
    <w:rsid w:val="2D831B12"/>
    <w:rsid w:val="2DC84F02"/>
    <w:rsid w:val="2DEF248E"/>
    <w:rsid w:val="2DFE6D3A"/>
    <w:rsid w:val="2F397A40"/>
    <w:rsid w:val="2F664C46"/>
    <w:rsid w:val="2F754550"/>
    <w:rsid w:val="2F9B7046"/>
    <w:rsid w:val="2FF10740"/>
    <w:rsid w:val="30C0666B"/>
    <w:rsid w:val="30CE7544"/>
    <w:rsid w:val="31737306"/>
    <w:rsid w:val="31CD40BC"/>
    <w:rsid w:val="32C4038E"/>
    <w:rsid w:val="32DA195F"/>
    <w:rsid w:val="32DC7485"/>
    <w:rsid w:val="32DF18E5"/>
    <w:rsid w:val="33291EA5"/>
    <w:rsid w:val="332C7A82"/>
    <w:rsid w:val="33353039"/>
    <w:rsid w:val="33AB32FB"/>
    <w:rsid w:val="348C429C"/>
    <w:rsid w:val="34AE03A4"/>
    <w:rsid w:val="34B171CC"/>
    <w:rsid w:val="34CB0AD9"/>
    <w:rsid w:val="353A2783"/>
    <w:rsid w:val="357922E4"/>
    <w:rsid w:val="35867B7C"/>
    <w:rsid w:val="35E248D3"/>
    <w:rsid w:val="363E495E"/>
    <w:rsid w:val="368876BA"/>
    <w:rsid w:val="379D7264"/>
    <w:rsid w:val="37E41754"/>
    <w:rsid w:val="38790DBA"/>
    <w:rsid w:val="38887767"/>
    <w:rsid w:val="388E38AC"/>
    <w:rsid w:val="39987E7E"/>
    <w:rsid w:val="39EB36B5"/>
    <w:rsid w:val="3A1302EC"/>
    <w:rsid w:val="3A7B3A28"/>
    <w:rsid w:val="3A9C574C"/>
    <w:rsid w:val="3AA364B6"/>
    <w:rsid w:val="3AC06FE2"/>
    <w:rsid w:val="3B027CA5"/>
    <w:rsid w:val="3B985F13"/>
    <w:rsid w:val="3BB35060"/>
    <w:rsid w:val="3BE70C49"/>
    <w:rsid w:val="3BE850ED"/>
    <w:rsid w:val="3BEF518C"/>
    <w:rsid w:val="3C313C29"/>
    <w:rsid w:val="3C742485"/>
    <w:rsid w:val="3DDD67A7"/>
    <w:rsid w:val="3DE904F5"/>
    <w:rsid w:val="3E18158D"/>
    <w:rsid w:val="3E483DAD"/>
    <w:rsid w:val="3E583B4F"/>
    <w:rsid w:val="3E7132A9"/>
    <w:rsid w:val="3F357653"/>
    <w:rsid w:val="3FD3657F"/>
    <w:rsid w:val="40073668"/>
    <w:rsid w:val="40D53A62"/>
    <w:rsid w:val="40E8149F"/>
    <w:rsid w:val="418330DD"/>
    <w:rsid w:val="41E84702"/>
    <w:rsid w:val="41EA1493"/>
    <w:rsid w:val="421E7386"/>
    <w:rsid w:val="42472441"/>
    <w:rsid w:val="42482385"/>
    <w:rsid w:val="427D5E63"/>
    <w:rsid w:val="42B577AE"/>
    <w:rsid w:val="436314FD"/>
    <w:rsid w:val="43835AAD"/>
    <w:rsid w:val="43B22D24"/>
    <w:rsid w:val="43D520AF"/>
    <w:rsid w:val="44594178"/>
    <w:rsid w:val="44B440F1"/>
    <w:rsid w:val="44D22496"/>
    <w:rsid w:val="44E93C84"/>
    <w:rsid w:val="44FF3C0C"/>
    <w:rsid w:val="451E56DB"/>
    <w:rsid w:val="452B1BA6"/>
    <w:rsid w:val="4545107A"/>
    <w:rsid w:val="45625ABA"/>
    <w:rsid w:val="45E819F5"/>
    <w:rsid w:val="46733805"/>
    <w:rsid w:val="46945A23"/>
    <w:rsid w:val="46C91677"/>
    <w:rsid w:val="46DD15C6"/>
    <w:rsid w:val="46EF7B2B"/>
    <w:rsid w:val="472010C4"/>
    <w:rsid w:val="47A6524C"/>
    <w:rsid w:val="48163D25"/>
    <w:rsid w:val="482D69F6"/>
    <w:rsid w:val="48AB791C"/>
    <w:rsid w:val="4A116F4C"/>
    <w:rsid w:val="4A4B7EAE"/>
    <w:rsid w:val="4A8361D2"/>
    <w:rsid w:val="4AAE48C2"/>
    <w:rsid w:val="4B201A81"/>
    <w:rsid w:val="4B964BE8"/>
    <w:rsid w:val="4C013661"/>
    <w:rsid w:val="4C79261D"/>
    <w:rsid w:val="4C951897"/>
    <w:rsid w:val="4DB150DA"/>
    <w:rsid w:val="4DDC7B96"/>
    <w:rsid w:val="4DE672DC"/>
    <w:rsid w:val="4E162E45"/>
    <w:rsid w:val="4E495D86"/>
    <w:rsid w:val="4E504349"/>
    <w:rsid w:val="4E5263F6"/>
    <w:rsid w:val="4E54216E"/>
    <w:rsid w:val="4ED94B63"/>
    <w:rsid w:val="4EFB7FC2"/>
    <w:rsid w:val="4F985538"/>
    <w:rsid w:val="4FDA59E6"/>
    <w:rsid w:val="4FEC63D6"/>
    <w:rsid w:val="4FF965CE"/>
    <w:rsid w:val="4FFC393C"/>
    <w:rsid w:val="50C47696"/>
    <w:rsid w:val="50DC69CA"/>
    <w:rsid w:val="50E92F26"/>
    <w:rsid w:val="51022355"/>
    <w:rsid w:val="51136310"/>
    <w:rsid w:val="51360251"/>
    <w:rsid w:val="5158485D"/>
    <w:rsid w:val="51917235"/>
    <w:rsid w:val="51A2208A"/>
    <w:rsid w:val="523C071E"/>
    <w:rsid w:val="523C5ADE"/>
    <w:rsid w:val="525F0320"/>
    <w:rsid w:val="52A66D10"/>
    <w:rsid w:val="52BE405A"/>
    <w:rsid w:val="52EB172B"/>
    <w:rsid w:val="532E0C9B"/>
    <w:rsid w:val="534A3B3F"/>
    <w:rsid w:val="536C61AC"/>
    <w:rsid w:val="53C51F20"/>
    <w:rsid w:val="53D02297"/>
    <w:rsid w:val="53F65BA6"/>
    <w:rsid w:val="542E520F"/>
    <w:rsid w:val="55465500"/>
    <w:rsid w:val="55CF0356"/>
    <w:rsid w:val="56336B0D"/>
    <w:rsid w:val="564B432E"/>
    <w:rsid w:val="565A0DEE"/>
    <w:rsid w:val="56617B1E"/>
    <w:rsid w:val="56ED13B1"/>
    <w:rsid w:val="5730129E"/>
    <w:rsid w:val="577C44E3"/>
    <w:rsid w:val="58537F2B"/>
    <w:rsid w:val="58726CF2"/>
    <w:rsid w:val="58AE5CC8"/>
    <w:rsid w:val="58F702C5"/>
    <w:rsid w:val="58FD3402"/>
    <w:rsid w:val="59017396"/>
    <w:rsid w:val="5908324B"/>
    <w:rsid w:val="59305585"/>
    <w:rsid w:val="59612A54"/>
    <w:rsid w:val="59715B3E"/>
    <w:rsid w:val="598C3104"/>
    <w:rsid w:val="5A48645D"/>
    <w:rsid w:val="5A9E4E10"/>
    <w:rsid w:val="5AA06D8B"/>
    <w:rsid w:val="5AAA7165"/>
    <w:rsid w:val="5B092E15"/>
    <w:rsid w:val="5BE41C5E"/>
    <w:rsid w:val="5C0244DB"/>
    <w:rsid w:val="5C83637D"/>
    <w:rsid w:val="5C891B7C"/>
    <w:rsid w:val="5C9C3C5A"/>
    <w:rsid w:val="5CEA1173"/>
    <w:rsid w:val="5D527F72"/>
    <w:rsid w:val="5DA14954"/>
    <w:rsid w:val="5E907F6A"/>
    <w:rsid w:val="5E9345EC"/>
    <w:rsid w:val="5F10533B"/>
    <w:rsid w:val="5F7E303B"/>
    <w:rsid w:val="5F950838"/>
    <w:rsid w:val="5FAB005C"/>
    <w:rsid w:val="5FFA76EA"/>
    <w:rsid w:val="5FFD464A"/>
    <w:rsid w:val="60120613"/>
    <w:rsid w:val="61077514"/>
    <w:rsid w:val="619C5EAE"/>
    <w:rsid w:val="626B2012"/>
    <w:rsid w:val="627B0AFD"/>
    <w:rsid w:val="62EB0199"/>
    <w:rsid w:val="62F92E8C"/>
    <w:rsid w:val="63065CD5"/>
    <w:rsid w:val="638C4A5F"/>
    <w:rsid w:val="639D3569"/>
    <w:rsid w:val="63EC5945"/>
    <w:rsid w:val="65801643"/>
    <w:rsid w:val="65C55C65"/>
    <w:rsid w:val="65D025CA"/>
    <w:rsid w:val="65EA16D1"/>
    <w:rsid w:val="66362D3C"/>
    <w:rsid w:val="668B029F"/>
    <w:rsid w:val="677F710F"/>
    <w:rsid w:val="684001B6"/>
    <w:rsid w:val="6886411B"/>
    <w:rsid w:val="68F22857"/>
    <w:rsid w:val="692E3CC2"/>
    <w:rsid w:val="6A3D3FA6"/>
    <w:rsid w:val="6A567FCC"/>
    <w:rsid w:val="6AA638F9"/>
    <w:rsid w:val="6ADE3AA4"/>
    <w:rsid w:val="6B014FD4"/>
    <w:rsid w:val="6B321631"/>
    <w:rsid w:val="6B7D0AFE"/>
    <w:rsid w:val="6C472EBA"/>
    <w:rsid w:val="6C7672FB"/>
    <w:rsid w:val="6D196605"/>
    <w:rsid w:val="6D4B2536"/>
    <w:rsid w:val="6D4D4500"/>
    <w:rsid w:val="6D9A3EE1"/>
    <w:rsid w:val="6E624906"/>
    <w:rsid w:val="6EC6456A"/>
    <w:rsid w:val="6EDE2037"/>
    <w:rsid w:val="6F9C351D"/>
    <w:rsid w:val="70781894"/>
    <w:rsid w:val="708E4616"/>
    <w:rsid w:val="709C52E9"/>
    <w:rsid w:val="70AD124B"/>
    <w:rsid w:val="70C20D61"/>
    <w:rsid w:val="711521BE"/>
    <w:rsid w:val="714F4CEB"/>
    <w:rsid w:val="727C7D1E"/>
    <w:rsid w:val="72B017B9"/>
    <w:rsid w:val="72C928DE"/>
    <w:rsid w:val="735B0FDF"/>
    <w:rsid w:val="735C724B"/>
    <w:rsid w:val="739A7D73"/>
    <w:rsid w:val="73CA0957"/>
    <w:rsid w:val="740C15B0"/>
    <w:rsid w:val="740D2C3B"/>
    <w:rsid w:val="74315BCE"/>
    <w:rsid w:val="74431E76"/>
    <w:rsid w:val="746131A5"/>
    <w:rsid w:val="74E34E7D"/>
    <w:rsid w:val="756643B1"/>
    <w:rsid w:val="757537FC"/>
    <w:rsid w:val="75CC59DF"/>
    <w:rsid w:val="75DB2459"/>
    <w:rsid w:val="76681311"/>
    <w:rsid w:val="76A07D97"/>
    <w:rsid w:val="76F701CD"/>
    <w:rsid w:val="779A2A38"/>
    <w:rsid w:val="77C83101"/>
    <w:rsid w:val="77D575CC"/>
    <w:rsid w:val="78650950"/>
    <w:rsid w:val="789D458E"/>
    <w:rsid w:val="78B2790D"/>
    <w:rsid w:val="79254583"/>
    <w:rsid w:val="79773031"/>
    <w:rsid w:val="79E61122"/>
    <w:rsid w:val="7A131E4E"/>
    <w:rsid w:val="7B073F40"/>
    <w:rsid w:val="7BA9718D"/>
    <w:rsid w:val="7C0466D2"/>
    <w:rsid w:val="7C605FFE"/>
    <w:rsid w:val="7C947A56"/>
    <w:rsid w:val="7C9A0DE4"/>
    <w:rsid w:val="7CF81D12"/>
    <w:rsid w:val="7D5176F5"/>
    <w:rsid w:val="7D580A83"/>
    <w:rsid w:val="7D5D078F"/>
    <w:rsid w:val="7D676C50"/>
    <w:rsid w:val="7D9D293A"/>
    <w:rsid w:val="7DDB0CE7"/>
    <w:rsid w:val="7E4436FD"/>
    <w:rsid w:val="7EAC4663"/>
    <w:rsid w:val="7ED6141A"/>
    <w:rsid w:val="7F4E570E"/>
    <w:rsid w:val="7F7D2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5">
    <w:name w:val="heading 3"/>
    <w:basedOn w:val="1"/>
    <w:next w:val="1"/>
    <w:qFormat/>
    <w:uiPriority w:val="0"/>
    <w:pPr>
      <w:keepNext/>
      <w:keepLines/>
      <w:spacing w:before="260" w:after="260" w:line="415" w:lineRule="auto"/>
      <w:outlineLvl w:val="2"/>
    </w:pPr>
    <w:rPr>
      <w:rFonts w:eastAsia="黑体"/>
      <w:b/>
      <w:bCs/>
      <w:sz w:val="28"/>
      <w:szCs w:val="32"/>
    </w:rPr>
  </w:style>
  <w:style w:type="paragraph" w:styleId="6">
    <w:name w:val="heading 4"/>
    <w:basedOn w:val="1"/>
    <w:next w:val="1"/>
    <w:qFormat/>
    <w:uiPriority w:val="0"/>
    <w:pPr>
      <w:keepNext/>
      <w:keepLines/>
      <w:tabs>
        <w:tab w:val="left" w:pos="425"/>
      </w:tabs>
      <w:spacing w:before="280" w:after="290" w:line="376" w:lineRule="atLeast"/>
      <w:ind w:left="425" w:hanging="425"/>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line="360" w:lineRule="auto"/>
      <w:jc w:val="left"/>
    </w:pPr>
    <w:rPr>
      <w:b/>
      <w:bCs/>
      <w:caps/>
      <w:sz w:val="24"/>
      <w:szCs w:val="20"/>
    </w:rPr>
  </w:style>
  <w:style w:type="paragraph" w:styleId="7">
    <w:name w:val="Normal Indent"/>
    <w:basedOn w:val="1"/>
    <w:qFormat/>
    <w:uiPriority w:val="0"/>
    <w:pPr>
      <w:widowControl/>
      <w:ind w:left="425"/>
      <w:jc w:val="left"/>
    </w:pPr>
    <w:rPr>
      <w:kern w:val="0"/>
      <w:sz w:val="20"/>
      <w:szCs w:val="20"/>
      <w:lang w:eastAsia="en-US"/>
    </w:rPr>
  </w:style>
  <w:style w:type="paragraph" w:styleId="8">
    <w:name w:val="annotation text"/>
    <w:basedOn w:val="1"/>
    <w:qFormat/>
    <w:uiPriority w:val="0"/>
    <w:pPr>
      <w:jc w:val="left"/>
    </w:pPr>
  </w:style>
  <w:style w:type="paragraph" w:styleId="9">
    <w:name w:val="Body Text"/>
    <w:basedOn w:val="1"/>
    <w:qFormat/>
    <w:uiPriority w:val="0"/>
    <w:rPr>
      <w:color w:val="FF0000"/>
    </w:rPr>
  </w:style>
  <w:style w:type="paragraph" w:styleId="10">
    <w:name w:val="toc 3"/>
    <w:basedOn w:val="1"/>
    <w:next w:val="1"/>
    <w:qFormat/>
    <w:uiPriority w:val="39"/>
    <w:pPr>
      <w:spacing w:line="360" w:lineRule="auto"/>
      <w:ind w:left="420"/>
      <w:jc w:val="left"/>
    </w:pPr>
    <w:rPr>
      <w:iCs/>
      <w:sz w:val="24"/>
      <w:szCs w:val="20"/>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rPr>
      <w:sz w:val="28"/>
      <w:szCs w:val="20"/>
    </w:rPr>
  </w:style>
  <w:style w:type="paragraph" w:styleId="13">
    <w:name w:val="Body Text Indent 2"/>
    <w:basedOn w:val="1"/>
    <w:qFormat/>
    <w:uiPriority w:val="0"/>
    <w:pPr>
      <w:tabs>
        <w:tab w:val="left" w:pos="1140"/>
      </w:tabs>
      <w:ind w:firstLine="560" w:firstLineChars="200"/>
    </w:pPr>
    <w:rPr>
      <w:rFonts w:ascii="Arial" w:hAnsi="Arial"/>
      <w:color w:val="000000"/>
      <w:sz w:val="28"/>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39"/>
    <w:pPr>
      <w:spacing w:line="360" w:lineRule="auto"/>
      <w:ind w:left="210"/>
      <w:jc w:val="left"/>
    </w:pPr>
    <w:rPr>
      <w:smallCaps/>
      <w:sz w:val="24"/>
      <w:szCs w:val="20"/>
    </w:rPr>
  </w:style>
  <w:style w:type="paragraph" w:styleId="18">
    <w:name w:val="Normal (Web)"/>
    <w:basedOn w:val="1"/>
    <w:qFormat/>
    <w:uiPriority w:val="99"/>
    <w:pPr>
      <w:spacing w:line="300" w:lineRule="auto"/>
    </w:pPr>
    <w:rPr>
      <w:sz w:val="24"/>
    </w:rPr>
  </w:style>
  <w:style w:type="paragraph" w:styleId="19">
    <w:name w:val="Body Text First Indent"/>
    <w:basedOn w:val="9"/>
    <w:qFormat/>
    <w:uiPriority w:val="0"/>
    <w:pPr>
      <w:spacing w:after="120"/>
      <w:ind w:firstLine="420" w:firstLineChars="100"/>
    </w:pPr>
    <w:rPr>
      <w:rFonts w:ascii="Calibri"/>
      <w:sz w:val="21"/>
    </w:rPr>
  </w:style>
  <w:style w:type="table" w:styleId="21">
    <w:name w:val="Table Grid"/>
    <w:basedOn w:val="20"/>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表头文本"/>
    <w:basedOn w:val="1"/>
    <w:qFormat/>
    <w:uiPriority w:val="0"/>
    <w:pPr>
      <w:autoSpaceDE w:val="0"/>
      <w:autoSpaceDN w:val="0"/>
      <w:adjustRightInd w:val="0"/>
      <w:jc w:val="center"/>
    </w:pPr>
    <w:rPr>
      <w:b/>
      <w:kern w:val="0"/>
      <w:sz w:val="24"/>
      <w:szCs w:val="20"/>
    </w:rPr>
  </w:style>
  <w:style w:type="paragraph" w:customStyle="1" w:styleId="30">
    <w:name w:val="样式3"/>
    <w:basedOn w:val="11"/>
    <w:qFormat/>
    <w:uiPriority w:val="0"/>
    <w:pPr>
      <w:spacing w:line="0" w:lineRule="atLeast"/>
      <w:outlineLvl w:val="0"/>
    </w:pPr>
    <w:rPr>
      <w:rFonts w:cs="Times New Roman"/>
      <w:sz w:val="28"/>
      <w:szCs w:val="20"/>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样式2"/>
    <w:basedOn w:val="15"/>
    <w:qFormat/>
    <w:uiPriority w:val="0"/>
    <w:pPr>
      <w:ind w:right="360"/>
    </w:pPr>
    <w:rPr>
      <w:rFonts w:ascii="宋体" w:hAnsi="宋体"/>
      <w:sz w:val="21"/>
      <w:szCs w:val="21"/>
    </w:rPr>
  </w:style>
  <w:style w:type="character" w:customStyle="1" w:styleId="33">
    <w:name w:val="批注框文本 Char"/>
    <w:basedOn w:val="22"/>
    <w:link w:val="14"/>
    <w:qFormat/>
    <w:uiPriority w:val="0"/>
    <w:rPr>
      <w:rFonts w:ascii="Times New Roman" w:hAnsi="Times New Roman"/>
      <w:kern w:val="2"/>
      <w:sz w:val="18"/>
      <w:szCs w:val="18"/>
    </w:rPr>
  </w:style>
  <w:style w:type="character" w:customStyle="1" w:styleId="34">
    <w:name w:val="页眉 Char"/>
    <w:basedOn w:val="22"/>
    <w:link w:val="16"/>
    <w:qFormat/>
    <w:uiPriority w:val="0"/>
    <w:rPr>
      <w:rFonts w:ascii="Times New Roman" w:hAnsi="Times New Roman"/>
      <w:kern w:val="2"/>
      <w:sz w:val="18"/>
      <w:szCs w:val="18"/>
    </w:rPr>
  </w:style>
  <w:style w:type="paragraph" w:customStyle="1" w:styleId="35">
    <w:name w:val="表格文字"/>
    <w:basedOn w:val="1"/>
    <w:next w:val="1"/>
    <w:qFormat/>
    <w:uiPriority w:val="0"/>
    <w:pPr>
      <w:spacing w:before="25" w:after="25"/>
      <w:jc w:val="left"/>
    </w:pPr>
    <w:rPr>
      <w:bCs/>
      <w:spacing w:val="10"/>
      <w:kern w:val="0"/>
      <w:sz w:val="24"/>
    </w:rPr>
  </w:style>
  <w:style w:type="paragraph" w:customStyle="1" w:styleId="36">
    <w:name w:val="Table Text"/>
    <w:basedOn w:val="1"/>
    <w:semiHidden/>
    <w:qFormat/>
    <w:uiPriority w:val="0"/>
    <w:rPr>
      <w:rFonts w:ascii="宋体" w:hAnsi="宋体" w:cs="宋体"/>
      <w:sz w:val="23"/>
      <w:szCs w:val="23"/>
      <w:lang w:eastAsia="en-US"/>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font4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a5e1f4-2600-4b4d-874c-657d8beb0b3c}"/>
        <w:style w:val=""/>
        <w:category>
          <w:name w:val="常规"/>
          <w:gallery w:val="placeholder"/>
        </w:category>
        <w:types>
          <w:type w:val="bbPlcHdr"/>
        </w:types>
        <w:behaviors>
          <w:behavior w:val="content"/>
        </w:behaviors>
        <w:description w:val=""/>
        <w:guid w:val="{17a5e1f4-2600-4b4d-874c-657d8beb0b3c}"/>
      </w:docPartPr>
      <w:docPartBody>
        <w:p w14:paraId="5A1E5F98">
          <w:r>
            <w:rPr>
              <w:color w:val="808080"/>
            </w:rPr>
            <w:t>单击此处直接编辑。</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929B5-BC5A-4222-AAA8-8AC8E8DD1114}">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17198</Words>
  <Characters>18013</Characters>
  <Lines>164</Lines>
  <Paragraphs>46</Paragraphs>
  <TotalTime>2</TotalTime>
  <ScaleCrop>false</ScaleCrop>
  <LinksUpToDate>false</LinksUpToDate>
  <CharactersWithSpaces>18438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2019-07-19T07:32:00Z</dcterms:created>
  <dc:creator>linlu</dc:creator>
  <cp:lastModifiedBy>林璐</cp:lastModifiedBy>
  <dcterms:modified xsi:type="dcterms:W3CDTF">2026-05-27T10:02:13Z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128DEA3FD15F482FAF2AD0B10D7CDF2C_13</vt:lpwstr>
  </property>
  <property fmtid="{D5CDD505-2E9C-101B-9397-08002B2CF9AE}" pid="4" name="KSOTemplateDocerSaveRecord">
    <vt:lpwstr>eyJoZGlkIjoiZjZmMmVkZTQ1Y2E5NmFjNDhjNjQ4YmNiMzlmNjM3MTgiLCJ1c2VySWQiOiIyNzA1MjA0MjcifQ==</vt:lpwstr>
  </property>
</Properties>
</file>