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063" w:firstLineChars="147"/>
        <w:rPr>
          <w:rFonts w:ascii="宋体" w:hAnsi="宋体"/>
          <w:b/>
          <w:color w:val="000000"/>
          <w:sz w:val="72"/>
        </w:rPr>
      </w:pPr>
    </w:p>
    <w:p>
      <w:pPr>
        <w:spacing w:line="360" w:lineRule="auto"/>
        <w:ind w:firstLine="1063" w:firstLineChars="147"/>
        <w:jc w:val="center"/>
        <w:rPr>
          <w:rFonts w:ascii="宋体" w:hAnsi="宋体"/>
          <w:b/>
          <w:color w:val="000000"/>
          <w:sz w:val="72"/>
        </w:rPr>
      </w:pPr>
      <w:r>
        <w:rPr>
          <w:rFonts w:hint="eastAsia" w:ascii="宋体" w:hAnsi="宋体"/>
          <w:b/>
          <w:color w:val="000000"/>
          <w:sz w:val="72"/>
        </w:rPr>
        <w:t>招标文件</w:t>
      </w:r>
    </w:p>
    <w:p>
      <w:pPr>
        <w:spacing w:line="360" w:lineRule="auto"/>
        <w:ind w:firstLine="1438" w:firstLineChars="398"/>
        <w:rPr>
          <w:rFonts w:ascii="宋体" w:hAnsi="宋体"/>
          <w:b/>
          <w:color w:val="000000"/>
          <w:sz w:val="36"/>
        </w:rPr>
      </w:pPr>
    </w:p>
    <w:p>
      <w:pPr>
        <w:spacing w:line="360" w:lineRule="auto"/>
        <w:ind w:firstLine="1438" w:firstLineChars="398"/>
        <w:rPr>
          <w:rFonts w:ascii="宋体" w:hAnsi="宋体"/>
          <w:b/>
          <w:color w:val="000000"/>
          <w:sz w:val="36"/>
        </w:rPr>
      </w:pPr>
    </w:p>
    <w:p>
      <w:pPr>
        <w:spacing w:line="360" w:lineRule="auto"/>
        <w:ind w:firstLine="1438" w:firstLineChars="398"/>
        <w:rPr>
          <w:rFonts w:ascii="宋体" w:hAnsi="宋体"/>
          <w:b/>
          <w:color w:val="000000"/>
          <w:sz w:val="36"/>
        </w:rPr>
      </w:pPr>
    </w:p>
    <w:p>
      <w:pPr>
        <w:spacing w:line="360" w:lineRule="auto"/>
        <w:ind w:firstLine="1438" w:firstLineChars="398"/>
        <w:rPr>
          <w:rFonts w:ascii="宋体" w:hAnsi="宋体"/>
          <w:b/>
          <w:color w:val="000000"/>
          <w:sz w:val="36"/>
          <w:szCs w:val="36"/>
        </w:rPr>
      </w:pPr>
    </w:p>
    <w:p>
      <w:pPr>
        <w:spacing w:line="360" w:lineRule="auto"/>
        <w:ind w:firstLine="1438" w:firstLineChars="398"/>
        <w:rPr>
          <w:rFonts w:hint="default" w:ascii="宋体" w:hAnsi="宋体" w:eastAsia="宋体"/>
          <w:b/>
          <w:color w:val="000000"/>
          <w:sz w:val="36"/>
          <w:szCs w:val="36"/>
          <w:highlight w:val="none"/>
          <w:u w:val="single"/>
          <w:lang w:val="en-US" w:eastAsia="zh-CN"/>
        </w:rPr>
      </w:pPr>
      <w:r>
        <w:rPr>
          <w:rFonts w:hint="eastAsia" w:ascii="宋体" w:hAnsi="宋体"/>
          <w:b/>
          <w:color w:val="000000"/>
          <w:sz w:val="36"/>
          <w:szCs w:val="36"/>
          <w:highlight w:val="none"/>
        </w:rPr>
        <w:t>招标编号：</w:t>
      </w:r>
      <w:r>
        <w:rPr>
          <w:rFonts w:hint="eastAsia" w:ascii="宋体" w:hAnsi="宋体"/>
          <w:b/>
          <w:color w:val="000000"/>
          <w:sz w:val="36"/>
          <w:szCs w:val="36"/>
          <w:highlight w:val="none"/>
          <w:lang w:val="en-US" w:eastAsia="zh-CN"/>
        </w:rPr>
        <w:t>GMWY-2019-15</w:t>
      </w:r>
    </w:p>
    <w:p>
      <w:pPr>
        <w:spacing w:line="360" w:lineRule="auto"/>
        <w:ind w:left="3948" w:leftChars="684" w:hanging="2512" w:hangingChars="695"/>
        <w:jc w:val="left"/>
        <w:rPr>
          <w:rFonts w:ascii="宋体" w:hAnsi="宋体"/>
          <w:b/>
          <w:color w:val="000000"/>
          <w:sz w:val="36"/>
          <w:szCs w:val="36"/>
          <w:u w:val="single"/>
        </w:rPr>
      </w:pPr>
      <w:r>
        <w:rPr>
          <w:rFonts w:hint="eastAsia" w:ascii="宋体" w:hAnsi="宋体"/>
          <w:b/>
          <w:color w:val="000000"/>
          <w:sz w:val="36"/>
          <w:szCs w:val="36"/>
        </w:rPr>
        <w:t>项目名称：</w:t>
      </w:r>
      <w:r>
        <w:rPr>
          <w:rFonts w:hint="eastAsia" w:ascii="宋体" w:hAnsi="宋体" w:cs="宋体"/>
          <w:b/>
          <w:bCs/>
          <w:sz w:val="36"/>
          <w:szCs w:val="36"/>
          <w:lang w:val="zh-CN"/>
        </w:rPr>
        <w:t>国贸中心设施设备第三方机构评估服务</w:t>
      </w:r>
    </w:p>
    <w:p>
      <w:pPr>
        <w:spacing w:line="360" w:lineRule="auto"/>
        <w:jc w:val="center"/>
        <w:rPr>
          <w:rFonts w:ascii="宋体" w:hAnsi="宋体"/>
          <w:b/>
          <w:sz w:val="72"/>
          <w:szCs w:val="72"/>
        </w:rPr>
      </w:pPr>
    </w:p>
    <w:p>
      <w:pPr>
        <w:spacing w:line="360" w:lineRule="auto"/>
        <w:rPr>
          <w:rFonts w:ascii="宋体" w:hAnsi="宋体"/>
          <w:b/>
          <w:sz w:val="36"/>
          <w:szCs w:val="36"/>
        </w:rPr>
      </w:pPr>
    </w:p>
    <w:p>
      <w:pPr>
        <w:spacing w:line="360" w:lineRule="auto"/>
        <w:rPr>
          <w:rFonts w:ascii="宋体" w:hAnsi="宋体"/>
          <w:b/>
          <w:sz w:val="36"/>
          <w:szCs w:val="36"/>
        </w:rPr>
      </w:pPr>
    </w:p>
    <w:p>
      <w:pPr>
        <w:spacing w:line="360" w:lineRule="auto"/>
        <w:rPr>
          <w:rFonts w:ascii="宋体" w:hAnsi="宋体"/>
          <w:b/>
          <w:sz w:val="36"/>
          <w:szCs w:val="36"/>
        </w:rPr>
      </w:pPr>
    </w:p>
    <w:p>
      <w:pPr>
        <w:spacing w:line="360" w:lineRule="auto"/>
        <w:jc w:val="center"/>
        <w:rPr>
          <w:rFonts w:ascii="宋体" w:hAnsi="宋体"/>
          <w:b/>
          <w:sz w:val="32"/>
        </w:rPr>
      </w:pPr>
      <w:r>
        <w:rPr>
          <w:rFonts w:hint="eastAsia" w:ascii="宋体" w:hAnsi="宋体"/>
          <w:b/>
          <w:sz w:val="32"/>
        </w:rPr>
        <w:t>招标人：厦门国贸物业管理有限公司</w:t>
      </w:r>
    </w:p>
    <w:p>
      <w:pPr>
        <w:spacing w:line="360" w:lineRule="auto"/>
        <w:jc w:val="center"/>
        <w:rPr>
          <w:rFonts w:ascii="宋体" w:hAnsi="宋体"/>
          <w:b/>
          <w:sz w:val="32"/>
        </w:rPr>
      </w:pPr>
    </w:p>
    <w:p>
      <w:pPr>
        <w:spacing w:line="360" w:lineRule="auto"/>
        <w:jc w:val="center"/>
        <w:rPr>
          <w:rFonts w:ascii="宋体" w:hAnsi="宋体"/>
          <w:color w:val="000000" w:themeColor="text1"/>
          <w:szCs w:val="21"/>
        </w:rPr>
      </w:pPr>
      <w:r>
        <w:rPr>
          <w:rFonts w:hint="eastAsia" w:ascii="宋体" w:hAnsi="宋体"/>
          <w:b/>
          <w:color w:val="000000" w:themeColor="text1"/>
          <w:sz w:val="36"/>
          <w:szCs w:val="36"/>
        </w:rPr>
        <w:t>2019年10月</w:t>
      </w:r>
    </w:p>
    <w:p>
      <w:pPr>
        <w:spacing w:line="360" w:lineRule="auto"/>
        <w:jc w:val="center"/>
        <w:rPr>
          <w:rFonts w:ascii="宋体" w:hAnsi="宋体"/>
          <w:szCs w:val="21"/>
        </w:rPr>
      </w:pPr>
      <w:r>
        <w:rPr>
          <w:rFonts w:hint="eastAsia" w:ascii="宋体" w:hAnsi="宋体"/>
          <w:szCs w:val="21"/>
        </w:rPr>
        <w:br w:type="page"/>
      </w:r>
    </w:p>
    <w:p>
      <w:pPr>
        <w:spacing w:line="360" w:lineRule="auto"/>
        <w:jc w:val="center"/>
        <w:rPr>
          <w:rFonts w:ascii="宋体" w:hAnsi="宋体"/>
          <w:b/>
          <w:sz w:val="44"/>
          <w:szCs w:val="44"/>
        </w:rPr>
      </w:pPr>
      <w:r>
        <w:rPr>
          <w:rFonts w:hint="eastAsia" w:ascii="宋体" w:hAnsi="宋体"/>
          <w:b/>
          <w:sz w:val="44"/>
          <w:szCs w:val="44"/>
        </w:rPr>
        <w:t>目     录</w:t>
      </w:r>
    </w:p>
    <w:p>
      <w:pPr>
        <w:spacing w:line="360" w:lineRule="auto"/>
        <w:rPr>
          <w:rFonts w:ascii="宋体" w:hAnsi="宋体"/>
          <w:b/>
          <w:sz w:val="32"/>
          <w:szCs w:val="32"/>
        </w:rPr>
      </w:pPr>
    </w:p>
    <w:p>
      <w:pPr>
        <w:numPr>
          <w:ilvl w:val="0"/>
          <w:numId w:val="2"/>
        </w:numPr>
        <w:spacing w:line="480" w:lineRule="auto"/>
        <w:rPr>
          <w:sz w:val="28"/>
          <w:szCs w:val="28"/>
        </w:rPr>
      </w:pPr>
      <w:bookmarkStart w:id="0" w:name="_Toc229301213"/>
      <w:r>
        <w:rPr>
          <w:rFonts w:hint="eastAsia"/>
          <w:sz w:val="28"/>
          <w:szCs w:val="28"/>
        </w:rPr>
        <w:t xml:space="preserve"> 招标公告</w:t>
      </w:r>
      <w:r>
        <w:rPr>
          <w:rFonts w:hint="eastAsia" w:ascii="宋体" w:hAnsi="宋体"/>
          <w:sz w:val="28"/>
          <w:szCs w:val="28"/>
        </w:rPr>
        <w:t>…………………………………………………………4</w:t>
      </w:r>
    </w:p>
    <w:p>
      <w:pPr>
        <w:spacing w:line="480" w:lineRule="auto"/>
        <w:ind w:firstLine="420"/>
        <w:rPr>
          <w:sz w:val="28"/>
          <w:szCs w:val="28"/>
        </w:rPr>
      </w:pPr>
      <w:r>
        <w:rPr>
          <w:rFonts w:hint="eastAsia"/>
          <w:sz w:val="28"/>
          <w:szCs w:val="28"/>
        </w:rPr>
        <w:t>一、投标须知前附表</w:t>
      </w:r>
      <w:r>
        <w:rPr>
          <w:rFonts w:hint="eastAsia" w:ascii="宋体" w:hAnsi="宋体"/>
          <w:sz w:val="28"/>
          <w:szCs w:val="28"/>
        </w:rPr>
        <w:t>…………………………………………………5</w:t>
      </w:r>
    </w:p>
    <w:p>
      <w:pPr>
        <w:spacing w:line="480" w:lineRule="auto"/>
        <w:ind w:firstLine="420"/>
        <w:rPr>
          <w:sz w:val="28"/>
          <w:szCs w:val="28"/>
        </w:rPr>
      </w:pPr>
      <w:r>
        <w:rPr>
          <w:rFonts w:hint="eastAsia"/>
          <w:sz w:val="28"/>
          <w:szCs w:val="28"/>
        </w:rPr>
        <w:t>二、标的说明</w:t>
      </w:r>
      <w:r>
        <w:rPr>
          <w:rFonts w:hint="eastAsia" w:ascii="宋体" w:hAnsi="宋体"/>
          <w:sz w:val="28"/>
          <w:szCs w:val="28"/>
        </w:rPr>
        <w:t>…………………………………………………………7</w:t>
      </w:r>
    </w:p>
    <w:p>
      <w:pPr>
        <w:spacing w:line="480" w:lineRule="auto"/>
        <w:ind w:firstLine="420"/>
        <w:rPr>
          <w:sz w:val="28"/>
          <w:szCs w:val="28"/>
        </w:rPr>
      </w:pPr>
      <w:r>
        <w:rPr>
          <w:rFonts w:hint="eastAsia"/>
          <w:sz w:val="28"/>
          <w:szCs w:val="28"/>
        </w:rPr>
        <w:t>三、招标范围</w:t>
      </w:r>
      <w:r>
        <w:rPr>
          <w:rFonts w:hint="eastAsia" w:ascii="宋体" w:hAnsi="宋体"/>
          <w:sz w:val="28"/>
          <w:szCs w:val="28"/>
        </w:rPr>
        <w:t>…………………………………………………………7</w:t>
      </w:r>
    </w:p>
    <w:p>
      <w:pPr>
        <w:spacing w:line="480" w:lineRule="auto"/>
        <w:ind w:firstLine="420"/>
        <w:rPr>
          <w:sz w:val="28"/>
          <w:szCs w:val="28"/>
        </w:rPr>
      </w:pPr>
      <w:r>
        <w:rPr>
          <w:rFonts w:hint="eastAsia"/>
          <w:sz w:val="28"/>
          <w:szCs w:val="28"/>
        </w:rPr>
        <w:t>四、服务要求</w:t>
      </w:r>
      <w:r>
        <w:rPr>
          <w:rFonts w:hint="eastAsia" w:ascii="宋体" w:hAnsi="宋体"/>
          <w:sz w:val="28"/>
          <w:szCs w:val="28"/>
        </w:rPr>
        <w:t>…………………………………………………………9</w:t>
      </w:r>
    </w:p>
    <w:p>
      <w:pPr>
        <w:spacing w:line="480" w:lineRule="auto"/>
        <w:ind w:firstLine="420"/>
        <w:rPr>
          <w:sz w:val="28"/>
          <w:szCs w:val="28"/>
        </w:rPr>
      </w:pPr>
      <w:r>
        <w:rPr>
          <w:rFonts w:hint="eastAsia" w:ascii="宋体" w:hAnsi="宋体"/>
          <w:sz w:val="28"/>
          <w:szCs w:val="28"/>
        </w:rPr>
        <w:t>五、投标人资格要求…………………………………………………9</w:t>
      </w:r>
    </w:p>
    <w:p>
      <w:pPr>
        <w:spacing w:line="480" w:lineRule="auto"/>
        <w:ind w:firstLine="420"/>
        <w:rPr>
          <w:sz w:val="28"/>
          <w:szCs w:val="28"/>
        </w:rPr>
      </w:pPr>
      <w:r>
        <w:rPr>
          <w:rFonts w:hint="eastAsia" w:ascii="宋体" w:hAnsi="宋体"/>
          <w:sz w:val="28"/>
          <w:szCs w:val="28"/>
        </w:rPr>
        <w:t>六、投标人需提交的文件……………………………………………9</w:t>
      </w:r>
    </w:p>
    <w:p>
      <w:pPr>
        <w:spacing w:line="480" w:lineRule="auto"/>
        <w:ind w:firstLine="420"/>
        <w:rPr>
          <w:b/>
          <w:sz w:val="28"/>
          <w:szCs w:val="28"/>
        </w:rPr>
      </w:pPr>
      <w:r>
        <w:rPr>
          <w:rFonts w:hint="eastAsia" w:ascii="宋体" w:hAnsi="宋体"/>
          <w:sz w:val="28"/>
          <w:szCs w:val="28"/>
        </w:rPr>
        <w:t>七、特殊说明…………………………………………………………11</w:t>
      </w:r>
    </w:p>
    <w:p>
      <w:pPr>
        <w:spacing w:line="480" w:lineRule="auto"/>
        <w:jc w:val="left"/>
        <w:rPr>
          <w:rFonts w:ascii="宋体" w:hAnsi="宋体"/>
          <w:sz w:val="28"/>
          <w:szCs w:val="28"/>
        </w:rPr>
      </w:pPr>
      <w:r>
        <w:rPr>
          <w:rFonts w:hint="eastAsia"/>
          <w:sz w:val="28"/>
          <w:szCs w:val="28"/>
        </w:rPr>
        <w:t>第二章 评标原则</w:t>
      </w:r>
      <w:r>
        <w:rPr>
          <w:rFonts w:hint="eastAsia" w:ascii="宋体" w:hAnsi="宋体"/>
          <w:sz w:val="28"/>
          <w:szCs w:val="28"/>
        </w:rPr>
        <w:t>…………………………………………………………12</w:t>
      </w:r>
    </w:p>
    <w:p>
      <w:pPr>
        <w:spacing w:line="480" w:lineRule="auto"/>
        <w:jc w:val="left"/>
        <w:rPr>
          <w:rFonts w:ascii="宋体" w:hAnsi="宋体"/>
          <w:sz w:val="28"/>
          <w:szCs w:val="28"/>
        </w:rPr>
      </w:pPr>
      <w:r>
        <w:rPr>
          <w:rFonts w:hint="eastAsia" w:ascii="宋体" w:hAnsi="宋体"/>
          <w:sz w:val="28"/>
          <w:szCs w:val="28"/>
        </w:rPr>
        <w:tab/>
      </w:r>
      <w:r>
        <w:rPr>
          <w:rFonts w:hint="eastAsia" w:ascii="宋体" w:hAnsi="宋体"/>
          <w:sz w:val="28"/>
          <w:szCs w:val="28"/>
        </w:rPr>
        <w:t>一、开标………………………………………………………………12</w:t>
      </w:r>
    </w:p>
    <w:p>
      <w:pPr>
        <w:spacing w:line="480" w:lineRule="auto"/>
        <w:jc w:val="left"/>
        <w:rPr>
          <w:rFonts w:ascii="宋体" w:hAnsi="宋体"/>
          <w:sz w:val="28"/>
          <w:szCs w:val="28"/>
        </w:rPr>
      </w:pPr>
      <w:r>
        <w:rPr>
          <w:rFonts w:hint="eastAsia" w:ascii="宋体" w:hAnsi="宋体"/>
          <w:sz w:val="28"/>
          <w:szCs w:val="28"/>
        </w:rPr>
        <w:tab/>
      </w:r>
      <w:r>
        <w:rPr>
          <w:rFonts w:hint="eastAsia" w:ascii="宋体" w:hAnsi="宋体"/>
          <w:sz w:val="28"/>
          <w:szCs w:val="28"/>
        </w:rPr>
        <w:t>二、资格审查…………………………………………………………13</w:t>
      </w:r>
    </w:p>
    <w:p>
      <w:pPr>
        <w:spacing w:line="480" w:lineRule="auto"/>
        <w:jc w:val="left"/>
        <w:rPr>
          <w:rFonts w:ascii="宋体" w:hAnsi="宋体"/>
          <w:sz w:val="28"/>
          <w:szCs w:val="28"/>
        </w:rPr>
      </w:pPr>
      <w:r>
        <w:rPr>
          <w:rFonts w:hint="eastAsia" w:ascii="宋体" w:hAnsi="宋体"/>
          <w:sz w:val="28"/>
          <w:szCs w:val="28"/>
        </w:rPr>
        <w:tab/>
      </w:r>
      <w:r>
        <w:rPr>
          <w:rFonts w:hint="eastAsia" w:ascii="宋体" w:hAnsi="宋体"/>
          <w:sz w:val="28"/>
          <w:szCs w:val="28"/>
        </w:rPr>
        <w:t>三、评标………………………………………………………………17</w:t>
      </w:r>
    </w:p>
    <w:p>
      <w:pPr>
        <w:spacing w:line="480" w:lineRule="auto"/>
        <w:jc w:val="left"/>
        <w:rPr>
          <w:rFonts w:ascii="宋体" w:hAnsi="宋体"/>
          <w:sz w:val="28"/>
          <w:szCs w:val="28"/>
        </w:rPr>
      </w:pPr>
      <w:r>
        <w:rPr>
          <w:rFonts w:hint="eastAsia"/>
          <w:sz w:val="28"/>
          <w:szCs w:val="28"/>
        </w:rPr>
        <w:t>第三章 中标事项</w:t>
      </w:r>
      <w:r>
        <w:rPr>
          <w:rFonts w:hint="eastAsia" w:ascii="宋体" w:hAnsi="宋体"/>
          <w:sz w:val="28"/>
          <w:szCs w:val="28"/>
        </w:rPr>
        <w:t>…………………………………………………………22</w:t>
      </w:r>
    </w:p>
    <w:p>
      <w:pPr>
        <w:spacing w:line="480" w:lineRule="auto"/>
        <w:jc w:val="left"/>
        <w:rPr>
          <w:rFonts w:ascii="宋体" w:hAnsi="宋体"/>
          <w:sz w:val="28"/>
          <w:szCs w:val="28"/>
        </w:rPr>
      </w:pPr>
      <w:r>
        <w:rPr>
          <w:rFonts w:hint="eastAsia" w:ascii="宋体" w:hAnsi="宋体"/>
          <w:sz w:val="28"/>
          <w:szCs w:val="28"/>
        </w:rPr>
        <w:tab/>
      </w:r>
      <w:r>
        <w:rPr>
          <w:rFonts w:hint="eastAsia" w:ascii="宋体" w:hAnsi="宋体"/>
          <w:sz w:val="28"/>
          <w:szCs w:val="28"/>
        </w:rPr>
        <w:t>一、中标候选人………………………………………………………22</w:t>
      </w:r>
    </w:p>
    <w:p>
      <w:pPr>
        <w:spacing w:line="480" w:lineRule="auto"/>
        <w:jc w:val="left"/>
        <w:rPr>
          <w:rFonts w:ascii="宋体" w:hAnsi="宋体"/>
          <w:sz w:val="28"/>
          <w:szCs w:val="28"/>
        </w:rPr>
      </w:pPr>
      <w:r>
        <w:rPr>
          <w:rFonts w:hint="eastAsia" w:ascii="宋体" w:hAnsi="宋体"/>
          <w:sz w:val="28"/>
          <w:szCs w:val="28"/>
        </w:rPr>
        <w:tab/>
      </w:r>
      <w:r>
        <w:rPr>
          <w:rFonts w:hint="eastAsia" w:ascii="宋体" w:hAnsi="宋体"/>
          <w:sz w:val="28"/>
          <w:szCs w:val="28"/>
        </w:rPr>
        <w:t>二、中标公告…………………………………………………………22</w:t>
      </w:r>
    </w:p>
    <w:p>
      <w:pPr>
        <w:spacing w:line="480" w:lineRule="auto"/>
        <w:jc w:val="left"/>
        <w:rPr>
          <w:rFonts w:ascii="宋体" w:hAnsi="宋体"/>
          <w:sz w:val="28"/>
          <w:szCs w:val="28"/>
        </w:rPr>
      </w:pPr>
      <w:r>
        <w:rPr>
          <w:rFonts w:hint="eastAsia" w:ascii="宋体" w:hAnsi="宋体"/>
          <w:sz w:val="28"/>
          <w:szCs w:val="28"/>
        </w:rPr>
        <w:tab/>
      </w:r>
      <w:r>
        <w:rPr>
          <w:rFonts w:hint="eastAsia" w:ascii="宋体" w:hAnsi="宋体"/>
          <w:sz w:val="28"/>
          <w:szCs w:val="28"/>
        </w:rPr>
        <w:t>三、中标通知书………………………………………………………22</w:t>
      </w:r>
    </w:p>
    <w:p>
      <w:pPr>
        <w:spacing w:line="480" w:lineRule="auto"/>
        <w:jc w:val="left"/>
        <w:rPr>
          <w:rFonts w:ascii="宋体" w:hAnsi="宋体"/>
          <w:sz w:val="28"/>
          <w:szCs w:val="28"/>
        </w:rPr>
      </w:pPr>
      <w:r>
        <w:rPr>
          <w:rFonts w:hint="eastAsia"/>
          <w:sz w:val="28"/>
          <w:szCs w:val="28"/>
        </w:rPr>
        <w:t>第四章 合同授予</w:t>
      </w:r>
      <w:r>
        <w:rPr>
          <w:rFonts w:hint="eastAsia" w:ascii="宋体" w:hAnsi="宋体"/>
          <w:sz w:val="28"/>
          <w:szCs w:val="28"/>
        </w:rPr>
        <w:t>…………………………………………………………22</w:t>
      </w:r>
    </w:p>
    <w:p>
      <w:pPr>
        <w:spacing w:line="480" w:lineRule="auto"/>
        <w:jc w:val="left"/>
        <w:rPr>
          <w:rFonts w:ascii="宋体" w:hAnsi="宋体"/>
          <w:sz w:val="28"/>
          <w:szCs w:val="28"/>
        </w:rPr>
      </w:pPr>
      <w:r>
        <w:rPr>
          <w:rFonts w:hint="eastAsia" w:ascii="宋体" w:hAnsi="宋体"/>
          <w:sz w:val="28"/>
          <w:szCs w:val="28"/>
        </w:rPr>
        <w:tab/>
      </w:r>
      <w:r>
        <w:rPr>
          <w:rFonts w:hint="eastAsia" w:ascii="宋体" w:hAnsi="宋体"/>
          <w:sz w:val="28"/>
          <w:szCs w:val="28"/>
        </w:rPr>
        <w:t>一、合同授予条件……………………………………………………22</w:t>
      </w:r>
    </w:p>
    <w:p>
      <w:pPr>
        <w:spacing w:line="480" w:lineRule="auto"/>
        <w:jc w:val="left"/>
        <w:rPr>
          <w:rFonts w:ascii="宋体" w:hAnsi="宋体"/>
          <w:sz w:val="28"/>
          <w:szCs w:val="28"/>
        </w:rPr>
      </w:pPr>
    </w:p>
    <w:p>
      <w:pPr>
        <w:spacing w:line="480" w:lineRule="auto"/>
        <w:jc w:val="left"/>
        <w:rPr>
          <w:rFonts w:ascii="宋体" w:hAnsi="宋体"/>
          <w:sz w:val="28"/>
          <w:szCs w:val="28"/>
        </w:rPr>
      </w:pPr>
      <w:r>
        <w:rPr>
          <w:rFonts w:hint="eastAsia" w:ascii="宋体" w:hAnsi="宋体"/>
          <w:sz w:val="28"/>
          <w:szCs w:val="28"/>
        </w:rPr>
        <w:tab/>
      </w:r>
      <w:r>
        <w:rPr>
          <w:rFonts w:hint="eastAsia" w:ascii="宋体" w:hAnsi="宋体"/>
          <w:sz w:val="28"/>
          <w:szCs w:val="28"/>
        </w:rPr>
        <w:t>二、招标人接受或拒绝任何或所有投标的权力……………………22</w:t>
      </w:r>
    </w:p>
    <w:p>
      <w:pPr>
        <w:spacing w:line="480" w:lineRule="auto"/>
        <w:jc w:val="left"/>
        <w:rPr>
          <w:sz w:val="28"/>
          <w:szCs w:val="28"/>
        </w:rPr>
      </w:pPr>
      <w:r>
        <w:rPr>
          <w:rFonts w:hint="eastAsia"/>
          <w:sz w:val="28"/>
          <w:szCs w:val="28"/>
        </w:rPr>
        <w:tab/>
      </w:r>
      <w:r>
        <w:rPr>
          <w:rFonts w:hint="eastAsia"/>
          <w:sz w:val="28"/>
          <w:szCs w:val="28"/>
        </w:rPr>
        <w:t>三、不平衡报价的调整</w:t>
      </w:r>
      <w:r>
        <w:rPr>
          <w:rFonts w:hint="eastAsia" w:ascii="宋体" w:hAnsi="宋体"/>
          <w:sz w:val="28"/>
          <w:szCs w:val="28"/>
        </w:rPr>
        <w:t>………………………………………………22</w:t>
      </w:r>
    </w:p>
    <w:p>
      <w:pPr>
        <w:spacing w:line="480" w:lineRule="auto"/>
        <w:jc w:val="left"/>
        <w:rPr>
          <w:sz w:val="28"/>
          <w:szCs w:val="28"/>
        </w:rPr>
      </w:pPr>
      <w:r>
        <w:rPr>
          <w:rFonts w:hint="eastAsia"/>
          <w:sz w:val="28"/>
          <w:szCs w:val="28"/>
        </w:rPr>
        <w:tab/>
      </w:r>
      <w:r>
        <w:rPr>
          <w:rFonts w:hint="eastAsia"/>
          <w:sz w:val="28"/>
          <w:szCs w:val="28"/>
        </w:rPr>
        <w:t>四、中标合同签订</w:t>
      </w:r>
      <w:r>
        <w:rPr>
          <w:rFonts w:hint="eastAsia" w:ascii="宋体" w:hAnsi="宋体"/>
          <w:sz w:val="28"/>
          <w:szCs w:val="28"/>
        </w:rPr>
        <w:t>……………………………………………………22</w:t>
      </w:r>
    </w:p>
    <w:p>
      <w:pPr>
        <w:spacing w:line="480" w:lineRule="auto"/>
        <w:rPr>
          <w:rFonts w:ascii="宋体" w:hAnsi="宋体"/>
          <w:sz w:val="28"/>
          <w:szCs w:val="28"/>
        </w:rPr>
      </w:pPr>
      <w:r>
        <w:rPr>
          <w:rFonts w:hint="eastAsia"/>
          <w:sz w:val="28"/>
          <w:szCs w:val="28"/>
        </w:rPr>
        <w:t>第五章 投标文件及附件要求</w:t>
      </w:r>
      <w:r>
        <w:rPr>
          <w:rFonts w:hint="eastAsia" w:ascii="宋体" w:hAnsi="宋体"/>
          <w:sz w:val="28"/>
          <w:szCs w:val="28"/>
        </w:rPr>
        <w:t>……………………………………………23</w:t>
      </w:r>
    </w:p>
    <w:p>
      <w:pPr>
        <w:spacing w:line="480" w:lineRule="auto"/>
        <w:rPr>
          <w:rFonts w:ascii="宋体" w:hAnsi="宋体"/>
          <w:sz w:val="28"/>
          <w:szCs w:val="28"/>
        </w:rPr>
      </w:pPr>
      <w:r>
        <w:rPr>
          <w:rFonts w:hint="eastAsia" w:ascii="宋体" w:hAnsi="宋体"/>
          <w:sz w:val="28"/>
          <w:szCs w:val="28"/>
        </w:rPr>
        <w:tab/>
      </w:r>
      <w:r>
        <w:rPr>
          <w:rFonts w:hint="eastAsia" w:ascii="宋体" w:hAnsi="宋体"/>
          <w:sz w:val="28"/>
          <w:szCs w:val="28"/>
        </w:rPr>
        <w:t>一、投标文件编制要求………………………………………………23</w:t>
      </w:r>
    </w:p>
    <w:p>
      <w:pPr>
        <w:spacing w:line="480" w:lineRule="auto"/>
        <w:rPr>
          <w:rFonts w:ascii="宋体" w:hAnsi="宋体"/>
          <w:sz w:val="28"/>
          <w:szCs w:val="28"/>
        </w:rPr>
      </w:pPr>
      <w:r>
        <w:rPr>
          <w:rFonts w:hint="eastAsia" w:ascii="宋体" w:hAnsi="宋体"/>
          <w:sz w:val="28"/>
          <w:szCs w:val="28"/>
        </w:rPr>
        <w:tab/>
      </w:r>
      <w:r>
        <w:rPr>
          <w:rFonts w:hint="eastAsia" w:ascii="宋体" w:hAnsi="宋体"/>
          <w:sz w:val="28"/>
          <w:szCs w:val="28"/>
        </w:rPr>
        <w:t>二、投标文件报价要求………………………………………………23</w:t>
      </w:r>
    </w:p>
    <w:p>
      <w:pPr>
        <w:spacing w:line="480" w:lineRule="auto"/>
        <w:rPr>
          <w:rFonts w:ascii="宋体" w:hAnsi="宋体"/>
          <w:sz w:val="28"/>
          <w:szCs w:val="28"/>
        </w:rPr>
      </w:pPr>
      <w:r>
        <w:rPr>
          <w:rFonts w:hint="eastAsia" w:ascii="宋体" w:hAnsi="宋体"/>
          <w:sz w:val="28"/>
          <w:szCs w:val="28"/>
        </w:rPr>
        <w:tab/>
      </w:r>
      <w:r>
        <w:rPr>
          <w:rFonts w:hint="eastAsia" w:ascii="宋体" w:hAnsi="宋体"/>
          <w:sz w:val="28"/>
          <w:szCs w:val="28"/>
        </w:rPr>
        <w:t>三、投标文件封面及附件要求………………………………………23</w:t>
      </w:r>
    </w:p>
    <w:p>
      <w:pPr>
        <w:spacing w:line="480" w:lineRule="auto"/>
        <w:rPr>
          <w:sz w:val="28"/>
          <w:szCs w:val="28"/>
        </w:rPr>
      </w:pPr>
      <w:r>
        <w:rPr>
          <w:rFonts w:hint="eastAsia"/>
          <w:sz w:val="28"/>
          <w:szCs w:val="28"/>
        </w:rPr>
        <w:t>第六章 拟签合同版本</w:t>
      </w:r>
      <w:r>
        <w:rPr>
          <w:rFonts w:hint="eastAsia" w:ascii="宋体" w:hAnsi="宋体"/>
          <w:sz w:val="28"/>
          <w:szCs w:val="28"/>
        </w:rPr>
        <w:t>……………………………………………………32</w:t>
      </w:r>
    </w:p>
    <w:bookmarkEnd w:id="0"/>
    <w:p>
      <w:pPr>
        <w:pageBreakBefore/>
        <w:spacing w:line="360" w:lineRule="auto"/>
        <w:jc w:val="center"/>
        <w:rPr>
          <w:rFonts w:ascii="宋体" w:hAnsi="宋体"/>
          <w:b/>
          <w:sz w:val="32"/>
          <w:szCs w:val="32"/>
        </w:rPr>
      </w:pPr>
      <w:bookmarkStart w:id="1" w:name="_Toc229301215"/>
      <w:bookmarkStart w:id="2" w:name="_Toc291687998"/>
      <w:r>
        <w:rPr>
          <w:rFonts w:hint="eastAsia" w:ascii="宋体" w:hAnsi="宋体"/>
          <w:b/>
          <w:sz w:val="32"/>
          <w:szCs w:val="32"/>
        </w:rPr>
        <w:t>第一章  招标公告</w:t>
      </w:r>
    </w:p>
    <w:p>
      <w:pPr>
        <w:spacing w:line="360" w:lineRule="auto"/>
        <w:rPr>
          <w:b/>
          <w:color w:val="000000"/>
          <w:sz w:val="24"/>
        </w:rPr>
      </w:pPr>
    </w:p>
    <w:p>
      <w:pPr>
        <w:spacing w:line="600" w:lineRule="exact"/>
        <w:ind w:firstLine="480" w:firstLineChars="200"/>
        <w:rPr>
          <w:rFonts w:ascii="宋体" w:hAnsi="宋体" w:cs="Arial"/>
          <w:color w:val="000000"/>
          <w:sz w:val="24"/>
        </w:rPr>
      </w:pPr>
      <w:r>
        <w:rPr>
          <w:rFonts w:hint="eastAsia" w:ascii="宋体" w:hAnsi="宋体" w:cs="Arial"/>
          <w:color w:val="000000"/>
          <w:sz w:val="24"/>
        </w:rPr>
        <w:t>厦门国贸物业管理有限公司为保障大楼各项设施设备满足总部型甲级写字楼高品质、特殊性需求，同时为项目资本性投入、资产优化提供决策依据，现</w:t>
      </w:r>
      <w:r>
        <w:rPr>
          <w:rFonts w:hint="eastAsia" w:ascii="宋体" w:hAnsi="宋体"/>
          <w:sz w:val="24"/>
        </w:rPr>
        <w:t>通过公开招标，引入第三方专业机构对国贸中心现有工程设施设备进行专项评估，即对在营的国贸中心项目工程设施设备进行全面功能、性能、安全等级进行评估检查，找出设施设备可能存在的问题，分析问题的原因并进行风险评估，提出整改建议方案，</w:t>
      </w:r>
      <w:r>
        <w:rPr>
          <w:rFonts w:hint="eastAsia" w:ascii="宋体" w:hAnsi="宋体" w:cs="Arial"/>
          <w:color w:val="000000"/>
          <w:sz w:val="24"/>
        </w:rPr>
        <w:t>欢迎符合资格、专业的公司参加投标。</w:t>
      </w:r>
    </w:p>
    <w:p>
      <w:pPr>
        <w:spacing w:line="600" w:lineRule="exact"/>
        <w:ind w:firstLine="480" w:firstLineChars="200"/>
        <w:rPr>
          <w:rFonts w:ascii="宋体" w:hAnsi="宋体" w:cs="Arial"/>
          <w:color w:val="000000" w:themeColor="text1"/>
          <w:sz w:val="24"/>
        </w:rPr>
      </w:pPr>
      <w:r>
        <w:rPr>
          <w:rFonts w:hint="eastAsia" w:ascii="宋体" w:hAnsi="宋体" w:cs="Arial"/>
          <w:color w:val="000000"/>
          <w:sz w:val="24"/>
        </w:rPr>
        <w:t>若有意参加此次招标，请自行在本网站</w:t>
      </w:r>
      <w:r>
        <w:rPr>
          <w:rFonts w:ascii="宋体" w:hAnsi="宋体" w:cs="Arial"/>
          <w:color w:val="000000"/>
          <w:sz w:val="24"/>
        </w:rPr>
        <w:t>下载</w:t>
      </w:r>
      <w:r>
        <w:rPr>
          <w:rFonts w:hint="eastAsia" w:ascii="宋体" w:hAnsi="宋体" w:cs="Arial"/>
          <w:color w:val="000000"/>
          <w:sz w:val="24"/>
        </w:rPr>
        <w:t>招标文件，此次招标的截标时间</w:t>
      </w:r>
      <w:r>
        <w:rPr>
          <w:rFonts w:hint="eastAsia" w:ascii="宋体" w:hAnsi="宋体" w:cs="Arial"/>
          <w:color w:val="000000"/>
          <w:sz w:val="24"/>
          <w:highlight w:val="none"/>
          <w:u w:val="none"/>
        </w:rPr>
        <w:t>为 2019 年</w:t>
      </w:r>
      <w:r>
        <w:rPr>
          <w:rFonts w:hint="eastAsia" w:ascii="宋体" w:hAnsi="宋体" w:cs="Arial"/>
          <w:color w:val="000000"/>
          <w:sz w:val="24"/>
          <w:highlight w:val="none"/>
          <w:u w:val="none"/>
          <w:lang w:val="en-US" w:eastAsia="zh-CN"/>
        </w:rPr>
        <w:t>10</w:t>
      </w:r>
      <w:r>
        <w:rPr>
          <w:rFonts w:hint="eastAsia" w:ascii="宋体" w:hAnsi="宋体" w:cs="Arial"/>
          <w:color w:val="000000"/>
          <w:sz w:val="24"/>
          <w:highlight w:val="none"/>
          <w:u w:val="none"/>
        </w:rPr>
        <w:t>月</w:t>
      </w:r>
      <w:r>
        <w:rPr>
          <w:rFonts w:hint="eastAsia" w:ascii="宋体" w:hAnsi="宋体" w:cs="Arial"/>
          <w:color w:val="000000"/>
          <w:sz w:val="24"/>
          <w:highlight w:val="none"/>
          <w:u w:val="none"/>
          <w:lang w:val="en-US" w:eastAsia="zh-CN"/>
        </w:rPr>
        <w:t>28</w:t>
      </w:r>
      <w:r>
        <w:rPr>
          <w:rFonts w:hint="eastAsia" w:ascii="宋体" w:hAnsi="宋体" w:cs="Arial"/>
          <w:color w:val="000000"/>
          <w:sz w:val="24"/>
          <w:highlight w:val="none"/>
          <w:u w:val="none"/>
        </w:rPr>
        <w:t>日17时30分，投标人需在2019年</w:t>
      </w:r>
      <w:r>
        <w:rPr>
          <w:rFonts w:hint="eastAsia" w:ascii="宋体" w:hAnsi="宋体" w:cs="Arial"/>
          <w:color w:val="000000"/>
          <w:sz w:val="24"/>
          <w:highlight w:val="none"/>
          <w:u w:val="none"/>
          <w:lang w:val="en-US" w:eastAsia="zh-CN"/>
        </w:rPr>
        <w:t>10</w:t>
      </w:r>
      <w:r>
        <w:rPr>
          <w:rFonts w:hint="eastAsia" w:ascii="宋体" w:hAnsi="宋体" w:cs="Arial"/>
          <w:color w:val="000000"/>
          <w:sz w:val="24"/>
          <w:highlight w:val="none"/>
          <w:u w:val="none"/>
        </w:rPr>
        <w:t>月</w:t>
      </w:r>
      <w:r>
        <w:rPr>
          <w:rFonts w:hint="eastAsia" w:ascii="宋体" w:hAnsi="宋体" w:cs="Arial"/>
          <w:color w:val="000000"/>
          <w:sz w:val="24"/>
          <w:highlight w:val="none"/>
          <w:u w:val="none"/>
          <w:lang w:val="en-US" w:eastAsia="zh-CN"/>
        </w:rPr>
        <w:t>28</w:t>
      </w:r>
      <w:r>
        <w:rPr>
          <w:rFonts w:hint="eastAsia" w:ascii="宋体" w:hAnsi="宋体" w:cs="Arial"/>
          <w:color w:val="000000"/>
          <w:sz w:val="24"/>
          <w:highlight w:val="none"/>
          <w:u w:val="none"/>
        </w:rPr>
        <w:t>日</w:t>
      </w:r>
      <w:r>
        <w:rPr>
          <w:rFonts w:hint="eastAsia" w:ascii="宋体" w:hAnsi="宋体" w:cs="Arial"/>
          <w:color w:val="000000"/>
          <w:sz w:val="24"/>
        </w:rPr>
        <w:t>17时30分前将投标材料一式两份（其中</w:t>
      </w:r>
      <w:r>
        <w:rPr>
          <w:rFonts w:hint="eastAsia" w:ascii="宋体" w:hAnsi="宋体" w:cs="Arial"/>
          <w:color w:val="000000" w:themeColor="text1"/>
          <w:sz w:val="24"/>
        </w:rPr>
        <w:t>正本一份，副本六份）提交到招标人处，在此时点之后送达的投标文件恕不接受。</w:t>
      </w:r>
    </w:p>
    <w:p>
      <w:pPr>
        <w:spacing w:line="600" w:lineRule="exact"/>
        <w:ind w:firstLine="480" w:firstLineChars="200"/>
        <w:rPr>
          <w:rFonts w:ascii="宋体" w:hAnsi="宋体" w:cs="Arial"/>
          <w:color w:val="000000"/>
          <w:sz w:val="24"/>
        </w:rPr>
      </w:pPr>
    </w:p>
    <w:p>
      <w:pPr>
        <w:spacing w:line="600" w:lineRule="exact"/>
        <w:ind w:firstLine="480" w:firstLineChars="200"/>
        <w:rPr>
          <w:rFonts w:ascii="宋体" w:hAnsi="宋体" w:cs="Arial"/>
          <w:color w:val="000000"/>
          <w:sz w:val="24"/>
        </w:rPr>
      </w:pPr>
      <w:r>
        <w:rPr>
          <w:rFonts w:hint="eastAsia" w:ascii="宋体" w:hAnsi="宋体" w:cs="Arial"/>
          <w:color w:val="000000"/>
          <w:sz w:val="24"/>
        </w:rPr>
        <w:t>招 标 人：厦门国贸物业管理有限公司</w:t>
      </w:r>
    </w:p>
    <w:p>
      <w:pPr>
        <w:spacing w:line="600" w:lineRule="exact"/>
        <w:ind w:firstLine="480" w:firstLineChars="200"/>
        <w:rPr>
          <w:rFonts w:ascii="宋体" w:hAnsi="宋体" w:cs="Arial"/>
          <w:color w:val="000000"/>
          <w:sz w:val="24"/>
        </w:rPr>
      </w:pPr>
      <w:r>
        <w:rPr>
          <w:rFonts w:hint="eastAsia" w:ascii="宋体" w:hAnsi="宋体" w:cs="Arial"/>
          <w:color w:val="000000"/>
          <w:sz w:val="24"/>
        </w:rPr>
        <w:t>联系地址：厦门市思明区体育路41号顺承大厦6楼</w:t>
      </w:r>
    </w:p>
    <w:p>
      <w:pPr>
        <w:spacing w:line="600" w:lineRule="exact"/>
        <w:ind w:firstLine="480" w:firstLineChars="200"/>
        <w:rPr>
          <w:rFonts w:ascii="宋体" w:hAnsi="宋体" w:cs="Arial"/>
          <w:color w:val="000000"/>
          <w:sz w:val="24"/>
        </w:rPr>
      </w:pPr>
      <w:r>
        <w:rPr>
          <w:rFonts w:hint="eastAsia" w:ascii="宋体" w:hAnsi="宋体" w:cs="Arial"/>
          <w:color w:val="000000"/>
          <w:sz w:val="24"/>
        </w:rPr>
        <w:t>联</w:t>
      </w:r>
      <w:r>
        <w:rPr>
          <w:rFonts w:ascii="宋体" w:hAnsi="宋体" w:cs="Arial"/>
          <w:color w:val="000000"/>
          <w:sz w:val="24"/>
        </w:rPr>
        <w:t xml:space="preserve"> </w:t>
      </w:r>
      <w:r>
        <w:rPr>
          <w:rFonts w:hint="eastAsia" w:ascii="宋体" w:hAnsi="宋体" w:cs="Arial"/>
          <w:color w:val="000000"/>
          <w:sz w:val="24"/>
        </w:rPr>
        <w:t>系</w:t>
      </w:r>
      <w:r>
        <w:rPr>
          <w:rFonts w:ascii="宋体" w:hAnsi="宋体" w:cs="Arial"/>
          <w:color w:val="000000"/>
          <w:sz w:val="24"/>
        </w:rPr>
        <w:t xml:space="preserve"> </w:t>
      </w:r>
      <w:r>
        <w:rPr>
          <w:rFonts w:hint="eastAsia" w:ascii="宋体" w:hAnsi="宋体" w:cs="Arial"/>
          <w:color w:val="000000"/>
          <w:sz w:val="24"/>
        </w:rPr>
        <w:t>人：王女士</w:t>
      </w:r>
    </w:p>
    <w:p>
      <w:pPr>
        <w:spacing w:line="600" w:lineRule="exact"/>
        <w:ind w:firstLine="480" w:firstLineChars="200"/>
        <w:rPr>
          <w:rFonts w:ascii="宋体" w:hAnsi="宋体" w:cs="Arial"/>
          <w:color w:val="000000"/>
          <w:sz w:val="24"/>
        </w:rPr>
      </w:pPr>
      <w:r>
        <w:rPr>
          <w:rFonts w:hint="eastAsia" w:ascii="宋体" w:hAnsi="宋体" w:cs="Arial"/>
          <w:color w:val="000000"/>
          <w:sz w:val="24"/>
        </w:rPr>
        <w:t>联系电话：0592-2990809</w:t>
      </w:r>
    </w:p>
    <w:p>
      <w:pPr>
        <w:spacing w:line="600" w:lineRule="exact"/>
        <w:ind w:firstLine="480" w:firstLineChars="200"/>
        <w:rPr>
          <w:rFonts w:ascii="宋体" w:hAnsi="宋体" w:cs="Arial"/>
          <w:color w:val="000000"/>
          <w:sz w:val="24"/>
        </w:rPr>
      </w:pPr>
      <w:r>
        <w:rPr>
          <w:rFonts w:hint="eastAsia" w:ascii="宋体" w:hAnsi="宋体" w:cs="Arial"/>
          <w:color w:val="000000"/>
          <w:sz w:val="24"/>
        </w:rPr>
        <w:t>传    真：0592-2990810</w:t>
      </w:r>
    </w:p>
    <w:p>
      <w:pPr>
        <w:spacing w:line="600" w:lineRule="exact"/>
        <w:ind w:firstLine="480" w:firstLineChars="200"/>
        <w:rPr>
          <w:rFonts w:ascii="宋体" w:hAnsi="宋体" w:cs="Arial"/>
          <w:color w:val="000000"/>
          <w:sz w:val="24"/>
        </w:rPr>
      </w:pPr>
      <w:r>
        <w:rPr>
          <w:rFonts w:hint="eastAsia" w:ascii="宋体" w:hAnsi="宋体" w:cs="Arial"/>
          <w:color w:val="000000"/>
          <w:sz w:val="24"/>
        </w:rPr>
        <w:t>账户名称：厦门国贸物业管理有限公司</w:t>
      </w:r>
    </w:p>
    <w:p>
      <w:pPr>
        <w:spacing w:line="600" w:lineRule="exact"/>
        <w:ind w:firstLine="480" w:firstLineChars="200"/>
        <w:rPr>
          <w:rFonts w:ascii="宋体" w:hAnsi="宋体" w:cs="Arial"/>
          <w:color w:val="000000"/>
          <w:sz w:val="24"/>
        </w:rPr>
      </w:pPr>
      <w:r>
        <w:rPr>
          <w:rFonts w:hint="eastAsia" w:ascii="宋体" w:hAnsi="宋体" w:cs="Arial"/>
          <w:color w:val="000000"/>
          <w:sz w:val="24"/>
        </w:rPr>
        <w:t>开户账号：35101551001050009378</w:t>
      </w:r>
    </w:p>
    <w:p>
      <w:pPr>
        <w:spacing w:line="600" w:lineRule="exact"/>
        <w:ind w:firstLine="480" w:firstLineChars="200"/>
        <w:rPr>
          <w:rFonts w:ascii="宋体" w:hAnsi="宋体" w:cs="Arial"/>
          <w:color w:val="000000"/>
          <w:sz w:val="24"/>
        </w:rPr>
      </w:pPr>
      <w:r>
        <w:rPr>
          <w:rFonts w:hint="eastAsia" w:ascii="宋体" w:hAnsi="宋体" w:cs="Arial"/>
          <w:color w:val="000000"/>
          <w:sz w:val="24"/>
        </w:rPr>
        <w:t xml:space="preserve">开户行：中国建设银行股份有限公司厦门湖滨支行                     </w:t>
      </w:r>
    </w:p>
    <w:p>
      <w:pPr>
        <w:spacing w:line="600" w:lineRule="exact"/>
        <w:ind w:firstLine="480" w:firstLineChars="200"/>
        <w:rPr>
          <w:rFonts w:ascii="宋体" w:hAnsi="宋体" w:cs="Arial"/>
          <w:color w:val="000000"/>
          <w:sz w:val="24"/>
        </w:rPr>
      </w:pPr>
    </w:p>
    <w:p>
      <w:pPr>
        <w:spacing w:line="600" w:lineRule="exact"/>
        <w:ind w:firstLine="3960" w:firstLineChars="1650"/>
        <w:rPr>
          <w:rFonts w:ascii="宋体" w:hAnsi="宋体" w:cs="Arial"/>
          <w:color w:val="000000"/>
          <w:sz w:val="24"/>
        </w:rPr>
      </w:pPr>
      <w:r>
        <w:rPr>
          <w:rFonts w:hint="eastAsia" w:ascii="宋体" w:hAnsi="宋体" w:cs="Arial"/>
          <w:color w:val="000000"/>
          <w:sz w:val="24"/>
        </w:rPr>
        <w:t>厦门国贸物业管理有限公司</w:t>
      </w:r>
    </w:p>
    <w:p>
      <w:pPr>
        <w:spacing w:line="600" w:lineRule="exact"/>
        <w:ind w:firstLine="4560" w:firstLineChars="1900"/>
        <w:rPr>
          <w:rFonts w:ascii="宋体" w:hAnsi="宋体" w:cs="Arial"/>
          <w:b/>
          <w:color w:val="000000"/>
          <w:sz w:val="24"/>
          <w:highlight w:val="none"/>
        </w:rPr>
      </w:pPr>
      <w:r>
        <w:rPr>
          <w:rFonts w:ascii="宋体" w:hAnsi="宋体" w:cs="Arial"/>
          <w:color w:val="000000"/>
          <w:sz w:val="24"/>
          <w:highlight w:val="none"/>
        </w:rPr>
        <w:t>2019年</w:t>
      </w:r>
      <w:r>
        <w:rPr>
          <w:rFonts w:hint="eastAsia" w:ascii="宋体" w:hAnsi="宋体" w:cs="Arial"/>
          <w:color w:val="000000"/>
          <w:sz w:val="24"/>
          <w:highlight w:val="none"/>
          <w:lang w:val="en-US" w:eastAsia="zh-CN"/>
        </w:rPr>
        <w:t>10</w:t>
      </w:r>
      <w:r>
        <w:rPr>
          <w:rFonts w:ascii="宋体" w:hAnsi="宋体" w:cs="Arial"/>
          <w:color w:val="000000"/>
          <w:sz w:val="24"/>
          <w:highlight w:val="none"/>
        </w:rPr>
        <w:t>月</w:t>
      </w:r>
      <w:r>
        <w:rPr>
          <w:rFonts w:hint="eastAsia" w:ascii="宋体" w:hAnsi="宋体" w:cs="Arial"/>
          <w:color w:val="000000"/>
          <w:sz w:val="24"/>
          <w:highlight w:val="none"/>
          <w:lang w:val="en-US" w:eastAsia="zh-CN"/>
        </w:rPr>
        <w:t>17</w:t>
      </w:r>
      <w:r>
        <w:rPr>
          <w:rFonts w:ascii="宋体" w:hAnsi="宋体" w:cs="Arial"/>
          <w:color w:val="000000"/>
          <w:sz w:val="24"/>
          <w:highlight w:val="none"/>
        </w:rPr>
        <w:t>日</w:t>
      </w:r>
      <w:bookmarkStart w:id="18" w:name="_GoBack"/>
      <w:bookmarkEnd w:id="18"/>
    </w:p>
    <w:p>
      <w:pPr>
        <w:spacing w:line="360" w:lineRule="auto"/>
        <w:rPr>
          <w:b/>
          <w:color w:val="000000"/>
          <w:sz w:val="24"/>
        </w:rPr>
      </w:pPr>
    </w:p>
    <w:p>
      <w:pPr>
        <w:spacing w:line="360" w:lineRule="auto"/>
        <w:rPr>
          <w:b/>
          <w:color w:val="000000"/>
          <w:sz w:val="24"/>
        </w:rPr>
      </w:pPr>
    </w:p>
    <w:p>
      <w:pPr>
        <w:spacing w:line="360" w:lineRule="auto"/>
        <w:rPr>
          <w:b/>
          <w:color w:val="000000"/>
          <w:sz w:val="24"/>
        </w:rPr>
      </w:pPr>
      <w:r>
        <w:rPr>
          <w:rFonts w:hint="eastAsia"/>
          <w:b/>
          <w:color w:val="000000"/>
          <w:sz w:val="24"/>
        </w:rPr>
        <w:t>一、投标须知前附表</w:t>
      </w:r>
    </w:p>
    <w:tbl>
      <w:tblPr>
        <w:tblStyle w:val="36"/>
        <w:tblW w:w="9555" w:type="dxa"/>
        <w:tblInd w:w="93" w:type="dxa"/>
        <w:tblLayout w:type="fixed"/>
        <w:tblCellMar>
          <w:top w:w="0" w:type="dxa"/>
          <w:left w:w="108" w:type="dxa"/>
          <w:bottom w:w="0" w:type="dxa"/>
          <w:right w:w="108" w:type="dxa"/>
        </w:tblCellMar>
      </w:tblPr>
      <w:tblGrid>
        <w:gridCol w:w="735"/>
        <w:gridCol w:w="2257"/>
        <w:gridCol w:w="6563"/>
      </w:tblGrid>
      <w:tr>
        <w:tblPrEx>
          <w:tblLayout w:type="fixed"/>
          <w:tblCellMar>
            <w:top w:w="0" w:type="dxa"/>
            <w:left w:w="108" w:type="dxa"/>
            <w:bottom w:w="0" w:type="dxa"/>
            <w:right w:w="108" w:type="dxa"/>
          </w:tblCellMar>
        </w:tblPrEx>
        <w:trPr>
          <w:trHeight w:val="442"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b/>
                <w:sz w:val="24"/>
              </w:rPr>
            </w:pPr>
            <w:r>
              <w:rPr>
                <w:rFonts w:hint="eastAsia" w:ascii="宋体" w:hAnsi="宋体"/>
                <w:b/>
                <w:sz w:val="24"/>
              </w:rPr>
              <w:t>项号</w:t>
            </w:r>
          </w:p>
        </w:tc>
        <w:tc>
          <w:tcPr>
            <w:tcW w:w="225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b/>
                <w:sz w:val="24"/>
              </w:rPr>
            </w:pPr>
            <w:r>
              <w:rPr>
                <w:rFonts w:hint="eastAsia" w:ascii="宋体" w:hAnsi="宋体"/>
                <w:b/>
                <w:sz w:val="24"/>
              </w:rPr>
              <w:t>内容</w:t>
            </w:r>
          </w:p>
        </w:tc>
        <w:tc>
          <w:tcPr>
            <w:tcW w:w="6563"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b/>
                <w:sz w:val="24"/>
              </w:rPr>
            </w:pPr>
            <w:r>
              <w:rPr>
                <w:rFonts w:hint="eastAsia" w:ascii="宋体" w:hAnsi="宋体"/>
                <w:b/>
                <w:sz w:val="24"/>
              </w:rPr>
              <w:t>说明与要求</w:t>
            </w:r>
          </w:p>
        </w:tc>
      </w:tr>
      <w:tr>
        <w:tblPrEx>
          <w:tblLayout w:type="fixed"/>
          <w:tblCellMar>
            <w:top w:w="0" w:type="dxa"/>
            <w:left w:w="108" w:type="dxa"/>
            <w:bottom w:w="0" w:type="dxa"/>
            <w:right w:w="108" w:type="dxa"/>
          </w:tblCellMar>
        </w:tblPrEx>
        <w:trPr>
          <w:trHeight w:val="324"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000000"/>
                <w:sz w:val="24"/>
              </w:rPr>
            </w:pPr>
            <w:r>
              <w:rPr>
                <w:rFonts w:ascii="宋体" w:hAnsi="宋体"/>
                <w:color w:val="000000"/>
                <w:sz w:val="24"/>
              </w:rPr>
              <w:t>1</w:t>
            </w:r>
          </w:p>
        </w:tc>
        <w:tc>
          <w:tcPr>
            <w:tcW w:w="2257"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sz w:val="24"/>
              </w:rPr>
            </w:pPr>
            <w:r>
              <w:rPr>
                <w:rFonts w:hint="eastAsia" w:ascii="宋体" w:hAnsi="宋体"/>
                <w:sz w:val="24"/>
              </w:rPr>
              <w:t>名称</w:t>
            </w:r>
          </w:p>
        </w:tc>
        <w:tc>
          <w:tcPr>
            <w:tcW w:w="6563"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sz w:val="24"/>
              </w:rPr>
            </w:pPr>
            <w:r>
              <w:rPr>
                <w:rFonts w:hint="eastAsia" w:ascii="宋体" w:hAnsi="宋体"/>
                <w:sz w:val="24"/>
              </w:rPr>
              <w:t>国贸中心设施设备第三方</w:t>
            </w:r>
            <w:r>
              <w:rPr>
                <w:rFonts w:ascii="宋体" w:hAnsi="宋体"/>
                <w:sz w:val="24"/>
              </w:rPr>
              <w:t>机构</w:t>
            </w:r>
            <w:r>
              <w:rPr>
                <w:rFonts w:hint="eastAsia" w:ascii="宋体" w:hAnsi="宋体"/>
                <w:sz w:val="24"/>
              </w:rPr>
              <w:t>评估服务</w:t>
            </w:r>
            <w:r>
              <w:rPr>
                <w:rFonts w:ascii="宋体" w:hAnsi="宋体"/>
                <w:sz w:val="24"/>
              </w:rPr>
              <w:t>招标</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000000"/>
                <w:sz w:val="24"/>
              </w:rPr>
            </w:pPr>
            <w:r>
              <w:rPr>
                <w:rFonts w:ascii="宋体" w:hAnsi="宋体"/>
                <w:color w:val="000000"/>
                <w:sz w:val="24"/>
              </w:rPr>
              <w:t>2</w:t>
            </w:r>
          </w:p>
        </w:tc>
        <w:tc>
          <w:tcPr>
            <w:tcW w:w="2257"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sz w:val="24"/>
              </w:rPr>
            </w:pPr>
            <w:r>
              <w:rPr>
                <w:rFonts w:hint="eastAsia" w:ascii="宋体" w:hAnsi="宋体"/>
                <w:sz w:val="24"/>
              </w:rPr>
              <w:t>建设地点</w:t>
            </w:r>
          </w:p>
        </w:tc>
        <w:tc>
          <w:tcPr>
            <w:tcW w:w="6563"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sz w:val="24"/>
              </w:rPr>
            </w:pPr>
            <w:r>
              <w:rPr>
                <w:rFonts w:hint="eastAsia" w:ascii="宋体" w:hAnsi="宋体"/>
                <w:sz w:val="24"/>
              </w:rPr>
              <w:t>厦门市仙岳路4686-4688号</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000000"/>
                <w:sz w:val="24"/>
              </w:rPr>
            </w:pPr>
            <w:r>
              <w:rPr>
                <w:rFonts w:ascii="宋体" w:hAnsi="宋体"/>
                <w:color w:val="000000"/>
                <w:sz w:val="24"/>
              </w:rPr>
              <w:t>3</w:t>
            </w:r>
          </w:p>
        </w:tc>
        <w:tc>
          <w:tcPr>
            <w:tcW w:w="2257"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sz w:val="24"/>
              </w:rPr>
            </w:pPr>
            <w:r>
              <w:rPr>
                <w:rFonts w:hint="eastAsia" w:ascii="宋体" w:hAnsi="宋体"/>
                <w:sz w:val="24"/>
              </w:rPr>
              <w:t>招标范围及内容</w:t>
            </w:r>
          </w:p>
        </w:tc>
        <w:tc>
          <w:tcPr>
            <w:tcW w:w="6563"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sz w:val="24"/>
              </w:rPr>
            </w:pPr>
            <w:r>
              <w:rPr>
                <w:rFonts w:hint="eastAsia" w:ascii="宋体" w:hAnsi="宋体"/>
                <w:sz w:val="24"/>
              </w:rPr>
              <w:t>详见清单、</w:t>
            </w:r>
            <w:r>
              <w:rPr>
                <w:rFonts w:ascii="宋体" w:hAnsi="宋体"/>
                <w:sz w:val="24"/>
              </w:rPr>
              <w:t>与合同版本</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000000"/>
                <w:sz w:val="24"/>
              </w:rPr>
            </w:pPr>
            <w:r>
              <w:rPr>
                <w:rFonts w:ascii="宋体" w:hAnsi="宋体"/>
                <w:color w:val="000000"/>
                <w:sz w:val="24"/>
              </w:rPr>
              <w:t>4</w:t>
            </w:r>
          </w:p>
        </w:tc>
        <w:tc>
          <w:tcPr>
            <w:tcW w:w="2257"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sz w:val="24"/>
              </w:rPr>
            </w:pPr>
            <w:r>
              <w:rPr>
                <w:rFonts w:hint="eastAsia" w:ascii="宋体" w:hAnsi="宋体"/>
                <w:sz w:val="24"/>
              </w:rPr>
              <w:t>质量要求</w:t>
            </w:r>
          </w:p>
        </w:tc>
        <w:tc>
          <w:tcPr>
            <w:tcW w:w="6563" w:type="dxa"/>
            <w:tcBorders>
              <w:top w:val="nil"/>
              <w:left w:val="nil"/>
              <w:bottom w:val="single" w:color="auto" w:sz="4" w:space="0"/>
              <w:right w:val="single" w:color="auto" w:sz="4" w:space="0"/>
            </w:tcBorders>
            <w:shd w:val="clear" w:color="auto" w:fill="auto"/>
            <w:vAlign w:val="center"/>
          </w:tcPr>
          <w:p>
            <w:pPr>
              <w:pStyle w:val="71"/>
              <w:spacing w:line="360" w:lineRule="auto"/>
              <w:ind w:firstLine="0" w:firstLineChars="0"/>
              <w:rPr>
                <w:rFonts w:ascii="宋体" w:hAnsi="宋体"/>
                <w:sz w:val="24"/>
                <w:szCs w:val="24"/>
              </w:rPr>
            </w:pPr>
            <w:r>
              <w:rPr>
                <w:rFonts w:hint="eastAsia" w:ascii="宋体" w:hAnsi="宋体"/>
                <w:sz w:val="24"/>
                <w:szCs w:val="24"/>
              </w:rPr>
              <w:t>附件质量</w:t>
            </w:r>
            <w:r>
              <w:rPr>
                <w:rFonts w:ascii="宋体" w:hAnsi="宋体"/>
                <w:sz w:val="24"/>
                <w:szCs w:val="24"/>
              </w:rPr>
              <w:t>及验收要求，和合同版本</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000000"/>
                <w:sz w:val="24"/>
              </w:rPr>
            </w:pPr>
            <w:r>
              <w:rPr>
                <w:rFonts w:ascii="宋体" w:hAnsi="宋体"/>
                <w:color w:val="000000"/>
                <w:sz w:val="24"/>
              </w:rPr>
              <w:t>5</w:t>
            </w:r>
          </w:p>
        </w:tc>
        <w:tc>
          <w:tcPr>
            <w:tcW w:w="2257"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sz w:val="24"/>
              </w:rPr>
            </w:pPr>
            <w:r>
              <w:rPr>
                <w:rFonts w:hint="eastAsia" w:ascii="宋体" w:hAnsi="宋体"/>
                <w:sz w:val="24"/>
              </w:rPr>
              <w:t>工期要求</w:t>
            </w:r>
          </w:p>
        </w:tc>
        <w:tc>
          <w:tcPr>
            <w:tcW w:w="6563"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color w:val="000000" w:themeColor="text1"/>
                <w:sz w:val="24"/>
                <w:highlight w:val="yellow"/>
              </w:rPr>
            </w:pPr>
            <w:r>
              <w:rPr>
                <w:rFonts w:hint="eastAsia"/>
                <w:color w:val="000000" w:themeColor="text1"/>
                <w:sz w:val="24"/>
              </w:rPr>
              <w:t>按合同约定进度执行</w:t>
            </w:r>
          </w:p>
        </w:tc>
      </w:tr>
      <w:tr>
        <w:tblPrEx>
          <w:tblLayout w:type="fixed"/>
          <w:tblCellMar>
            <w:top w:w="0" w:type="dxa"/>
            <w:left w:w="108" w:type="dxa"/>
            <w:bottom w:w="0" w:type="dxa"/>
            <w:right w:w="108" w:type="dxa"/>
          </w:tblCellMar>
        </w:tblPrEx>
        <w:trPr>
          <w:trHeight w:val="464"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000000"/>
                <w:sz w:val="24"/>
              </w:rPr>
            </w:pPr>
            <w:r>
              <w:rPr>
                <w:rFonts w:ascii="宋体" w:hAnsi="宋体"/>
                <w:color w:val="000000"/>
                <w:sz w:val="24"/>
              </w:rPr>
              <w:t>6</w:t>
            </w:r>
          </w:p>
        </w:tc>
        <w:tc>
          <w:tcPr>
            <w:tcW w:w="2257"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sz w:val="24"/>
              </w:rPr>
            </w:pPr>
            <w:r>
              <w:rPr>
                <w:rFonts w:hint="eastAsia" w:ascii="宋体" w:hAnsi="宋体"/>
                <w:sz w:val="24"/>
              </w:rPr>
              <w:t>招标限价</w:t>
            </w:r>
          </w:p>
        </w:tc>
        <w:tc>
          <w:tcPr>
            <w:tcW w:w="6563"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olor w:val="000000" w:themeColor="text1"/>
                <w:sz w:val="24"/>
              </w:rPr>
            </w:pPr>
            <w:r>
              <w:rPr>
                <w:rFonts w:hint="eastAsia" w:asciiTheme="minorEastAsia" w:hAnsiTheme="minorEastAsia" w:eastAsiaTheme="minorEastAsia" w:cstheme="minorEastAsia"/>
                <w:color w:val="000000" w:themeColor="text1"/>
                <w:sz w:val="24"/>
              </w:rPr>
              <w:t>★</w:t>
            </w:r>
            <w:r>
              <w:rPr>
                <w:rFonts w:hint="eastAsia" w:ascii="宋体" w:hAnsi="宋体" w:cs="宋体"/>
                <w:color w:val="000000" w:themeColor="text1"/>
                <w:kern w:val="0"/>
                <w:sz w:val="24"/>
              </w:rPr>
              <w:t>本项目设最高限价，即人民币</w:t>
            </w:r>
            <w:r>
              <w:rPr>
                <w:rFonts w:hint="eastAsia" w:asciiTheme="minorEastAsia" w:hAnsiTheme="minorEastAsia" w:eastAsiaTheme="minorEastAsia" w:cstheme="minorEastAsia"/>
                <w:b/>
                <w:color w:val="000000" w:themeColor="text1"/>
                <w:sz w:val="24"/>
              </w:rPr>
              <w:t>壹佰贰拾万</w:t>
            </w:r>
            <w:r>
              <w:rPr>
                <w:rFonts w:hint="eastAsia" w:ascii="宋体" w:hAnsi="宋体" w:cs="宋体"/>
                <w:color w:val="000000" w:themeColor="text1"/>
                <w:kern w:val="0"/>
                <w:sz w:val="24"/>
              </w:rPr>
              <w:t>元整（</w:t>
            </w:r>
            <w:r>
              <w:rPr>
                <w:rFonts w:hint="eastAsia" w:asciiTheme="minorEastAsia" w:hAnsiTheme="minorEastAsia" w:eastAsiaTheme="minorEastAsia" w:cstheme="minorEastAsia"/>
                <w:b/>
                <w:color w:val="000000" w:themeColor="text1"/>
                <w:sz w:val="24"/>
              </w:rPr>
              <w:t>¥1,200,000</w:t>
            </w:r>
            <w:r>
              <w:rPr>
                <w:rFonts w:hint="eastAsia" w:ascii="宋体" w:hAnsi="宋体" w:cs="宋体"/>
                <w:color w:val="000000" w:themeColor="text1"/>
                <w:kern w:val="0"/>
                <w:sz w:val="24"/>
              </w:rPr>
              <w:t>）。投标人的投标报价不得超过本项目的控制价，否则将被视为无效投标响应。</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000000"/>
                <w:sz w:val="24"/>
              </w:rPr>
            </w:pPr>
            <w:r>
              <w:rPr>
                <w:rFonts w:ascii="宋体" w:hAnsi="宋体"/>
                <w:color w:val="000000"/>
                <w:sz w:val="24"/>
              </w:rPr>
              <w:t>7</w:t>
            </w:r>
          </w:p>
        </w:tc>
        <w:tc>
          <w:tcPr>
            <w:tcW w:w="2257"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sz w:val="24"/>
              </w:rPr>
            </w:pPr>
            <w:r>
              <w:rPr>
                <w:rFonts w:hint="eastAsia" w:ascii="宋体" w:hAnsi="宋体"/>
                <w:sz w:val="24"/>
              </w:rPr>
              <w:t>投标单位资质要求</w:t>
            </w:r>
          </w:p>
        </w:tc>
        <w:tc>
          <w:tcPr>
            <w:tcW w:w="6563"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sz w:val="24"/>
              </w:rPr>
            </w:pPr>
            <w:r>
              <w:rPr>
                <w:rFonts w:hint="eastAsia" w:ascii="宋体" w:hAnsi="宋体"/>
                <w:sz w:val="24"/>
              </w:rPr>
              <w:t>经资审</w:t>
            </w:r>
            <w:r>
              <w:rPr>
                <w:rFonts w:ascii="宋体" w:hAnsi="宋体"/>
                <w:sz w:val="24"/>
              </w:rPr>
              <w:t>合格的</w:t>
            </w:r>
            <w:r>
              <w:rPr>
                <w:rFonts w:hint="eastAsia" w:ascii="宋体" w:hAnsi="宋体"/>
                <w:sz w:val="24"/>
              </w:rPr>
              <w:t>投标人</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000000"/>
                <w:sz w:val="24"/>
              </w:rPr>
            </w:pPr>
            <w:r>
              <w:rPr>
                <w:rFonts w:hint="eastAsia" w:ascii="宋体" w:hAnsi="宋体"/>
                <w:color w:val="000000"/>
                <w:sz w:val="24"/>
              </w:rPr>
              <w:t>8</w:t>
            </w:r>
          </w:p>
        </w:tc>
        <w:tc>
          <w:tcPr>
            <w:tcW w:w="2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olor w:val="000000"/>
                <w:sz w:val="24"/>
              </w:rPr>
            </w:pPr>
            <w:r>
              <w:rPr>
                <w:rFonts w:hint="eastAsia" w:ascii="宋体" w:hAnsi="宋体"/>
                <w:sz w:val="24"/>
              </w:rPr>
              <w:t>投标保证金</w:t>
            </w:r>
          </w:p>
        </w:tc>
        <w:tc>
          <w:tcPr>
            <w:tcW w:w="656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theme="minorEastAsia"/>
                <w:b/>
                <w:color w:val="000000" w:themeColor="text1"/>
                <w:sz w:val="24"/>
              </w:rPr>
            </w:pPr>
            <w:r>
              <w:rPr>
                <w:rFonts w:hint="eastAsia" w:ascii="宋体" w:hAnsi="宋体" w:cstheme="minorEastAsia"/>
                <w:color w:val="000000" w:themeColor="text1"/>
                <w:sz w:val="24"/>
              </w:rPr>
              <w:t>★投标保证金：</w:t>
            </w:r>
            <w:r>
              <w:rPr>
                <w:rFonts w:hint="eastAsia" w:ascii="宋体" w:hAnsi="宋体" w:cstheme="minorEastAsia"/>
                <w:b/>
                <w:color w:val="000000" w:themeColor="text1"/>
                <w:sz w:val="24"/>
              </w:rPr>
              <w:t>人民币贰万</w:t>
            </w:r>
            <w:r>
              <w:rPr>
                <w:rFonts w:ascii="宋体" w:hAnsi="宋体" w:cstheme="minorEastAsia"/>
                <w:b/>
                <w:color w:val="000000" w:themeColor="text1"/>
                <w:sz w:val="24"/>
              </w:rPr>
              <w:t>元整</w:t>
            </w:r>
            <w:r>
              <w:rPr>
                <w:rFonts w:hint="eastAsia" w:ascii="宋体" w:hAnsi="宋体" w:cstheme="minorEastAsia"/>
                <w:b/>
                <w:color w:val="000000" w:themeColor="text1"/>
                <w:sz w:val="24"/>
              </w:rPr>
              <w:t>（¥</w:t>
            </w:r>
            <w:r>
              <w:rPr>
                <w:rFonts w:ascii="宋体" w:hAnsi="宋体" w:cstheme="minorEastAsia"/>
                <w:b/>
                <w:color w:val="000000" w:themeColor="text1"/>
                <w:sz w:val="24"/>
              </w:rPr>
              <w:t>20,000）。</w:t>
            </w:r>
          </w:p>
          <w:p>
            <w:pPr>
              <w:spacing w:line="360" w:lineRule="auto"/>
              <w:rPr>
                <w:rFonts w:ascii="宋体" w:hAnsi="宋体" w:cstheme="minorEastAsia"/>
                <w:color w:val="000000" w:themeColor="text1"/>
                <w:sz w:val="24"/>
              </w:rPr>
            </w:pPr>
            <w:r>
              <w:rPr>
                <w:rFonts w:ascii="宋体" w:hAnsi="宋体" w:cstheme="minorEastAsia"/>
                <w:color w:val="000000" w:themeColor="text1"/>
                <w:sz w:val="24"/>
              </w:rPr>
              <w:t>1、</w:t>
            </w:r>
            <w:r>
              <w:rPr>
                <w:rFonts w:hint="eastAsia" w:ascii="宋体" w:hAnsi="宋体" w:cstheme="minorEastAsia"/>
                <w:color w:val="000000" w:themeColor="text1"/>
                <w:sz w:val="24"/>
              </w:rPr>
              <w:t>投标保证金以转账、电汇等形式提交，必须在投标截止时间前到达指定账户，不收取现金、现金支票，不接受任何个人名义的转账，否则作为未提交投标保证金处理。</w:t>
            </w:r>
          </w:p>
          <w:p>
            <w:pPr>
              <w:spacing w:line="360" w:lineRule="auto"/>
              <w:rPr>
                <w:rFonts w:ascii="宋体" w:hAnsi="宋体" w:cstheme="minorEastAsia"/>
                <w:b/>
                <w:color w:val="000000" w:themeColor="text1"/>
                <w:sz w:val="24"/>
              </w:rPr>
            </w:pPr>
            <w:r>
              <w:rPr>
                <w:rFonts w:hint="eastAsia" w:ascii="宋体" w:hAnsi="宋体" w:cstheme="minorEastAsia"/>
                <w:b/>
                <w:color w:val="000000" w:themeColor="text1"/>
                <w:sz w:val="24"/>
              </w:rPr>
              <w:t>投标文件中应体现投标保证金的缴交凭证。</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招标人账户信息：</w:t>
            </w:r>
          </w:p>
          <w:p>
            <w:pPr>
              <w:spacing w:line="360" w:lineRule="auto"/>
              <w:ind w:firstLine="480"/>
              <w:jc w:val="left"/>
              <w:rPr>
                <w:rFonts w:ascii="宋体" w:hAnsi="宋体" w:cs="Arial"/>
                <w:color w:val="000000" w:themeColor="text1"/>
                <w:sz w:val="24"/>
              </w:rPr>
            </w:pPr>
            <w:r>
              <w:rPr>
                <w:rFonts w:hint="eastAsia" w:ascii="宋体" w:hAnsi="宋体" w:cs="Arial"/>
                <w:color w:val="000000" w:themeColor="text1"/>
                <w:sz w:val="24"/>
              </w:rPr>
              <w:t>账户名称：厦门国贸物业管理有限公司</w:t>
            </w:r>
          </w:p>
          <w:p>
            <w:pPr>
              <w:spacing w:line="360" w:lineRule="auto"/>
              <w:ind w:firstLine="480"/>
              <w:jc w:val="left"/>
              <w:rPr>
                <w:rFonts w:ascii="宋体" w:hAnsi="宋体" w:cs="Arial"/>
                <w:color w:val="000000" w:themeColor="text1"/>
                <w:sz w:val="24"/>
              </w:rPr>
            </w:pPr>
            <w:r>
              <w:rPr>
                <w:rFonts w:hint="eastAsia" w:ascii="宋体" w:hAnsi="宋体" w:cs="Arial"/>
                <w:color w:val="000000" w:themeColor="text1"/>
                <w:sz w:val="24"/>
              </w:rPr>
              <w:t>开户账号：</w:t>
            </w:r>
            <w:r>
              <w:rPr>
                <w:rFonts w:ascii="宋体" w:hAnsi="宋体" w:cs="Arial"/>
                <w:color w:val="000000" w:themeColor="text1"/>
                <w:sz w:val="24"/>
              </w:rPr>
              <w:t>35101551001050009378</w:t>
            </w:r>
          </w:p>
          <w:p>
            <w:pPr>
              <w:spacing w:line="360" w:lineRule="auto"/>
              <w:ind w:firstLine="480" w:firstLineChars="200"/>
              <w:rPr>
                <w:rFonts w:ascii="宋体" w:hAnsi="宋体" w:cstheme="minorEastAsia"/>
                <w:b/>
                <w:color w:val="000000" w:themeColor="text1"/>
                <w:sz w:val="24"/>
              </w:rPr>
            </w:pPr>
            <w:r>
              <w:rPr>
                <w:rFonts w:hint="eastAsia" w:ascii="宋体" w:hAnsi="宋体" w:cs="Arial"/>
                <w:color w:val="000000" w:themeColor="text1"/>
                <w:sz w:val="24"/>
              </w:rPr>
              <w:t>开户行：中国建设银行股份有限公司厦门湖滨支行</w:t>
            </w:r>
          </w:p>
          <w:p>
            <w:pPr>
              <w:spacing w:line="360" w:lineRule="auto"/>
              <w:rPr>
                <w:rFonts w:ascii="宋体" w:hAnsi="宋体" w:cstheme="minorEastAsia"/>
                <w:color w:val="000000" w:themeColor="text1"/>
                <w:sz w:val="24"/>
              </w:rPr>
            </w:pPr>
            <w:r>
              <w:rPr>
                <w:rFonts w:ascii="宋体" w:hAnsi="宋体" w:cstheme="minorEastAsia"/>
                <w:color w:val="000000" w:themeColor="text1"/>
                <w:sz w:val="24"/>
              </w:rPr>
              <w:t>2、</w:t>
            </w:r>
            <w:r>
              <w:rPr>
                <w:rFonts w:hint="eastAsia" w:ascii="宋体" w:hAnsi="宋体" w:cstheme="minorEastAsia"/>
                <w:color w:val="000000" w:themeColor="text1"/>
                <w:sz w:val="24"/>
              </w:rPr>
              <w:t>保证金的退还：</w:t>
            </w:r>
          </w:p>
          <w:p>
            <w:pPr>
              <w:spacing w:line="360" w:lineRule="auto"/>
              <w:rPr>
                <w:rFonts w:ascii="宋体" w:hAnsi="宋体"/>
                <w:color w:val="000000" w:themeColor="text1"/>
                <w:sz w:val="24"/>
              </w:rPr>
            </w:pPr>
            <w:r>
              <w:rPr>
                <w:rFonts w:hint="eastAsia" w:ascii="宋体" w:hAnsi="宋体" w:cstheme="minorEastAsia"/>
                <w:color w:val="000000" w:themeColor="text1"/>
                <w:sz w:val="24"/>
              </w:rPr>
              <w:t>招标人将在《中标通知书》发出之日起</w:t>
            </w:r>
            <w:r>
              <w:rPr>
                <w:rFonts w:ascii="宋体" w:hAnsi="宋体" w:cstheme="minorEastAsia"/>
                <w:color w:val="000000" w:themeColor="text1"/>
                <w:sz w:val="24"/>
              </w:rPr>
              <w:t>30个工作日内予以原额无息退还未中标人的投标保证金。</w:t>
            </w:r>
          </w:p>
        </w:tc>
      </w:tr>
      <w:tr>
        <w:tblPrEx>
          <w:tblLayout w:type="fixed"/>
          <w:tblCellMar>
            <w:top w:w="0" w:type="dxa"/>
            <w:left w:w="108" w:type="dxa"/>
            <w:bottom w:w="0" w:type="dxa"/>
            <w:right w:w="108" w:type="dxa"/>
          </w:tblCellMar>
        </w:tblPrEx>
        <w:trPr>
          <w:trHeight w:val="790"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rPr>
            </w:pPr>
            <w:r>
              <w:rPr>
                <w:rFonts w:hint="eastAsia" w:ascii="宋体" w:hAnsi="宋体"/>
                <w:sz w:val="24"/>
              </w:rPr>
              <w:t>9</w:t>
            </w:r>
          </w:p>
        </w:tc>
        <w:tc>
          <w:tcPr>
            <w:tcW w:w="2257"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sz w:val="24"/>
              </w:rPr>
            </w:pPr>
            <w:r>
              <w:rPr>
                <w:rFonts w:hint="eastAsia" w:ascii="宋体" w:hAnsi="宋体"/>
                <w:sz w:val="24"/>
              </w:rPr>
              <w:t>投标文件份数</w:t>
            </w:r>
          </w:p>
        </w:tc>
        <w:tc>
          <w:tcPr>
            <w:tcW w:w="6563"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sz w:val="24"/>
              </w:rPr>
            </w:pPr>
            <w:r>
              <w:rPr>
                <w:rFonts w:hint="eastAsia" w:ascii="宋体" w:hAnsi="宋体"/>
                <w:sz w:val="24"/>
              </w:rPr>
              <w:t>投标文件由《</w:t>
            </w:r>
            <w:r>
              <w:rPr>
                <w:rFonts w:ascii="宋体" w:hAnsi="宋体"/>
                <w:sz w:val="24"/>
              </w:rPr>
              <w:t>技术</w:t>
            </w:r>
            <w:r>
              <w:rPr>
                <w:rFonts w:hint="eastAsia" w:ascii="宋体" w:hAnsi="宋体"/>
                <w:sz w:val="24"/>
              </w:rPr>
              <w:t>标</w:t>
            </w:r>
            <w:r>
              <w:rPr>
                <w:rFonts w:ascii="宋体" w:hAnsi="宋体"/>
                <w:sz w:val="24"/>
              </w:rPr>
              <w:t>》、</w:t>
            </w:r>
            <w:r>
              <w:rPr>
                <w:rFonts w:hint="eastAsia" w:ascii="宋体" w:hAnsi="宋体"/>
                <w:sz w:val="24"/>
              </w:rPr>
              <w:t>《商务标》组成，正本一份、副本六份。</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rPr>
            </w:pPr>
            <w:r>
              <w:rPr>
                <w:rFonts w:hint="eastAsia" w:ascii="宋体" w:hAnsi="宋体"/>
                <w:sz w:val="24"/>
              </w:rPr>
              <w:t>10</w:t>
            </w:r>
          </w:p>
        </w:tc>
        <w:tc>
          <w:tcPr>
            <w:tcW w:w="2257"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sz w:val="24"/>
              </w:rPr>
            </w:pPr>
            <w:r>
              <w:rPr>
                <w:rFonts w:hint="eastAsia" w:ascii="宋体" w:hAnsi="宋体"/>
                <w:sz w:val="24"/>
              </w:rPr>
              <w:t>投标有效期</w:t>
            </w:r>
          </w:p>
        </w:tc>
        <w:tc>
          <w:tcPr>
            <w:tcW w:w="6563"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sz w:val="24"/>
              </w:rPr>
            </w:pPr>
            <w:r>
              <w:rPr>
                <w:rFonts w:hint="eastAsia" w:ascii="宋体" w:hAnsi="宋体"/>
                <w:sz w:val="24"/>
                <w:u w:val="single"/>
              </w:rPr>
              <w:t>90</w:t>
            </w:r>
            <w:r>
              <w:rPr>
                <w:rFonts w:hint="eastAsia" w:ascii="宋体" w:hAnsi="宋体"/>
                <w:sz w:val="24"/>
              </w:rPr>
              <w:t>日历天（从投标截止之日计起）</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000000"/>
                <w:sz w:val="24"/>
              </w:rPr>
            </w:pPr>
            <w:r>
              <w:rPr>
                <w:rFonts w:hint="eastAsia" w:ascii="宋体" w:hAnsi="宋体"/>
                <w:color w:val="000000"/>
                <w:sz w:val="24"/>
              </w:rPr>
              <w:t>11</w:t>
            </w:r>
          </w:p>
        </w:tc>
        <w:tc>
          <w:tcPr>
            <w:tcW w:w="2257" w:type="dxa"/>
            <w:tcBorders>
              <w:top w:val="nil"/>
              <w:left w:val="nil"/>
              <w:bottom w:val="single" w:color="auto" w:sz="4" w:space="0"/>
              <w:right w:val="single" w:color="auto" w:sz="4" w:space="0"/>
            </w:tcBorders>
            <w:shd w:val="clear" w:color="auto" w:fill="auto"/>
            <w:vAlign w:val="center"/>
          </w:tcPr>
          <w:p>
            <w:pPr>
              <w:spacing w:line="360" w:lineRule="auto"/>
              <w:ind w:left="-4" w:leftChars="-2" w:firstLine="3"/>
              <w:rPr>
                <w:rFonts w:ascii="宋体" w:hAnsi="宋体"/>
                <w:sz w:val="24"/>
              </w:rPr>
            </w:pPr>
            <w:r>
              <w:rPr>
                <w:rFonts w:hint="eastAsia" w:ascii="宋体" w:hAnsi="宋体"/>
                <w:sz w:val="24"/>
              </w:rPr>
              <w:t>开标、评标</w:t>
            </w:r>
          </w:p>
        </w:tc>
        <w:tc>
          <w:tcPr>
            <w:tcW w:w="6563" w:type="dxa"/>
            <w:tcBorders>
              <w:top w:val="nil"/>
              <w:left w:val="nil"/>
              <w:bottom w:val="single" w:color="auto" w:sz="4" w:space="0"/>
              <w:right w:val="single" w:color="auto" w:sz="4" w:space="0"/>
            </w:tcBorders>
            <w:shd w:val="clear" w:color="auto" w:fill="auto"/>
            <w:vAlign w:val="center"/>
          </w:tcPr>
          <w:p>
            <w:pPr>
              <w:spacing w:line="360" w:lineRule="auto"/>
              <w:ind w:left="-4" w:leftChars="-2" w:firstLine="3"/>
              <w:rPr>
                <w:rFonts w:ascii="宋体" w:hAnsi="宋体"/>
                <w:sz w:val="24"/>
              </w:rPr>
            </w:pPr>
            <w:r>
              <w:rPr>
                <w:rFonts w:hint="eastAsia" w:ascii="宋体" w:hAnsi="宋体"/>
                <w:sz w:val="24"/>
              </w:rPr>
              <w:t>招标人组织评标</w:t>
            </w:r>
          </w:p>
        </w:tc>
      </w:tr>
      <w:tr>
        <w:tblPrEx>
          <w:tblLayout w:type="fixed"/>
          <w:tblCellMar>
            <w:top w:w="0" w:type="dxa"/>
            <w:left w:w="108" w:type="dxa"/>
            <w:bottom w:w="0" w:type="dxa"/>
            <w:right w:w="108" w:type="dxa"/>
          </w:tblCellMar>
        </w:tblPrEx>
        <w:trPr>
          <w:trHeight w:val="402"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000000"/>
                <w:sz w:val="24"/>
              </w:rPr>
            </w:pPr>
            <w:r>
              <w:rPr>
                <w:rFonts w:hint="eastAsia" w:ascii="宋体" w:hAnsi="宋体"/>
                <w:color w:val="000000"/>
                <w:sz w:val="24"/>
              </w:rPr>
              <w:t>12</w:t>
            </w:r>
          </w:p>
        </w:tc>
        <w:tc>
          <w:tcPr>
            <w:tcW w:w="2257" w:type="dxa"/>
            <w:tcBorders>
              <w:top w:val="single" w:color="auto" w:sz="4" w:space="0"/>
              <w:left w:val="nil"/>
              <w:bottom w:val="single" w:color="auto" w:sz="4" w:space="0"/>
              <w:right w:val="single" w:color="auto" w:sz="4" w:space="0"/>
            </w:tcBorders>
            <w:shd w:val="clear" w:color="auto" w:fill="auto"/>
            <w:vAlign w:val="center"/>
          </w:tcPr>
          <w:p>
            <w:pPr>
              <w:spacing w:line="360" w:lineRule="auto"/>
              <w:ind w:left="-4" w:leftChars="-2" w:firstLine="3"/>
              <w:rPr>
                <w:rFonts w:ascii="宋体" w:hAnsi="宋体"/>
                <w:sz w:val="24"/>
              </w:rPr>
            </w:pPr>
            <w:r>
              <w:rPr>
                <w:rFonts w:hint="eastAsia" w:ascii="宋体" w:hAnsi="宋体"/>
                <w:sz w:val="24"/>
              </w:rPr>
              <w:t>评标办法</w:t>
            </w:r>
          </w:p>
        </w:tc>
        <w:tc>
          <w:tcPr>
            <w:tcW w:w="6563"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sz w:val="24"/>
              </w:rPr>
            </w:pPr>
            <w:r>
              <w:rPr>
                <w:rFonts w:hint="eastAsia" w:ascii="宋体" w:hAnsi="宋体"/>
                <w:sz w:val="24"/>
              </w:rPr>
              <w:t>综合评分法（详见第二章）</w:t>
            </w:r>
          </w:p>
        </w:tc>
      </w:tr>
      <w:tr>
        <w:tblPrEx>
          <w:tblLayout w:type="fixed"/>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rPr>
            </w:pPr>
            <w:r>
              <w:rPr>
                <w:rFonts w:hint="eastAsia" w:ascii="宋体" w:hAnsi="宋体"/>
                <w:sz w:val="24"/>
              </w:rPr>
              <w:t>13</w:t>
            </w:r>
          </w:p>
        </w:tc>
        <w:tc>
          <w:tcPr>
            <w:tcW w:w="2257"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sz w:val="24"/>
              </w:rPr>
            </w:pPr>
            <w:r>
              <w:rPr>
                <w:rFonts w:hint="eastAsia" w:ascii="宋体" w:hAnsi="宋体"/>
                <w:sz w:val="24"/>
              </w:rPr>
              <w:t>投标文件递交地点</w:t>
            </w:r>
          </w:p>
        </w:tc>
        <w:tc>
          <w:tcPr>
            <w:tcW w:w="6563"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sz w:val="24"/>
              </w:rPr>
            </w:pPr>
            <w:r>
              <w:rPr>
                <w:rFonts w:hint="eastAsia" w:ascii="宋体" w:hAnsi="宋体"/>
                <w:sz w:val="24"/>
              </w:rPr>
              <w:t>投标文件需分开密封，送递到以下地点：</w:t>
            </w:r>
            <w:r>
              <w:rPr>
                <w:rFonts w:hint="eastAsia" w:ascii="宋体" w:hAnsi="宋体" w:cs="Arial"/>
                <w:color w:val="000000"/>
                <w:sz w:val="24"/>
              </w:rPr>
              <w:t>厦门市思明区体育路41号顺承大厦6楼</w:t>
            </w:r>
          </w:p>
        </w:tc>
      </w:tr>
      <w:tr>
        <w:tblPrEx>
          <w:tblLayout w:type="fixed"/>
          <w:tblCellMar>
            <w:top w:w="0" w:type="dxa"/>
            <w:left w:w="108" w:type="dxa"/>
            <w:bottom w:w="0" w:type="dxa"/>
            <w:right w:w="108" w:type="dxa"/>
          </w:tblCellMar>
        </w:tblPrEx>
        <w:trPr>
          <w:trHeight w:val="268"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14</w:t>
            </w:r>
          </w:p>
        </w:tc>
        <w:tc>
          <w:tcPr>
            <w:tcW w:w="225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olor w:val="000000" w:themeColor="text1"/>
                <w:sz w:val="24"/>
              </w:rPr>
            </w:pPr>
            <w:r>
              <w:rPr>
                <w:rFonts w:hint="eastAsia" w:ascii="宋体" w:hAnsi="宋体"/>
                <w:color w:val="000000" w:themeColor="text1"/>
                <w:sz w:val="24"/>
              </w:rPr>
              <w:t>联系人及联系方式</w:t>
            </w:r>
          </w:p>
        </w:tc>
        <w:tc>
          <w:tcPr>
            <w:tcW w:w="6563"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olor w:val="000000" w:themeColor="text1"/>
                <w:sz w:val="24"/>
              </w:rPr>
            </w:pPr>
            <w:r>
              <w:rPr>
                <w:rFonts w:hint="eastAsia" w:ascii="宋体" w:hAnsi="宋体"/>
                <w:color w:val="000000" w:themeColor="text1"/>
                <w:sz w:val="24"/>
              </w:rPr>
              <w:t>a.技术要求咨询</w:t>
            </w:r>
            <w:r>
              <w:rPr>
                <w:rFonts w:hint="eastAsia" w:ascii="宋体" w:hAnsi="宋体"/>
                <w:color w:val="000000" w:themeColor="text1"/>
                <w:sz w:val="24"/>
                <w:lang w:val="en-US" w:eastAsia="zh-CN"/>
              </w:rPr>
              <w:t>招标人</w:t>
            </w:r>
            <w:r>
              <w:rPr>
                <w:rFonts w:hint="eastAsia" w:ascii="宋体" w:hAnsi="宋体"/>
                <w:color w:val="000000" w:themeColor="text1"/>
                <w:sz w:val="24"/>
              </w:rPr>
              <w:t>商务分公司罗工或廖工，电话</w:t>
            </w:r>
            <w:r>
              <w:rPr>
                <w:rFonts w:ascii="宋体" w:hAnsi="宋体"/>
                <w:color w:val="000000" w:themeColor="text1"/>
                <w:sz w:val="24"/>
              </w:rPr>
              <w:t>0592-8268672</w:t>
            </w:r>
          </w:p>
          <w:p>
            <w:pPr>
              <w:spacing w:line="360" w:lineRule="auto"/>
              <w:jc w:val="left"/>
              <w:rPr>
                <w:rFonts w:ascii="宋体" w:hAnsi="宋体"/>
                <w:color w:val="000000" w:themeColor="text1"/>
                <w:sz w:val="24"/>
              </w:rPr>
            </w:pPr>
            <w:r>
              <w:rPr>
                <w:rFonts w:hint="eastAsia" w:ascii="宋体" w:hAnsi="宋体"/>
                <w:color w:val="000000" w:themeColor="text1"/>
                <w:sz w:val="24"/>
              </w:rPr>
              <w:t>b.招标文件咨询王女士，电话0592-2990809</w:t>
            </w:r>
          </w:p>
        </w:tc>
      </w:tr>
    </w:tbl>
    <w:p>
      <w:pPr>
        <w:pageBreakBefore/>
        <w:spacing w:line="360" w:lineRule="auto"/>
        <w:rPr>
          <w:b/>
          <w:color w:val="000000"/>
          <w:sz w:val="24"/>
        </w:rPr>
      </w:pPr>
      <w:r>
        <w:rPr>
          <w:rFonts w:hint="eastAsia"/>
          <w:b/>
          <w:color w:val="000000"/>
          <w:sz w:val="24"/>
        </w:rPr>
        <w:t>二、标的说明</w:t>
      </w:r>
    </w:p>
    <w:p>
      <w:pPr>
        <w:pStyle w:val="58"/>
        <w:spacing w:before="75" w:after="75" w:line="360" w:lineRule="auto"/>
        <w:ind w:left="420" w:leftChars="200" w:firstLine="477" w:firstLineChars="199"/>
        <w:rPr>
          <w:rFonts w:ascii="宋体" w:hAnsi="宋体"/>
          <w:sz w:val="24"/>
        </w:rPr>
      </w:pPr>
      <w:r>
        <w:rPr>
          <w:rFonts w:hint="eastAsia" w:ascii="宋体" w:hAnsi="宋体"/>
          <w:sz w:val="24"/>
        </w:rPr>
        <w:t>本项目的标的为国贸中心工程设施设备第三方机构评估机构。</w:t>
      </w:r>
    </w:p>
    <w:p>
      <w:pPr>
        <w:pStyle w:val="58"/>
        <w:spacing w:before="75" w:after="75" w:line="360" w:lineRule="auto"/>
        <w:ind w:left="420" w:leftChars="200" w:firstLine="477" w:firstLineChars="199"/>
        <w:rPr>
          <w:rFonts w:ascii="宋体" w:hAnsi="宋体"/>
          <w:sz w:val="24"/>
        </w:rPr>
      </w:pPr>
      <w:r>
        <w:rPr>
          <w:rFonts w:hint="eastAsia" w:ascii="宋体" w:hAnsi="宋体"/>
          <w:sz w:val="24"/>
        </w:rPr>
        <w:t>国贸中心位于厦门市仙岳路沿线，西侧紧邻湖里万达广场。项目占地面积2.43万平方米，总建筑面积约25.4万平方米；其中，2栋写字楼面积均约为6万平方米，裙楼及地下一层商业面积约为6万平方米。地下共4层，合计1472个地下停车位。项目原设计为租、售型高端商业办公大楼，随着企业发展改为厦门国贸控股集团公司与中国人寿保险厦门公司的双总部大楼。</w:t>
      </w:r>
    </w:p>
    <w:p>
      <w:pPr>
        <w:widowControl/>
        <w:spacing w:before="75" w:after="75" w:line="360" w:lineRule="auto"/>
        <w:ind w:left="420" w:leftChars="200" w:firstLine="477" w:firstLineChars="199"/>
        <w:jc w:val="left"/>
        <w:rPr>
          <w:rFonts w:ascii="宋体" w:hAnsi="宋体"/>
          <w:sz w:val="24"/>
        </w:rPr>
      </w:pPr>
      <w:r>
        <w:rPr>
          <w:rFonts w:hint="eastAsia" w:ascii="宋体" w:hAnsi="宋体"/>
          <w:sz w:val="24"/>
        </w:rPr>
        <w:t>国贸中心机电设备主要由供配电、给排水、消防、空调、电梯、智能化等六大系统组成。其中：配电系统由三个配电室、14台1600kVA变压器及相应开关柜、线路组成，采用双回路供电，预留三回路供电条件，装机容量为224000kVA；消防系统由消防报警系统、消防联动控制系统、消防喷淋系统、气体灭火系统和智能疏散系统等组成，共有7套主机，8个附属控制柜；智能化系统由综合布线、信息网络、会议、信息引导发布、智能卡应用、访客登记、建筑设备管理、能源计量管理、视频安防管控、入侵报警、出入口控制及其它子系统组成。</w:t>
      </w:r>
    </w:p>
    <w:p>
      <w:pPr>
        <w:widowControl/>
        <w:spacing w:before="75" w:after="75" w:line="360" w:lineRule="auto"/>
        <w:ind w:left="420" w:leftChars="200" w:firstLine="477" w:firstLineChars="199"/>
        <w:jc w:val="left"/>
        <w:rPr>
          <w:rFonts w:ascii="宋体" w:hAnsi="宋体"/>
          <w:sz w:val="24"/>
        </w:rPr>
      </w:pPr>
    </w:p>
    <w:p>
      <w:pPr>
        <w:spacing w:line="360" w:lineRule="auto"/>
        <w:rPr>
          <w:b/>
          <w:color w:val="000000"/>
          <w:sz w:val="24"/>
        </w:rPr>
      </w:pPr>
      <w:r>
        <w:rPr>
          <w:rFonts w:hint="eastAsia"/>
          <w:b/>
          <w:color w:val="000000"/>
          <w:sz w:val="24"/>
        </w:rPr>
        <w:t>三、招标范围</w:t>
      </w:r>
    </w:p>
    <w:p>
      <w:pPr>
        <w:spacing w:line="360" w:lineRule="auto"/>
        <w:ind w:left="420" w:leftChars="200" w:firstLine="420"/>
        <w:rPr>
          <w:rFonts w:ascii="宋体" w:hAnsi="宋体"/>
          <w:sz w:val="24"/>
        </w:rPr>
      </w:pPr>
      <w:r>
        <w:rPr>
          <w:rFonts w:hint="eastAsia" w:ascii="宋体" w:hAnsi="宋体"/>
          <w:sz w:val="24"/>
        </w:rPr>
        <w:t>本项目招标范围：主要是对国贸中心项目现有供配电、给排水、消防、空调、电梯、智能化等六大系统设施设备，以及项目行车动线、节能管理等方面进行问题查摆，并对存在的问题进行营运、安全评估，同时提出可行性提升、改进建议与实施方案，具体服务范围：</w:t>
      </w:r>
    </w:p>
    <w:p>
      <w:pPr>
        <w:pStyle w:val="58"/>
        <w:numPr>
          <w:ilvl w:val="0"/>
          <w:numId w:val="3"/>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color w:val="000000" w:themeColor="text1"/>
          <w:sz w:val="24"/>
        </w:rPr>
        <w:t>校审项目设备台账，包括但不限于设备编号、名称、品牌、数量、型号、</w:t>
      </w:r>
      <w:r>
        <w:rPr>
          <w:rFonts w:hint="eastAsia" w:asciiTheme="minorEastAsia" w:hAnsiTheme="minorEastAsia" w:eastAsiaTheme="minorEastAsia"/>
          <w:sz w:val="24"/>
        </w:rPr>
        <w:t>生产时间、安装位置、负责范围及主要参数等。</w:t>
      </w:r>
    </w:p>
    <w:p>
      <w:pPr>
        <w:pStyle w:val="58"/>
        <w:numPr>
          <w:ilvl w:val="0"/>
          <w:numId w:val="3"/>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核对现场安装是否与竣工图纸一致。</w:t>
      </w:r>
    </w:p>
    <w:p>
      <w:pPr>
        <w:pStyle w:val="58"/>
        <w:numPr>
          <w:ilvl w:val="0"/>
          <w:numId w:val="3"/>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编制各系统检查自检表。</w:t>
      </w:r>
    </w:p>
    <w:p>
      <w:pPr>
        <w:pStyle w:val="58"/>
        <w:numPr>
          <w:ilvl w:val="0"/>
          <w:numId w:val="3"/>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评估各系统安全风险。</w:t>
      </w:r>
    </w:p>
    <w:p>
      <w:pPr>
        <w:pStyle w:val="58"/>
        <w:numPr>
          <w:ilvl w:val="0"/>
          <w:numId w:val="3"/>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对项目管理提出合理化建议。</w:t>
      </w:r>
    </w:p>
    <w:p>
      <w:pPr>
        <w:pStyle w:val="58"/>
        <w:numPr>
          <w:ilvl w:val="0"/>
          <w:numId w:val="3"/>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对存在的风险提出可行的整改方案。</w:t>
      </w:r>
    </w:p>
    <w:p>
      <w:pPr>
        <w:pStyle w:val="58"/>
        <w:numPr>
          <w:ilvl w:val="0"/>
          <w:numId w:val="3"/>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评估投资与后期维护成本，提出合理化建议。</w:t>
      </w:r>
    </w:p>
    <w:p>
      <w:pPr>
        <w:pStyle w:val="58"/>
        <w:numPr>
          <w:ilvl w:val="0"/>
          <w:numId w:val="3"/>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对现场管理团队进行系统性培训。</w:t>
      </w:r>
    </w:p>
    <w:p>
      <w:pPr>
        <w:pStyle w:val="58"/>
        <w:numPr>
          <w:ilvl w:val="0"/>
          <w:numId w:val="3"/>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参考各类标准及规范，对各系统进行全面检测，包含但不限于以下内容。</w:t>
      </w:r>
    </w:p>
    <w:p>
      <w:pPr>
        <w:spacing w:line="360" w:lineRule="auto"/>
        <w:ind w:left="1260" w:leftChars="600"/>
        <w:rPr>
          <w:rFonts w:asciiTheme="minorEastAsia" w:hAnsiTheme="minorEastAsia" w:eastAsiaTheme="minorEastAsia"/>
          <w:b/>
          <w:sz w:val="24"/>
        </w:rPr>
      </w:pPr>
      <w:r>
        <w:rPr>
          <w:rFonts w:hint="eastAsia" w:asciiTheme="minorEastAsia" w:hAnsiTheme="minorEastAsia" w:eastAsiaTheme="minorEastAsia"/>
          <w:b/>
          <w:sz w:val="24"/>
        </w:rPr>
        <w:t>1、弱电智能化：</w:t>
      </w:r>
    </w:p>
    <w:p>
      <w:pPr>
        <w:spacing w:line="360" w:lineRule="auto"/>
        <w:ind w:left="1680" w:leftChars="8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）安防控制中心</w:t>
      </w:r>
    </w:p>
    <w:p>
      <w:pPr>
        <w:spacing w:line="360" w:lineRule="auto"/>
        <w:ind w:left="1680" w:leftChars="8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）闭路电视系统</w:t>
      </w:r>
    </w:p>
    <w:p>
      <w:pPr>
        <w:spacing w:line="360" w:lineRule="auto"/>
        <w:ind w:left="1680" w:leftChars="8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）入侵报警系统</w:t>
      </w:r>
    </w:p>
    <w:p>
      <w:pPr>
        <w:spacing w:line="360" w:lineRule="auto"/>
        <w:ind w:left="1680" w:leftChars="8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）门禁系统</w:t>
      </w:r>
    </w:p>
    <w:p>
      <w:pPr>
        <w:spacing w:line="360" w:lineRule="auto"/>
        <w:ind w:left="1680" w:leftChars="8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）综合布线系统</w:t>
      </w:r>
    </w:p>
    <w:p>
      <w:pPr>
        <w:spacing w:line="360" w:lineRule="auto"/>
        <w:ind w:left="1680" w:leftChars="800"/>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）会议系统</w:t>
      </w:r>
    </w:p>
    <w:p>
      <w:pPr>
        <w:spacing w:line="360" w:lineRule="auto"/>
        <w:ind w:left="1680" w:leftChars="800"/>
        <w:rPr>
          <w:rFonts w:asciiTheme="minorEastAsia" w:hAnsiTheme="minorEastAsia" w:eastAsiaTheme="minorEastAsia"/>
          <w:sz w:val="24"/>
          <w:highlight w:val="yellow"/>
        </w:rPr>
      </w:pPr>
      <w:r>
        <w:rPr>
          <w:rFonts w:asciiTheme="minorEastAsia" w:hAnsiTheme="minorEastAsia" w:eastAsiaTheme="minorEastAsia"/>
          <w:sz w:val="24"/>
        </w:rPr>
        <w:t>7</w:t>
      </w:r>
      <w:r>
        <w:rPr>
          <w:rFonts w:hint="eastAsia" w:asciiTheme="minorEastAsia" w:hAnsiTheme="minorEastAsia" w:eastAsiaTheme="minorEastAsia"/>
          <w:sz w:val="24"/>
        </w:rPr>
        <w:t>）多媒体信息发布系统</w:t>
      </w:r>
    </w:p>
    <w:p>
      <w:pPr>
        <w:spacing w:line="360" w:lineRule="auto"/>
        <w:ind w:left="1260" w:leftChars="600"/>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电梯与自动扶梯：</w:t>
      </w:r>
    </w:p>
    <w:p>
      <w:pPr>
        <w:spacing w:line="360" w:lineRule="auto"/>
        <w:ind w:left="1680" w:leftChars="8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）乘客电梯</w:t>
      </w:r>
      <w:r>
        <w:rPr>
          <w:rFonts w:asciiTheme="minorEastAsia" w:hAnsiTheme="minorEastAsia" w:eastAsiaTheme="minorEastAsia"/>
          <w:sz w:val="24"/>
        </w:rPr>
        <w:t xml:space="preserve"> / </w:t>
      </w:r>
      <w:r>
        <w:rPr>
          <w:rFonts w:hint="eastAsia" w:asciiTheme="minorEastAsia" w:hAnsiTheme="minorEastAsia" w:eastAsiaTheme="minorEastAsia"/>
          <w:sz w:val="24"/>
        </w:rPr>
        <w:t>载货电梯</w:t>
      </w:r>
    </w:p>
    <w:p>
      <w:pPr>
        <w:spacing w:line="360" w:lineRule="auto"/>
        <w:ind w:left="1680" w:leftChars="8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）电梯控制系统</w:t>
      </w:r>
    </w:p>
    <w:p>
      <w:pPr>
        <w:spacing w:line="360" w:lineRule="auto"/>
        <w:ind w:left="1680" w:leftChars="8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）资料检查：制造资料、安装资料</w:t>
      </w:r>
    </w:p>
    <w:p>
      <w:pPr>
        <w:spacing w:line="360" w:lineRule="auto"/>
        <w:ind w:left="1260" w:leftChars="600"/>
        <w:rPr>
          <w:rFonts w:asciiTheme="minorEastAsia" w:hAnsiTheme="minorEastAsia" w:eastAsiaTheme="minorEastAsia"/>
          <w:b/>
          <w:sz w:val="24"/>
        </w:rPr>
      </w:pPr>
      <w:r>
        <w:rPr>
          <w:rFonts w:asciiTheme="minorEastAsia" w:hAnsiTheme="minorEastAsia" w:eastAsiaTheme="minorEastAsia"/>
          <w:b/>
          <w:sz w:val="24"/>
        </w:rPr>
        <w:t>3、</w:t>
      </w:r>
      <w:r>
        <w:rPr>
          <w:rFonts w:hint="eastAsia" w:asciiTheme="minorEastAsia" w:hAnsiTheme="minorEastAsia" w:eastAsiaTheme="minorEastAsia"/>
          <w:b/>
          <w:sz w:val="24"/>
        </w:rPr>
        <w:t>暖通空调系统</w:t>
      </w:r>
    </w:p>
    <w:p>
      <w:pPr>
        <w:spacing w:line="360" w:lineRule="auto"/>
        <w:ind w:left="1680" w:leftChars="8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）风管安装</w:t>
      </w:r>
    </w:p>
    <w:p>
      <w:pPr>
        <w:spacing w:line="360" w:lineRule="auto"/>
        <w:ind w:left="1680" w:leftChars="8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水管安装</w:t>
      </w:r>
    </w:p>
    <w:p>
      <w:pPr>
        <w:spacing w:line="360" w:lineRule="auto"/>
        <w:ind w:left="1680" w:leftChars="8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绝热工程</w:t>
      </w:r>
    </w:p>
    <w:p>
      <w:pPr>
        <w:spacing w:line="360" w:lineRule="auto"/>
        <w:ind w:left="1680" w:leftChars="8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设备安装</w:t>
      </w:r>
    </w:p>
    <w:p>
      <w:pPr>
        <w:spacing w:line="360" w:lineRule="auto"/>
        <w:ind w:left="1680" w:leftChars="8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）功能测试</w:t>
      </w:r>
    </w:p>
    <w:p>
      <w:pPr>
        <w:spacing w:line="360" w:lineRule="auto"/>
        <w:ind w:left="1680" w:leftChars="800"/>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）性能测试</w:t>
      </w:r>
    </w:p>
    <w:p>
      <w:pPr>
        <w:spacing w:line="360" w:lineRule="auto"/>
        <w:ind w:left="1260" w:leftChars="600"/>
        <w:rPr>
          <w:rFonts w:asciiTheme="minorEastAsia" w:hAnsiTheme="minorEastAsia" w:eastAsiaTheme="minorEastAsia"/>
          <w:b/>
          <w:sz w:val="24"/>
        </w:rPr>
      </w:pPr>
      <w:r>
        <w:rPr>
          <w:rFonts w:asciiTheme="minorEastAsia" w:hAnsiTheme="minorEastAsia" w:eastAsiaTheme="minorEastAsia"/>
          <w:b/>
          <w:sz w:val="24"/>
        </w:rPr>
        <w:t>4、</w:t>
      </w:r>
      <w:r>
        <w:rPr>
          <w:rFonts w:hint="eastAsia" w:asciiTheme="minorEastAsia" w:hAnsiTheme="minorEastAsia" w:eastAsiaTheme="minorEastAsia"/>
          <w:b/>
          <w:sz w:val="24"/>
        </w:rPr>
        <w:t>电气系统</w:t>
      </w:r>
    </w:p>
    <w:p>
      <w:pPr>
        <w:spacing w:line="360" w:lineRule="auto"/>
        <w:ind w:left="1680" w:leftChars="8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）常规检查</w:t>
      </w:r>
    </w:p>
    <w:p>
      <w:pPr>
        <w:spacing w:line="360" w:lineRule="auto"/>
        <w:ind w:left="1680" w:leftChars="8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）功能测试</w:t>
      </w:r>
    </w:p>
    <w:p>
      <w:pPr>
        <w:spacing w:line="360" w:lineRule="auto"/>
        <w:ind w:left="1260" w:leftChars="600"/>
        <w:rPr>
          <w:rFonts w:asciiTheme="minorEastAsia" w:hAnsiTheme="minorEastAsia" w:eastAsiaTheme="minorEastAsia"/>
          <w:b/>
          <w:sz w:val="24"/>
        </w:rPr>
      </w:pPr>
      <w:r>
        <w:rPr>
          <w:rFonts w:asciiTheme="minorEastAsia" w:hAnsiTheme="minorEastAsia" w:eastAsiaTheme="minorEastAsia"/>
          <w:b/>
          <w:sz w:val="24"/>
        </w:rPr>
        <w:t>5、</w:t>
      </w:r>
      <w:r>
        <w:rPr>
          <w:rFonts w:hint="eastAsia" w:asciiTheme="minorEastAsia" w:hAnsiTheme="minorEastAsia" w:eastAsiaTheme="minorEastAsia"/>
          <w:b/>
          <w:sz w:val="24"/>
        </w:rPr>
        <w:t>消防系统：</w:t>
      </w:r>
    </w:p>
    <w:p>
      <w:pPr>
        <w:spacing w:line="360" w:lineRule="auto"/>
        <w:ind w:left="1680" w:leftChars="8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）消防水泵房</w:t>
      </w:r>
    </w:p>
    <w:p>
      <w:pPr>
        <w:spacing w:line="360" w:lineRule="auto"/>
        <w:ind w:left="1680" w:leftChars="8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）室内外消火栓系统</w:t>
      </w:r>
    </w:p>
    <w:p>
      <w:pPr>
        <w:spacing w:line="360" w:lineRule="auto"/>
        <w:ind w:left="1680" w:leftChars="8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）自动喷水灭火系统</w:t>
      </w:r>
    </w:p>
    <w:p>
      <w:pPr>
        <w:spacing w:line="360" w:lineRule="auto"/>
        <w:ind w:left="1680" w:leftChars="8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）火灾自动报警系统</w:t>
      </w:r>
    </w:p>
    <w:p>
      <w:pPr>
        <w:spacing w:line="360" w:lineRule="auto"/>
        <w:ind w:left="1680" w:leftChars="8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）排烟系统</w:t>
      </w:r>
    </w:p>
    <w:p>
      <w:pPr>
        <w:spacing w:line="360" w:lineRule="auto"/>
        <w:ind w:left="1680" w:leftChars="800"/>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）气体灭火系统</w:t>
      </w:r>
    </w:p>
    <w:p>
      <w:pPr>
        <w:spacing w:line="360" w:lineRule="auto"/>
        <w:ind w:left="1260" w:leftChars="600"/>
        <w:rPr>
          <w:rFonts w:asciiTheme="minorEastAsia" w:hAnsiTheme="minorEastAsia" w:eastAsiaTheme="minorEastAsia"/>
          <w:b/>
          <w:sz w:val="24"/>
        </w:rPr>
      </w:pPr>
      <w:r>
        <w:rPr>
          <w:rFonts w:asciiTheme="minorEastAsia" w:hAnsiTheme="minorEastAsia" w:eastAsiaTheme="minorEastAsia"/>
          <w:b/>
          <w:sz w:val="24"/>
        </w:rPr>
        <w:t>6、</w:t>
      </w:r>
      <w:r>
        <w:rPr>
          <w:rFonts w:hint="eastAsia" w:asciiTheme="minorEastAsia" w:hAnsiTheme="minorEastAsia" w:eastAsiaTheme="minorEastAsia"/>
          <w:b/>
          <w:sz w:val="24"/>
        </w:rPr>
        <w:t>给排水系统：</w:t>
      </w:r>
    </w:p>
    <w:p>
      <w:pPr>
        <w:spacing w:line="360" w:lineRule="auto"/>
        <w:ind w:left="1680" w:leftChars="8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）常规检查</w:t>
      </w:r>
    </w:p>
    <w:p>
      <w:pPr>
        <w:spacing w:line="360" w:lineRule="auto"/>
        <w:ind w:left="1680" w:leftChars="800"/>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2</w:t>
      </w:r>
      <w:r>
        <w:rPr>
          <w:rFonts w:hint="eastAsia" w:asciiTheme="minorEastAsia" w:hAnsiTheme="minorEastAsia" w:eastAsiaTheme="minorEastAsia"/>
          <w:color w:val="000000" w:themeColor="text1"/>
          <w:sz w:val="24"/>
        </w:rPr>
        <w:t>）功能测试</w:t>
      </w:r>
    </w:p>
    <w:p>
      <w:pPr>
        <w:spacing w:line="360" w:lineRule="auto"/>
        <w:ind w:left="1260" w:leftChars="600"/>
        <w:rPr>
          <w:rFonts w:asciiTheme="minorEastAsia" w:hAnsiTheme="minorEastAsia" w:eastAsiaTheme="minorEastAsia"/>
          <w:b/>
          <w:color w:val="000000" w:themeColor="text1"/>
          <w:sz w:val="24"/>
        </w:rPr>
      </w:pPr>
      <w:r>
        <w:rPr>
          <w:rFonts w:asciiTheme="minorEastAsia" w:hAnsiTheme="minorEastAsia" w:eastAsiaTheme="minorEastAsia"/>
          <w:b/>
          <w:color w:val="000000" w:themeColor="text1"/>
          <w:sz w:val="24"/>
        </w:rPr>
        <w:t>7</w:t>
      </w:r>
      <w:r>
        <w:rPr>
          <w:rFonts w:hint="eastAsia" w:asciiTheme="minorEastAsia" w:hAnsiTheme="minorEastAsia" w:eastAsiaTheme="minorEastAsia"/>
          <w:b/>
          <w:color w:val="000000" w:themeColor="text1"/>
          <w:sz w:val="24"/>
        </w:rPr>
        <w:t>、行车动线规划</w:t>
      </w:r>
    </w:p>
    <w:p>
      <w:pPr>
        <w:spacing w:line="360" w:lineRule="auto"/>
        <w:ind w:left="1260" w:leftChars="600"/>
        <w:rPr>
          <w:rFonts w:asciiTheme="minorEastAsia" w:hAnsiTheme="minorEastAsia" w:eastAsiaTheme="minorEastAsia"/>
          <w:b/>
          <w:sz w:val="24"/>
        </w:rPr>
      </w:pPr>
      <w:r>
        <w:rPr>
          <w:rFonts w:asciiTheme="minorEastAsia" w:hAnsiTheme="minorEastAsia" w:eastAsiaTheme="minorEastAsia"/>
          <w:b/>
          <w:sz w:val="24"/>
        </w:rPr>
        <w:t>8、节能管控方案</w:t>
      </w:r>
    </w:p>
    <w:p>
      <w:pPr>
        <w:spacing w:line="360" w:lineRule="auto"/>
        <w:rPr>
          <w:b/>
          <w:color w:val="000000"/>
          <w:sz w:val="24"/>
        </w:rPr>
      </w:pPr>
    </w:p>
    <w:p>
      <w:pPr>
        <w:spacing w:line="360" w:lineRule="auto"/>
        <w:rPr>
          <w:b/>
          <w:color w:val="000000"/>
          <w:sz w:val="24"/>
        </w:rPr>
      </w:pPr>
      <w:r>
        <w:rPr>
          <w:rFonts w:hint="eastAsia"/>
          <w:b/>
          <w:color w:val="000000"/>
          <w:sz w:val="24"/>
        </w:rPr>
        <w:t>四、服务要求</w:t>
      </w:r>
    </w:p>
    <w:p>
      <w:pPr>
        <w:pStyle w:val="58"/>
        <w:spacing w:before="75" w:after="75" w:line="360" w:lineRule="auto"/>
        <w:ind w:firstLine="0" w:firstLineChars="0"/>
        <w:rPr>
          <w:rFonts w:ascii="宋体" w:hAnsi="宋体"/>
          <w:sz w:val="24"/>
        </w:rPr>
      </w:pPr>
      <w:r>
        <w:rPr>
          <w:rFonts w:hint="eastAsia" w:ascii="宋体" w:hAnsi="宋体"/>
          <w:sz w:val="24"/>
        </w:rPr>
        <w:t>1、评估方案与实施计划</w:t>
      </w:r>
    </w:p>
    <w:p>
      <w:pPr>
        <w:pStyle w:val="58"/>
        <w:spacing w:line="360" w:lineRule="auto"/>
        <w:ind w:left="420" w:leftChars="200" w:firstLine="0" w:firstLineChars="0"/>
        <w:rPr>
          <w:rFonts w:ascii="宋体" w:hAnsi="宋体"/>
          <w:sz w:val="24"/>
        </w:rPr>
      </w:pPr>
      <w:r>
        <w:rPr>
          <w:rFonts w:hint="eastAsia" w:ascii="宋体" w:hAnsi="宋体"/>
          <w:sz w:val="24"/>
        </w:rPr>
        <w:t>（1）中标机构需提供本次招标范围内的所有服务细项执行方案与实施计划书；</w:t>
      </w:r>
    </w:p>
    <w:p>
      <w:pPr>
        <w:pStyle w:val="58"/>
        <w:spacing w:line="360" w:lineRule="auto"/>
        <w:ind w:left="420" w:leftChars="200" w:firstLine="0" w:firstLineChars="0"/>
        <w:rPr>
          <w:rFonts w:ascii="宋体" w:hAnsi="宋体"/>
          <w:sz w:val="24"/>
        </w:rPr>
      </w:pPr>
      <w:r>
        <w:rPr>
          <w:rFonts w:hint="eastAsia" w:ascii="宋体" w:hAnsi="宋体"/>
          <w:sz w:val="24"/>
        </w:rPr>
        <w:t>（2）未获招标人批准的执行方案与实施计划不得私自进行。</w:t>
      </w:r>
    </w:p>
    <w:p>
      <w:pPr>
        <w:pStyle w:val="58"/>
        <w:spacing w:before="75" w:after="75" w:line="360" w:lineRule="auto"/>
        <w:ind w:firstLine="0" w:firstLineChars="0"/>
        <w:rPr>
          <w:rFonts w:ascii="宋体" w:hAnsi="宋体"/>
          <w:sz w:val="24"/>
        </w:rPr>
      </w:pPr>
      <w:r>
        <w:rPr>
          <w:rFonts w:hint="eastAsia" w:ascii="宋体" w:hAnsi="宋体"/>
          <w:sz w:val="24"/>
        </w:rPr>
        <w:t>2、突发</w:t>
      </w:r>
      <w:r>
        <w:rPr>
          <w:rFonts w:ascii="宋体" w:hAnsi="宋体"/>
          <w:sz w:val="24"/>
        </w:rPr>
        <w:t>状况</w:t>
      </w:r>
      <w:r>
        <w:rPr>
          <w:rFonts w:hint="eastAsia" w:ascii="宋体" w:hAnsi="宋体"/>
          <w:sz w:val="24"/>
        </w:rPr>
        <w:t>管控</w:t>
      </w:r>
      <w:r>
        <w:rPr>
          <w:rFonts w:ascii="宋体" w:hAnsi="宋体"/>
          <w:sz w:val="24"/>
        </w:rPr>
        <w:t>预</w:t>
      </w:r>
      <w:r>
        <w:rPr>
          <w:rFonts w:hint="eastAsia" w:ascii="宋体" w:hAnsi="宋体"/>
          <w:sz w:val="24"/>
        </w:rPr>
        <w:t>案</w:t>
      </w:r>
    </w:p>
    <w:p>
      <w:pPr>
        <w:pStyle w:val="58"/>
        <w:spacing w:before="75" w:after="75" w:line="360" w:lineRule="auto"/>
        <w:ind w:firstLine="0" w:firstLineChars="0"/>
        <w:rPr>
          <w:rFonts w:ascii="宋体" w:hAnsi="宋体"/>
          <w:sz w:val="24"/>
        </w:rPr>
      </w:pPr>
      <w:r>
        <w:rPr>
          <w:rFonts w:hint="eastAsia" w:ascii="宋体" w:hAnsi="宋体"/>
          <w:sz w:val="24"/>
        </w:rPr>
        <w:tab/>
      </w:r>
      <w:r>
        <w:rPr>
          <w:rFonts w:hint="eastAsia" w:ascii="宋体" w:hAnsi="宋体"/>
          <w:sz w:val="24"/>
        </w:rPr>
        <w:t>（1）中标机构需制定与所有执行方案相关的突发事件应急处置预案，并按处置流程开展突发状况管控工作；</w:t>
      </w:r>
    </w:p>
    <w:p>
      <w:pPr>
        <w:pStyle w:val="58"/>
        <w:spacing w:before="75" w:after="75" w:line="360" w:lineRule="auto"/>
        <w:ind w:firstLine="0" w:firstLineChars="0"/>
        <w:rPr>
          <w:rFonts w:ascii="宋体" w:hAnsi="宋体"/>
          <w:sz w:val="24"/>
        </w:rPr>
      </w:pPr>
      <w:r>
        <w:rPr>
          <w:rFonts w:hint="eastAsia" w:ascii="宋体" w:hAnsi="宋体"/>
          <w:sz w:val="24"/>
        </w:rPr>
        <w:tab/>
      </w:r>
      <w:r>
        <w:rPr>
          <w:rFonts w:hint="eastAsia" w:ascii="宋体" w:hAnsi="宋体"/>
          <w:sz w:val="24"/>
        </w:rPr>
        <w:t>（2）中标机构需接受招标人对突发事件应急处置预案的流程审批与演练监督。</w:t>
      </w:r>
    </w:p>
    <w:p>
      <w:pPr>
        <w:pStyle w:val="58"/>
        <w:spacing w:before="75" w:after="75" w:line="360" w:lineRule="auto"/>
        <w:ind w:firstLine="0" w:firstLineChars="0"/>
        <w:rPr>
          <w:rFonts w:ascii="宋体" w:hAnsi="宋体"/>
          <w:sz w:val="24"/>
        </w:rPr>
      </w:pPr>
      <w:r>
        <w:rPr>
          <w:rFonts w:hint="eastAsia" w:ascii="宋体" w:hAnsi="宋体"/>
          <w:sz w:val="24"/>
        </w:rPr>
        <w:t>3、检测结果提报</w:t>
      </w:r>
    </w:p>
    <w:p>
      <w:pPr>
        <w:pStyle w:val="58"/>
        <w:spacing w:line="360" w:lineRule="auto"/>
        <w:ind w:left="420" w:leftChars="200" w:firstLine="0" w:firstLineChars="0"/>
        <w:rPr>
          <w:rFonts w:ascii="宋体" w:hAnsi="宋体"/>
          <w:sz w:val="24"/>
        </w:rPr>
      </w:pPr>
      <w:r>
        <w:rPr>
          <w:rFonts w:hint="eastAsia" w:ascii="宋体" w:hAnsi="宋体"/>
          <w:sz w:val="24"/>
        </w:rPr>
        <w:t>（1）需提供所有本次评估过程中的工程设施设备检测、评估记录，包含检测报告、评估报告；</w:t>
      </w:r>
    </w:p>
    <w:p>
      <w:pPr>
        <w:pStyle w:val="58"/>
        <w:spacing w:line="360" w:lineRule="auto"/>
        <w:ind w:left="420" w:leftChars="200" w:firstLine="0" w:firstLineChars="0"/>
        <w:rPr>
          <w:rFonts w:ascii="宋体" w:hAnsi="宋体"/>
          <w:sz w:val="24"/>
        </w:rPr>
      </w:pPr>
      <w:r>
        <w:rPr>
          <w:rFonts w:hint="eastAsia" w:ascii="宋体" w:hAnsi="宋体"/>
          <w:sz w:val="24"/>
        </w:rPr>
        <w:t>（2）需提供针对本次评估结果的改进、提升实施方案与建议。</w:t>
      </w:r>
    </w:p>
    <w:p>
      <w:pPr>
        <w:pStyle w:val="58"/>
        <w:spacing w:before="75" w:after="75" w:line="360" w:lineRule="auto"/>
        <w:ind w:firstLine="0" w:firstLineChars="0"/>
        <w:rPr>
          <w:rFonts w:ascii="宋体" w:hAnsi="宋体"/>
          <w:sz w:val="24"/>
        </w:rPr>
      </w:pPr>
      <w:r>
        <w:rPr>
          <w:rFonts w:hint="eastAsia" w:ascii="宋体" w:hAnsi="宋体"/>
          <w:sz w:val="24"/>
        </w:rPr>
        <w:t>4、后续服务承诺</w:t>
      </w:r>
    </w:p>
    <w:p>
      <w:pPr>
        <w:pStyle w:val="58"/>
        <w:spacing w:line="360" w:lineRule="auto"/>
        <w:ind w:left="420" w:leftChars="200" w:firstLine="0" w:firstLineChars="0"/>
        <w:rPr>
          <w:rFonts w:ascii="宋体" w:hAnsi="宋体"/>
          <w:sz w:val="24"/>
        </w:rPr>
      </w:pPr>
      <w:r>
        <w:rPr>
          <w:rFonts w:hint="eastAsia" w:ascii="宋体" w:hAnsi="宋体"/>
          <w:sz w:val="24"/>
        </w:rPr>
        <w:t>（1）中标机构需提供所有技术服务细项后续改进、提升整改实施过程中的技术保障，并提供技术保障承诺书。</w:t>
      </w:r>
    </w:p>
    <w:p>
      <w:pPr>
        <w:pStyle w:val="58"/>
        <w:spacing w:line="360" w:lineRule="auto"/>
        <w:ind w:left="420" w:leftChars="200" w:firstLine="0" w:firstLineChars="0"/>
        <w:rPr>
          <w:rFonts w:ascii="宋体" w:hAnsi="宋体"/>
          <w:sz w:val="24"/>
        </w:rPr>
      </w:pPr>
      <w:r>
        <w:rPr>
          <w:rFonts w:hint="eastAsia" w:ascii="宋体" w:hAnsi="宋体"/>
          <w:sz w:val="24"/>
        </w:rPr>
        <w:t>（2）中标机构需保障本次评估过程中所有工程设施设备检测、评估记录安全，并提供保密协议书。</w:t>
      </w:r>
    </w:p>
    <w:p>
      <w:pPr>
        <w:spacing w:line="360" w:lineRule="auto"/>
        <w:rPr>
          <w:b/>
          <w:color w:val="000000"/>
          <w:sz w:val="24"/>
        </w:rPr>
      </w:pPr>
      <w:r>
        <w:rPr>
          <w:rFonts w:hint="eastAsia"/>
          <w:b/>
          <w:color w:val="000000"/>
          <w:sz w:val="24"/>
        </w:rPr>
        <w:t>五、投标人资格要求</w:t>
      </w:r>
    </w:p>
    <w:p>
      <w:pPr>
        <w:numPr>
          <w:ilvl w:val="255"/>
          <w:numId w:val="0"/>
        </w:numPr>
        <w:spacing w:line="360" w:lineRule="auto"/>
        <w:rPr>
          <w:rFonts w:ascii="宋体" w:hAnsi="宋体" w:cs="宋体"/>
          <w:kern w:val="0"/>
          <w:sz w:val="24"/>
        </w:rPr>
      </w:pPr>
      <w:r>
        <w:rPr>
          <w:rFonts w:hint="eastAsia" w:ascii="宋体" w:hAnsi="宋体" w:cs="宋体"/>
          <w:kern w:val="0"/>
          <w:sz w:val="24"/>
        </w:rPr>
        <w:t>1、★投标人具有独立承担民事责任的能力，并具备参加招投标、政府采购活动的合法条件。投标人必须提供经年检合格的企业法人营业执照（副本）的有效复印件。</w:t>
      </w:r>
    </w:p>
    <w:p>
      <w:pPr>
        <w:spacing w:line="360" w:lineRule="auto"/>
        <w:rPr>
          <w:rFonts w:ascii="宋体" w:hAnsi="宋体" w:cs="宋体"/>
          <w:kern w:val="0"/>
          <w:sz w:val="24"/>
        </w:rPr>
      </w:pPr>
      <w:r>
        <w:rPr>
          <w:rFonts w:hint="eastAsia" w:ascii="宋体" w:hAnsi="宋体" w:cs="宋体"/>
          <w:kern w:val="0"/>
          <w:sz w:val="24"/>
        </w:rPr>
        <w:t>2、投标人代表不是法定代表人的，应提供法定代表人授权书原件，以及投标人代表的身份证复印件。</w:t>
      </w:r>
    </w:p>
    <w:p>
      <w:pPr>
        <w:spacing w:line="360" w:lineRule="auto"/>
        <w:rPr>
          <w:b/>
          <w:color w:val="000000"/>
          <w:sz w:val="24"/>
        </w:rPr>
      </w:pPr>
      <w:r>
        <w:rPr>
          <w:rFonts w:hint="eastAsia" w:ascii="宋体" w:hAnsi="宋体" w:cs="宋体"/>
          <w:kern w:val="0"/>
          <w:sz w:val="24"/>
        </w:rPr>
        <w:t>3、本项目不接受联合体投标人。</w:t>
      </w:r>
    </w:p>
    <w:p>
      <w:pPr>
        <w:spacing w:line="360" w:lineRule="auto"/>
        <w:rPr>
          <w:b/>
          <w:color w:val="000000"/>
          <w:sz w:val="24"/>
        </w:rPr>
      </w:pPr>
      <w:r>
        <w:rPr>
          <w:rFonts w:hint="eastAsia"/>
          <w:b/>
          <w:color w:val="000000"/>
          <w:sz w:val="24"/>
        </w:rPr>
        <w:t>六、投标人需提交的文件</w:t>
      </w:r>
    </w:p>
    <w:p>
      <w:pPr>
        <w:spacing w:line="360" w:lineRule="auto"/>
        <w:rPr>
          <w:color w:val="000000"/>
          <w:sz w:val="24"/>
        </w:rPr>
      </w:pPr>
      <w:r>
        <w:rPr>
          <w:rFonts w:hint="eastAsia"/>
          <w:color w:val="000000"/>
          <w:sz w:val="24"/>
        </w:rPr>
        <w:t>1、投标文件组成</w:t>
      </w:r>
    </w:p>
    <w:p>
      <w:pPr>
        <w:spacing w:line="360" w:lineRule="auto"/>
        <w:ind w:firstLine="420"/>
        <w:rPr>
          <w:color w:val="000000"/>
          <w:sz w:val="24"/>
        </w:rPr>
      </w:pPr>
      <w:r>
        <w:rPr>
          <w:rFonts w:hint="eastAsia"/>
          <w:color w:val="000000"/>
          <w:sz w:val="24"/>
        </w:rPr>
        <w:t>本次投标文件由《技术标》和《商务标》两部分组成，投标人需按</w:t>
      </w:r>
      <w:r>
        <w:rPr>
          <w:rFonts w:hint="eastAsia" w:ascii="宋体" w:hAnsi="宋体"/>
          <w:sz w:val="24"/>
        </w:rPr>
        <w:t>招标文件的要求及提供的格式编制</w:t>
      </w:r>
      <w:r>
        <w:rPr>
          <w:rFonts w:hint="eastAsia"/>
          <w:color w:val="000000"/>
          <w:sz w:val="24"/>
        </w:rPr>
        <w:t>。</w:t>
      </w:r>
    </w:p>
    <w:p>
      <w:pPr>
        <w:spacing w:line="360" w:lineRule="auto"/>
        <w:rPr>
          <w:color w:val="000000"/>
          <w:sz w:val="24"/>
        </w:rPr>
      </w:pPr>
      <w:r>
        <w:rPr>
          <w:rFonts w:hint="eastAsia"/>
          <w:color w:val="000000"/>
          <w:sz w:val="24"/>
        </w:rPr>
        <w:t>2、投标人需提交的文件</w:t>
      </w:r>
    </w:p>
    <w:p>
      <w:pPr>
        <w:spacing w:line="360" w:lineRule="auto"/>
        <w:ind w:firstLine="420"/>
        <w:rPr>
          <w:rFonts w:ascii="宋体" w:hAnsi="宋体"/>
          <w:sz w:val="24"/>
        </w:rPr>
      </w:pPr>
      <w:r>
        <w:rPr>
          <w:rFonts w:hint="eastAsia" w:ascii="宋体" w:hAnsi="宋体"/>
          <w:sz w:val="24"/>
        </w:rPr>
        <w:t>（1）《技术标》投标文件</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）投标人简介；</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）经年检的企业法人营业执照；</w:t>
      </w:r>
    </w:p>
    <w:p>
      <w:pPr>
        <w:numPr>
          <w:ilvl w:val="0"/>
          <w:numId w:val="4"/>
        </w:numPr>
        <w:spacing w:line="360" w:lineRule="auto"/>
        <w:ind w:leftChars="200"/>
        <w:rPr>
          <w:rFonts w:ascii="宋体" w:hAnsi="宋体"/>
          <w:sz w:val="24"/>
        </w:rPr>
      </w:pPr>
      <w:r>
        <w:rPr>
          <w:rFonts w:hint="eastAsia" w:ascii="宋体" w:hAnsi="宋体"/>
          <w:sz w:val="24"/>
        </w:rPr>
        <w:t>相关资质证书；</w:t>
      </w:r>
    </w:p>
    <w:p>
      <w:pPr>
        <w:numPr>
          <w:ilvl w:val="0"/>
          <w:numId w:val="4"/>
        </w:numPr>
        <w:spacing w:line="360" w:lineRule="auto"/>
        <w:ind w:leftChars="200"/>
        <w:rPr>
          <w:rFonts w:ascii="宋体" w:hAnsi="宋体"/>
          <w:sz w:val="24"/>
        </w:rPr>
      </w:pPr>
      <w:r>
        <w:rPr>
          <w:rFonts w:hint="eastAsia" w:ascii="宋体" w:hAnsi="宋体"/>
          <w:sz w:val="24"/>
        </w:rPr>
        <w:t>公司介绍（公司</w:t>
      </w:r>
      <w:r>
        <w:rPr>
          <w:rFonts w:ascii="宋体" w:hAnsi="宋体"/>
          <w:sz w:val="24"/>
        </w:rPr>
        <w:t>组织架构、</w:t>
      </w:r>
      <w:r>
        <w:rPr>
          <w:rFonts w:hint="eastAsia" w:ascii="宋体" w:hAnsi="宋体"/>
          <w:sz w:val="24"/>
        </w:rPr>
        <w:t>近期的主要项目、技术力量等）；</w:t>
      </w:r>
    </w:p>
    <w:p>
      <w:pPr>
        <w:numPr>
          <w:ilvl w:val="0"/>
          <w:numId w:val="4"/>
        </w:numPr>
        <w:spacing w:line="360" w:lineRule="auto"/>
        <w:ind w:leftChars="200"/>
        <w:rPr>
          <w:rFonts w:ascii="宋体" w:hAnsi="宋体"/>
          <w:color w:val="000000" w:themeColor="text1"/>
          <w:sz w:val="24"/>
        </w:rPr>
      </w:pPr>
      <w:r>
        <w:rPr>
          <w:rFonts w:hint="eastAsia" w:ascii="宋体" w:hAnsi="宋体"/>
          <w:color w:val="000000" w:themeColor="text1"/>
          <w:sz w:val="24"/>
        </w:rPr>
        <w:t>业绩目录表（格式</w:t>
      </w:r>
      <w:r>
        <w:rPr>
          <w:rFonts w:ascii="宋体" w:hAnsi="宋体"/>
          <w:color w:val="000000" w:themeColor="text1"/>
          <w:sz w:val="24"/>
        </w:rPr>
        <w:t>详见附件</w:t>
      </w:r>
      <w:r>
        <w:rPr>
          <w:rFonts w:hint="eastAsia" w:ascii="宋体" w:hAnsi="宋体"/>
          <w:color w:val="000000" w:themeColor="text1"/>
          <w:sz w:val="24"/>
        </w:rPr>
        <w:t>），</w:t>
      </w:r>
      <w:r>
        <w:rPr>
          <w:rFonts w:ascii="宋体" w:hAnsi="宋体"/>
          <w:color w:val="000000" w:themeColor="text1"/>
          <w:sz w:val="24"/>
        </w:rPr>
        <w:t>并附上合同复印件</w:t>
      </w:r>
      <w:r>
        <w:rPr>
          <w:rFonts w:hint="eastAsia" w:ascii="宋体" w:hAnsi="宋体"/>
          <w:color w:val="000000" w:themeColor="text1"/>
          <w:sz w:val="24"/>
        </w:rPr>
        <w:t>；</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）近三</w:t>
      </w:r>
      <w:r>
        <w:rPr>
          <w:rFonts w:ascii="宋体" w:hAnsi="宋体"/>
          <w:sz w:val="24"/>
        </w:rPr>
        <w:t>年的的财务报表</w:t>
      </w:r>
      <w:r>
        <w:rPr>
          <w:rFonts w:hint="eastAsia" w:ascii="宋体" w:hAnsi="宋体"/>
          <w:sz w:val="24"/>
        </w:rPr>
        <w:t>（经会计</w:t>
      </w:r>
      <w:r>
        <w:rPr>
          <w:rFonts w:ascii="宋体" w:hAnsi="宋体"/>
          <w:sz w:val="24"/>
        </w:rPr>
        <w:t>事务所审核</w:t>
      </w:r>
      <w:r>
        <w:rPr>
          <w:rFonts w:hint="eastAsia" w:ascii="宋体" w:hAnsi="宋体"/>
          <w:sz w:val="24"/>
        </w:rPr>
        <w:t>）；</w:t>
      </w:r>
    </w:p>
    <w:p>
      <w:pPr>
        <w:spacing w:line="360" w:lineRule="auto"/>
        <w:ind w:firstLine="480" w:firstLineChars="200"/>
        <w:rPr>
          <w:rFonts w:ascii="宋体" w:hAnsi="宋体"/>
          <w:color w:val="FF0000"/>
          <w:sz w:val="24"/>
        </w:rPr>
      </w:pPr>
      <w:r>
        <w:rPr>
          <w:rFonts w:hint="eastAsia" w:ascii="宋体" w:hAnsi="宋体"/>
          <w:sz w:val="24"/>
        </w:rPr>
        <w:t>7）本次项目执行</w:t>
      </w:r>
      <w:r>
        <w:rPr>
          <w:rFonts w:ascii="宋体" w:hAnsi="宋体"/>
          <w:sz w:val="24"/>
        </w:rPr>
        <w:t>团队</w:t>
      </w:r>
      <w:r>
        <w:rPr>
          <w:rFonts w:hint="eastAsia" w:ascii="宋体" w:hAnsi="宋体"/>
          <w:sz w:val="24"/>
        </w:rPr>
        <w:t>：列出该组织架构中主要成员的名单（六大</w:t>
      </w:r>
      <w:r>
        <w:rPr>
          <w:rFonts w:ascii="宋体" w:hAnsi="宋体"/>
          <w:sz w:val="24"/>
        </w:rPr>
        <w:t>系统</w:t>
      </w:r>
      <w:r>
        <w:rPr>
          <w:rFonts w:hint="eastAsia" w:ascii="宋体" w:hAnsi="宋体"/>
          <w:sz w:val="24"/>
        </w:rPr>
        <w:t>的</w:t>
      </w:r>
      <w:r>
        <w:rPr>
          <w:rFonts w:ascii="宋体" w:hAnsi="宋体"/>
          <w:sz w:val="24"/>
        </w:rPr>
        <w:t>对口专业人士）</w:t>
      </w:r>
      <w:r>
        <w:rPr>
          <w:rFonts w:hint="eastAsia" w:ascii="宋体" w:hAnsi="宋体"/>
          <w:sz w:val="24"/>
        </w:rPr>
        <w:t>、简历资料、职务职称，在本项目中拟担任的角色职务等；投标</w:t>
      </w:r>
      <w:r>
        <w:rPr>
          <w:rFonts w:ascii="宋体" w:hAnsi="宋体"/>
          <w:sz w:val="24"/>
        </w:rPr>
        <w:t>单位为</w:t>
      </w:r>
      <w:r>
        <w:rPr>
          <w:rFonts w:hint="eastAsia" w:ascii="宋体" w:hAnsi="宋体"/>
          <w:sz w:val="24"/>
        </w:rPr>
        <w:t>主要</w:t>
      </w:r>
      <w:r>
        <w:rPr>
          <w:rFonts w:ascii="宋体" w:hAnsi="宋体"/>
          <w:sz w:val="24"/>
        </w:rPr>
        <w:t>成员</w:t>
      </w:r>
      <w:r>
        <w:rPr>
          <w:rFonts w:hint="eastAsia" w:ascii="宋体" w:hAnsi="宋体"/>
          <w:sz w:val="24"/>
        </w:rPr>
        <w:t>缴纳</w:t>
      </w:r>
      <w:r>
        <w:rPr>
          <w:rFonts w:ascii="宋体" w:hAnsi="宋体"/>
          <w:sz w:val="24"/>
        </w:rPr>
        <w:t>社保</w:t>
      </w:r>
      <w:r>
        <w:rPr>
          <w:rFonts w:hint="eastAsia" w:ascii="宋体" w:hAnsi="宋体"/>
          <w:sz w:val="24"/>
        </w:rPr>
        <w:t>的社保机构</w:t>
      </w:r>
      <w:r>
        <w:rPr>
          <w:rFonts w:ascii="宋体" w:hAnsi="宋体"/>
          <w:sz w:val="24"/>
        </w:rPr>
        <w:t>证明</w:t>
      </w:r>
      <w:r>
        <w:rPr>
          <w:rFonts w:hint="eastAsia" w:ascii="宋体" w:hAnsi="宋体"/>
          <w:sz w:val="24"/>
        </w:rPr>
        <w:t>；</w:t>
      </w:r>
    </w:p>
    <w:p>
      <w:pPr>
        <w:spacing w:line="360" w:lineRule="auto"/>
        <w:ind w:firstLine="480" w:firstLineChars="200"/>
        <w:rPr>
          <w:rFonts w:ascii="宋体" w:hAnsi="宋体"/>
          <w:sz w:val="24"/>
        </w:rPr>
      </w:pPr>
      <w:r>
        <w:rPr>
          <w:rFonts w:ascii="宋体" w:hAnsi="宋体"/>
          <w:color w:val="000000" w:themeColor="text1"/>
          <w:sz w:val="24"/>
        </w:rPr>
        <w:t>8</w:t>
      </w:r>
      <w:r>
        <w:rPr>
          <w:rFonts w:hint="eastAsia" w:ascii="宋体" w:hAnsi="宋体"/>
          <w:color w:val="000000" w:themeColor="text1"/>
          <w:sz w:val="24"/>
        </w:rPr>
        <w:t>）本</w:t>
      </w:r>
      <w:r>
        <w:rPr>
          <w:rFonts w:ascii="宋体" w:hAnsi="宋体"/>
          <w:color w:val="000000" w:themeColor="text1"/>
          <w:sz w:val="24"/>
        </w:rPr>
        <w:t>次</w:t>
      </w:r>
      <w:r>
        <w:rPr>
          <w:rFonts w:hint="eastAsia" w:ascii="宋体" w:hAnsi="宋体"/>
          <w:color w:val="000000" w:themeColor="text1"/>
          <w:sz w:val="24"/>
        </w:rPr>
        <w:t>项目负责人（</w:t>
      </w:r>
      <w:r>
        <w:rPr>
          <w:rFonts w:ascii="宋体" w:hAnsi="宋体"/>
          <w:color w:val="000000" w:themeColor="text1"/>
          <w:sz w:val="24"/>
        </w:rPr>
        <w:t>项目经理）</w:t>
      </w:r>
      <w:r>
        <w:rPr>
          <w:rFonts w:hint="eastAsia" w:ascii="宋体" w:hAnsi="宋体"/>
          <w:color w:val="000000" w:themeColor="text1"/>
          <w:sz w:val="24"/>
        </w:rPr>
        <w:t>的</w:t>
      </w:r>
      <w:r>
        <w:rPr>
          <w:rFonts w:ascii="宋体" w:hAnsi="宋体"/>
          <w:color w:val="000000" w:themeColor="text1"/>
          <w:sz w:val="24"/>
        </w:rPr>
        <w:t>资历详细</w:t>
      </w:r>
      <w:r>
        <w:rPr>
          <w:rFonts w:hint="eastAsia" w:ascii="宋体" w:hAnsi="宋体"/>
          <w:color w:val="000000" w:themeColor="text1"/>
          <w:sz w:val="24"/>
        </w:rPr>
        <w:t>资料（项目负责人有五年以上（含）从业经验，有专业的服务资质，有担任相同类型、相同规模项目服务的经历），投标</w:t>
      </w:r>
      <w:r>
        <w:rPr>
          <w:rFonts w:ascii="宋体" w:hAnsi="宋体"/>
          <w:color w:val="000000" w:themeColor="text1"/>
          <w:sz w:val="24"/>
        </w:rPr>
        <w:t>单</w:t>
      </w:r>
      <w:r>
        <w:rPr>
          <w:rFonts w:ascii="宋体" w:hAnsi="宋体"/>
          <w:sz w:val="24"/>
        </w:rPr>
        <w:t>位为其</w:t>
      </w:r>
      <w:r>
        <w:rPr>
          <w:rFonts w:hint="eastAsia" w:ascii="宋体" w:hAnsi="宋体"/>
          <w:sz w:val="24"/>
        </w:rPr>
        <w:t>缴纳</w:t>
      </w:r>
      <w:r>
        <w:rPr>
          <w:rFonts w:ascii="宋体" w:hAnsi="宋体"/>
          <w:sz w:val="24"/>
        </w:rPr>
        <w:t>社保</w:t>
      </w:r>
      <w:r>
        <w:rPr>
          <w:rFonts w:hint="eastAsia" w:ascii="宋体" w:hAnsi="宋体"/>
          <w:sz w:val="24"/>
        </w:rPr>
        <w:t>的社保机构</w:t>
      </w:r>
      <w:r>
        <w:rPr>
          <w:rFonts w:ascii="宋体" w:hAnsi="宋体"/>
          <w:sz w:val="24"/>
        </w:rPr>
        <w:t>证明</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）服务大纲，包括但不限于以下内容：</w:t>
      </w:r>
    </w:p>
    <w:p>
      <w:pPr>
        <w:pStyle w:val="58"/>
        <w:numPr>
          <w:ilvl w:val="0"/>
          <w:numId w:val="5"/>
        </w:numPr>
        <w:spacing w:line="360" w:lineRule="auto"/>
        <w:ind w:firstLine="480" w:firstLineChars="0"/>
        <w:rPr>
          <w:rFonts w:ascii="宋体" w:hAnsi="宋体"/>
          <w:sz w:val="24"/>
        </w:rPr>
      </w:pPr>
      <w:r>
        <w:rPr>
          <w:rFonts w:hint="eastAsia" w:ascii="宋体" w:hAnsi="宋体"/>
          <w:sz w:val="24"/>
        </w:rPr>
        <w:t>服务内容阐述</w:t>
      </w:r>
    </w:p>
    <w:p>
      <w:pPr>
        <w:pStyle w:val="58"/>
        <w:numPr>
          <w:ilvl w:val="0"/>
          <w:numId w:val="5"/>
        </w:numPr>
        <w:spacing w:line="360" w:lineRule="auto"/>
        <w:ind w:firstLine="480" w:firstLineChars="0"/>
        <w:rPr>
          <w:rFonts w:ascii="宋体" w:hAnsi="宋体"/>
          <w:sz w:val="24"/>
        </w:rPr>
      </w:pPr>
      <w:r>
        <w:rPr>
          <w:rFonts w:hint="eastAsia" w:ascii="宋体" w:hAnsi="宋体"/>
          <w:sz w:val="24"/>
        </w:rPr>
        <w:t>人员分工及相关资质证书等资料</w:t>
      </w:r>
    </w:p>
    <w:p>
      <w:pPr>
        <w:pStyle w:val="58"/>
        <w:numPr>
          <w:ilvl w:val="0"/>
          <w:numId w:val="5"/>
        </w:numPr>
        <w:spacing w:line="360" w:lineRule="auto"/>
        <w:ind w:firstLine="480" w:firstLineChars="0"/>
        <w:rPr>
          <w:rFonts w:ascii="宋体" w:hAnsi="宋体"/>
          <w:sz w:val="24"/>
        </w:rPr>
      </w:pPr>
      <w:r>
        <w:rPr>
          <w:rFonts w:hint="eastAsia" w:ascii="宋体" w:hAnsi="宋体"/>
          <w:sz w:val="24"/>
        </w:rPr>
        <w:t>项目组织架构及工作职责</w:t>
      </w:r>
    </w:p>
    <w:p>
      <w:pPr>
        <w:pStyle w:val="58"/>
        <w:numPr>
          <w:ilvl w:val="0"/>
          <w:numId w:val="5"/>
        </w:numPr>
        <w:spacing w:line="360" w:lineRule="auto"/>
        <w:ind w:firstLine="480" w:firstLineChars="0"/>
        <w:rPr>
          <w:rFonts w:ascii="宋体" w:hAnsi="宋体"/>
          <w:sz w:val="24"/>
        </w:rPr>
      </w:pPr>
      <w:r>
        <w:rPr>
          <w:rFonts w:hint="eastAsia" w:ascii="宋体" w:hAnsi="宋体"/>
          <w:sz w:val="24"/>
        </w:rPr>
        <w:t>服务标准</w:t>
      </w:r>
    </w:p>
    <w:p>
      <w:pPr>
        <w:pStyle w:val="58"/>
        <w:numPr>
          <w:ilvl w:val="0"/>
          <w:numId w:val="5"/>
        </w:numPr>
        <w:spacing w:line="360" w:lineRule="auto"/>
        <w:ind w:firstLine="480" w:firstLineChars="0"/>
        <w:rPr>
          <w:rFonts w:ascii="宋体" w:hAnsi="宋体"/>
          <w:sz w:val="24"/>
        </w:rPr>
      </w:pPr>
      <w:r>
        <w:rPr>
          <w:rFonts w:hint="eastAsia" w:ascii="宋体" w:hAnsi="宋体"/>
          <w:sz w:val="24"/>
        </w:rPr>
        <w:t>服务的难点、要点和关键部位阐述</w:t>
      </w:r>
    </w:p>
    <w:p>
      <w:pPr>
        <w:pStyle w:val="58"/>
        <w:numPr>
          <w:ilvl w:val="0"/>
          <w:numId w:val="5"/>
        </w:numPr>
        <w:spacing w:line="360" w:lineRule="auto"/>
        <w:ind w:firstLine="480" w:firstLineChars="0"/>
        <w:rPr>
          <w:rFonts w:ascii="宋体" w:hAnsi="宋体"/>
          <w:sz w:val="24"/>
        </w:rPr>
      </w:pPr>
      <w:r>
        <w:rPr>
          <w:rFonts w:hint="eastAsia" w:ascii="宋体" w:hAnsi="宋体"/>
          <w:sz w:val="24"/>
        </w:rPr>
        <w:t>质量控制措施阐述及承诺书</w:t>
      </w:r>
    </w:p>
    <w:p>
      <w:pPr>
        <w:pStyle w:val="58"/>
        <w:numPr>
          <w:ilvl w:val="0"/>
          <w:numId w:val="5"/>
        </w:numPr>
        <w:spacing w:line="360" w:lineRule="auto"/>
        <w:ind w:firstLine="480" w:firstLineChars="0"/>
        <w:rPr>
          <w:rFonts w:ascii="宋体" w:hAnsi="宋体"/>
          <w:sz w:val="24"/>
        </w:rPr>
      </w:pPr>
      <w:r>
        <w:rPr>
          <w:rFonts w:hint="eastAsia" w:ascii="宋体" w:hAnsi="宋体"/>
          <w:sz w:val="24"/>
        </w:rPr>
        <w:t>检测仪器及工具</w:t>
      </w:r>
    </w:p>
    <w:p>
      <w:pPr>
        <w:pStyle w:val="58"/>
        <w:numPr>
          <w:ilvl w:val="0"/>
          <w:numId w:val="5"/>
        </w:numPr>
        <w:spacing w:line="360" w:lineRule="auto"/>
        <w:ind w:firstLine="480" w:firstLineChars="0"/>
        <w:rPr>
          <w:rFonts w:ascii="宋体" w:hAnsi="宋体"/>
          <w:sz w:val="24"/>
        </w:rPr>
      </w:pPr>
      <w:r>
        <w:rPr>
          <w:rFonts w:hint="eastAsia" w:ascii="宋体" w:hAnsi="宋体"/>
          <w:sz w:val="24"/>
        </w:rPr>
        <w:t>各系统详细检查自检表</w:t>
      </w:r>
    </w:p>
    <w:p>
      <w:pPr>
        <w:pStyle w:val="58"/>
        <w:numPr>
          <w:ilvl w:val="0"/>
          <w:numId w:val="5"/>
        </w:numPr>
        <w:spacing w:line="360" w:lineRule="auto"/>
        <w:ind w:firstLine="480" w:firstLineChars="0"/>
        <w:rPr>
          <w:rFonts w:ascii="宋体" w:hAnsi="宋体"/>
          <w:sz w:val="24"/>
        </w:rPr>
      </w:pPr>
      <w:r>
        <w:rPr>
          <w:rFonts w:hint="eastAsia" w:ascii="宋体" w:hAnsi="宋体"/>
          <w:sz w:val="24"/>
        </w:rPr>
        <w:t>工期计划表及保障措施</w:t>
      </w:r>
    </w:p>
    <w:p>
      <w:pPr>
        <w:pStyle w:val="58"/>
        <w:numPr>
          <w:ilvl w:val="0"/>
          <w:numId w:val="5"/>
        </w:numPr>
        <w:spacing w:line="360" w:lineRule="auto"/>
        <w:ind w:firstLine="480" w:firstLineChars="0"/>
        <w:rPr>
          <w:rFonts w:ascii="宋体" w:hAnsi="宋体"/>
          <w:sz w:val="24"/>
        </w:rPr>
      </w:pPr>
      <w:r>
        <w:rPr>
          <w:rFonts w:hint="eastAsia" w:ascii="宋体" w:hAnsi="宋体"/>
          <w:sz w:val="24"/>
        </w:rPr>
        <w:t>设备台账记录表</w:t>
      </w:r>
    </w:p>
    <w:p>
      <w:pPr>
        <w:pStyle w:val="58"/>
        <w:numPr>
          <w:ilvl w:val="0"/>
          <w:numId w:val="5"/>
        </w:numPr>
        <w:spacing w:line="360" w:lineRule="auto"/>
        <w:ind w:firstLine="480" w:firstLineChars="0"/>
        <w:rPr>
          <w:rFonts w:ascii="宋体" w:hAnsi="宋体"/>
          <w:sz w:val="24"/>
        </w:rPr>
      </w:pPr>
      <w:r>
        <w:rPr>
          <w:rFonts w:hint="eastAsia" w:ascii="宋体" w:hAnsi="宋体"/>
          <w:sz w:val="24"/>
        </w:rPr>
        <w:t>培训计划表</w:t>
      </w:r>
    </w:p>
    <w:p>
      <w:pPr>
        <w:pStyle w:val="58"/>
        <w:numPr>
          <w:ilvl w:val="0"/>
          <w:numId w:val="5"/>
        </w:numPr>
        <w:spacing w:line="360" w:lineRule="auto"/>
        <w:ind w:firstLine="480" w:firstLineChars="0"/>
        <w:rPr>
          <w:rFonts w:ascii="宋体" w:hAnsi="宋体"/>
          <w:sz w:val="24"/>
        </w:rPr>
      </w:pPr>
      <w:r>
        <w:rPr>
          <w:rFonts w:hint="eastAsia" w:ascii="宋体" w:hAnsi="宋体"/>
          <w:sz w:val="24"/>
        </w:rPr>
        <w:t>相关案例分析</w:t>
      </w:r>
    </w:p>
    <w:p>
      <w:pPr>
        <w:pStyle w:val="58"/>
        <w:numPr>
          <w:ilvl w:val="0"/>
          <w:numId w:val="5"/>
        </w:numPr>
        <w:spacing w:line="360" w:lineRule="auto"/>
        <w:ind w:firstLine="480" w:firstLineChars="0"/>
        <w:rPr>
          <w:rFonts w:ascii="宋体" w:hAnsi="宋体"/>
          <w:sz w:val="24"/>
        </w:rPr>
      </w:pPr>
      <w:r>
        <w:rPr>
          <w:rFonts w:hint="eastAsia" w:ascii="宋体" w:hAnsi="宋体"/>
          <w:sz w:val="24"/>
        </w:rPr>
        <w:t>项目管理难点、要点和关键点阐述</w:t>
      </w:r>
    </w:p>
    <w:p>
      <w:pPr>
        <w:pStyle w:val="58"/>
        <w:numPr>
          <w:ilvl w:val="0"/>
          <w:numId w:val="5"/>
        </w:numPr>
        <w:spacing w:line="360" w:lineRule="auto"/>
        <w:ind w:firstLine="420" w:firstLineChars="0"/>
        <w:rPr>
          <w:rFonts w:ascii="宋体" w:hAnsi="宋体"/>
          <w:sz w:val="24"/>
        </w:rPr>
      </w:pPr>
      <w:r>
        <w:rPr>
          <w:rFonts w:hint="eastAsia" w:ascii="宋体" w:hAnsi="宋体"/>
          <w:sz w:val="24"/>
        </w:rPr>
        <w:t>行车动线优化方案</w:t>
      </w:r>
    </w:p>
    <w:p>
      <w:pPr>
        <w:pStyle w:val="58"/>
        <w:numPr>
          <w:ilvl w:val="0"/>
          <w:numId w:val="5"/>
        </w:numPr>
        <w:spacing w:line="360" w:lineRule="auto"/>
        <w:ind w:firstLine="480" w:firstLineChars="0"/>
        <w:rPr>
          <w:rFonts w:ascii="宋体" w:hAnsi="宋体"/>
          <w:sz w:val="24"/>
        </w:rPr>
      </w:pPr>
      <w:r>
        <w:rPr>
          <w:rFonts w:hint="eastAsia" w:ascii="宋体" w:hAnsi="宋体"/>
          <w:sz w:val="24"/>
        </w:rPr>
        <w:t>节能管控方案</w:t>
      </w:r>
    </w:p>
    <w:p>
      <w:pPr>
        <w:spacing w:line="360" w:lineRule="auto"/>
        <w:ind w:firstLine="420"/>
        <w:rPr>
          <w:rFonts w:ascii="宋体" w:hAnsi="宋体"/>
          <w:color w:val="000000" w:themeColor="text1"/>
          <w:sz w:val="24"/>
        </w:rPr>
      </w:pPr>
      <w:r>
        <w:rPr>
          <w:rFonts w:ascii="宋体" w:hAnsi="宋体"/>
          <w:color w:val="000000" w:themeColor="text1"/>
          <w:sz w:val="24"/>
        </w:rPr>
        <w:t>★投标人中标后</w:t>
      </w:r>
      <w:r>
        <w:rPr>
          <w:rFonts w:hint="eastAsia" w:ascii="宋体" w:hAnsi="宋体"/>
          <w:color w:val="000000" w:themeColor="text1"/>
          <w:sz w:val="24"/>
        </w:rPr>
        <w:t>，</w:t>
      </w:r>
      <w:r>
        <w:rPr>
          <w:rFonts w:ascii="宋体" w:hAnsi="宋体"/>
          <w:color w:val="000000" w:themeColor="text1"/>
          <w:sz w:val="24"/>
        </w:rPr>
        <w:t>需</w:t>
      </w:r>
      <w:r>
        <w:rPr>
          <w:rFonts w:hint="eastAsia" w:ascii="宋体" w:hAnsi="宋体"/>
          <w:color w:val="000000" w:themeColor="text1"/>
          <w:sz w:val="24"/>
        </w:rPr>
        <w:t>按第“07）、08）”项中的执行团队名单派驻相应服务人员，</w:t>
      </w:r>
      <w:r>
        <w:rPr>
          <w:rFonts w:hint="eastAsia" w:ascii="宋体" w:hAnsi="宋体"/>
          <w:b/>
          <w:bCs/>
          <w:color w:val="000000" w:themeColor="text1"/>
          <w:sz w:val="24"/>
        </w:rPr>
        <w:t>若需更换人员需另派同等资质要求人员并经招标人同意</w:t>
      </w:r>
      <w:r>
        <w:rPr>
          <w:rFonts w:hint="eastAsia" w:ascii="宋体" w:hAnsi="宋体"/>
          <w:color w:val="000000" w:themeColor="text1"/>
          <w:sz w:val="24"/>
        </w:rPr>
        <w:t>。</w:t>
      </w:r>
      <w:r>
        <w:rPr>
          <w:rFonts w:hint="eastAsia" w:ascii="宋体" w:hAnsi="宋体"/>
          <w:b/>
          <w:color w:val="000000" w:themeColor="text1"/>
          <w:sz w:val="24"/>
        </w:rPr>
        <w:t>投标人需对此进行书面承诺。</w:t>
      </w:r>
    </w:p>
    <w:p>
      <w:pPr>
        <w:spacing w:line="360" w:lineRule="auto"/>
        <w:ind w:left="420" w:leftChars="200"/>
        <w:rPr>
          <w:rFonts w:ascii="宋体" w:hAnsi="宋体"/>
          <w:sz w:val="24"/>
        </w:rPr>
      </w:pPr>
      <w:r>
        <w:rPr>
          <w:rFonts w:hint="eastAsia" w:ascii="宋体" w:hAnsi="宋体"/>
          <w:sz w:val="24"/>
        </w:rPr>
        <w:t>（2）《商务标》投标文件</w:t>
      </w:r>
    </w:p>
    <w:p>
      <w:pPr>
        <w:spacing w:line="360" w:lineRule="auto"/>
        <w:ind w:left="420" w:leftChars="200"/>
        <w:rPr>
          <w:rFonts w:ascii="宋体" w:hAnsi="宋体"/>
          <w:sz w:val="24"/>
        </w:rPr>
      </w:pPr>
      <w:r>
        <w:rPr>
          <w:rFonts w:hint="eastAsia" w:ascii="宋体" w:hAnsi="宋体"/>
          <w:sz w:val="24"/>
        </w:rPr>
        <w:t>Ⅰ、投标文件：</w:t>
      </w:r>
    </w:p>
    <w:p>
      <w:pPr>
        <w:spacing w:line="360" w:lineRule="auto"/>
        <w:ind w:left="420" w:leftChars="200"/>
        <w:rPr>
          <w:rFonts w:ascii="宋体" w:hAnsi="宋体"/>
          <w:sz w:val="24"/>
        </w:rPr>
      </w:pPr>
      <w:r>
        <w:rPr>
          <w:rFonts w:hint="eastAsia" w:ascii="宋体" w:hAnsi="宋体"/>
          <w:sz w:val="24"/>
        </w:rPr>
        <w:t>1）投标单位资格声明（见附件）（必须签字并盖法人章及公章）</w:t>
      </w:r>
    </w:p>
    <w:p>
      <w:pPr>
        <w:spacing w:line="360" w:lineRule="auto"/>
        <w:ind w:left="420" w:leftChars="200"/>
        <w:rPr>
          <w:rFonts w:ascii="宋体" w:hAnsi="宋体"/>
          <w:sz w:val="24"/>
        </w:rPr>
      </w:pPr>
      <w:r>
        <w:rPr>
          <w:rFonts w:hint="eastAsia" w:ascii="宋体" w:hAnsi="宋体"/>
          <w:sz w:val="24"/>
        </w:rPr>
        <w:t>2）法定代表人证明书（见附件）（必须签字并盖法人章及公章）</w:t>
      </w:r>
    </w:p>
    <w:p>
      <w:pPr>
        <w:spacing w:line="360" w:lineRule="auto"/>
        <w:ind w:left="420" w:leftChars="200"/>
        <w:rPr>
          <w:rFonts w:ascii="宋体" w:hAnsi="宋体"/>
          <w:sz w:val="24"/>
        </w:rPr>
      </w:pPr>
      <w:r>
        <w:rPr>
          <w:rFonts w:hint="eastAsia" w:ascii="宋体" w:hAnsi="宋体"/>
          <w:sz w:val="24"/>
        </w:rPr>
        <w:t>3）法定代表人授权委托书（见附件）（必须签字并盖法人章及公章）</w:t>
      </w:r>
    </w:p>
    <w:p>
      <w:pPr>
        <w:spacing w:line="360" w:lineRule="auto"/>
        <w:ind w:left="420" w:leftChars="200"/>
        <w:rPr>
          <w:rFonts w:ascii="宋体" w:hAnsi="宋体"/>
          <w:sz w:val="24"/>
        </w:rPr>
      </w:pPr>
      <w:r>
        <w:rPr>
          <w:rFonts w:hint="eastAsia" w:ascii="宋体" w:hAnsi="宋体"/>
          <w:sz w:val="24"/>
        </w:rPr>
        <w:t>4）经年检合格的企业法人营业执照（工商局复印件），</w:t>
      </w:r>
      <w:r>
        <w:rPr>
          <w:rFonts w:ascii="宋体" w:hAnsi="宋体"/>
          <w:sz w:val="24"/>
        </w:rPr>
        <w:t>相关资质</w:t>
      </w:r>
      <w:r>
        <w:rPr>
          <w:rFonts w:hint="eastAsia" w:ascii="宋体" w:hAnsi="宋体"/>
          <w:sz w:val="24"/>
        </w:rPr>
        <w:t>证件（公章）</w:t>
      </w:r>
    </w:p>
    <w:p>
      <w:pPr>
        <w:spacing w:line="360" w:lineRule="auto"/>
        <w:ind w:left="420" w:leftChars="200"/>
        <w:rPr>
          <w:rFonts w:ascii="宋体" w:hAnsi="宋体"/>
          <w:sz w:val="24"/>
        </w:rPr>
      </w:pPr>
      <w:r>
        <w:rPr>
          <w:rFonts w:hint="eastAsia" w:ascii="宋体" w:hAnsi="宋体"/>
          <w:sz w:val="24"/>
        </w:rPr>
        <w:t>Ⅱ、投标报价清单</w:t>
      </w:r>
    </w:p>
    <w:p>
      <w:pPr>
        <w:spacing w:line="360" w:lineRule="auto"/>
        <w:ind w:left="420" w:leftChars="200"/>
        <w:rPr>
          <w:rFonts w:ascii="宋体" w:hAnsi="宋体"/>
          <w:sz w:val="24"/>
        </w:rPr>
      </w:pPr>
      <w:r>
        <w:rPr>
          <w:rFonts w:hint="eastAsia" w:ascii="宋体" w:hAnsi="宋体"/>
          <w:sz w:val="24"/>
        </w:rPr>
        <w:t>1) 投标报价清单表</w:t>
      </w:r>
    </w:p>
    <w:p>
      <w:pPr>
        <w:spacing w:line="360" w:lineRule="auto"/>
        <w:ind w:left="420" w:leftChars="200"/>
        <w:rPr>
          <w:rFonts w:ascii="宋体" w:hAnsi="宋体"/>
          <w:sz w:val="24"/>
        </w:rPr>
      </w:pPr>
      <w:r>
        <w:rPr>
          <w:rFonts w:hint="eastAsia" w:ascii="宋体" w:hAnsi="宋体"/>
          <w:sz w:val="24"/>
        </w:rPr>
        <w:t>2）</w:t>
      </w:r>
      <w:r>
        <w:rPr>
          <w:rFonts w:hint="eastAsia" w:ascii="宋体" w:hAnsi="宋体"/>
          <w:bCs/>
          <w:sz w:val="24"/>
        </w:rPr>
        <w:t>所有报价应包括税费等</w:t>
      </w:r>
    </w:p>
    <w:p>
      <w:pPr>
        <w:spacing w:line="360" w:lineRule="auto"/>
        <w:rPr>
          <w:rFonts w:ascii="宋体" w:hAnsi="宋体"/>
          <w:sz w:val="24"/>
        </w:rPr>
      </w:pPr>
      <w:r>
        <w:rPr>
          <w:rFonts w:hint="eastAsia" w:ascii="宋体" w:hAnsi="宋体"/>
          <w:sz w:val="24"/>
        </w:rPr>
        <w:t>3、标书份数及封装要求</w:t>
      </w:r>
    </w:p>
    <w:p>
      <w:pPr>
        <w:spacing w:line="360" w:lineRule="auto"/>
        <w:ind w:left="420"/>
        <w:rPr>
          <w:rFonts w:ascii="宋体" w:hAnsi="宋体"/>
          <w:sz w:val="24"/>
        </w:rPr>
      </w:pPr>
      <w:r>
        <w:rPr>
          <w:rFonts w:hint="eastAsia" w:ascii="宋体" w:hAnsi="宋体"/>
          <w:sz w:val="24"/>
        </w:rPr>
        <w:t>（1）投标文件由《</w:t>
      </w:r>
      <w:r>
        <w:rPr>
          <w:rFonts w:ascii="宋体" w:hAnsi="宋体"/>
          <w:sz w:val="24"/>
        </w:rPr>
        <w:t>技术标</w:t>
      </w:r>
      <w:r>
        <w:rPr>
          <w:rFonts w:hint="eastAsia" w:ascii="宋体" w:hAnsi="宋体"/>
          <w:sz w:val="24"/>
        </w:rPr>
        <w:t>》</w:t>
      </w:r>
      <w:r>
        <w:rPr>
          <w:rFonts w:ascii="宋体" w:hAnsi="宋体"/>
          <w:sz w:val="24"/>
        </w:rPr>
        <w:t>、</w:t>
      </w:r>
      <w:r>
        <w:rPr>
          <w:rFonts w:hint="eastAsia" w:ascii="宋体" w:hAnsi="宋体"/>
          <w:sz w:val="24"/>
        </w:rPr>
        <w:t>《商务标》组成：《</w:t>
      </w:r>
      <w:r>
        <w:rPr>
          <w:rFonts w:ascii="宋体" w:hAnsi="宋体"/>
          <w:sz w:val="24"/>
        </w:rPr>
        <w:t>技术标》、</w:t>
      </w:r>
      <w:r>
        <w:rPr>
          <w:rFonts w:hint="eastAsia" w:ascii="宋体" w:hAnsi="宋体"/>
          <w:sz w:val="24"/>
        </w:rPr>
        <w:t>《商务标》正本各一份，副本各</w:t>
      </w:r>
      <w:r>
        <w:rPr>
          <w:rFonts w:hint="eastAsia" w:ascii="宋体" w:hAnsi="宋体"/>
          <w:color w:val="FF0000"/>
          <w:sz w:val="24"/>
        </w:rPr>
        <w:t>六</w:t>
      </w:r>
      <w:r>
        <w:rPr>
          <w:rFonts w:hint="eastAsia" w:ascii="宋体" w:hAnsi="宋体"/>
          <w:sz w:val="24"/>
        </w:rPr>
        <w:t>份。分类独立密封包装（分开密封包装，共二个密封信封），内外盖章。</w:t>
      </w:r>
    </w:p>
    <w:p>
      <w:pPr>
        <w:spacing w:line="360" w:lineRule="auto"/>
        <w:ind w:left="420" w:leftChars="200"/>
        <w:rPr>
          <w:rFonts w:ascii="宋体" w:hAnsi="宋体"/>
          <w:sz w:val="24"/>
        </w:rPr>
      </w:pPr>
      <w:r>
        <w:rPr>
          <w:rFonts w:hint="eastAsia" w:ascii="宋体" w:hAnsi="宋体"/>
          <w:sz w:val="24"/>
        </w:rPr>
        <w:t>（2）投标文件的正本和副本均需打印或使用不褪色的墨水笔书写，字迹应清晰易于辨认，并应在投标文件封面的右上角清楚的注明“正本”或“副本”，正本和副本如有不一致之处，以正本为准。</w:t>
      </w:r>
    </w:p>
    <w:p>
      <w:pPr>
        <w:spacing w:line="360" w:lineRule="auto"/>
        <w:ind w:left="420" w:leftChars="200"/>
        <w:rPr>
          <w:rFonts w:ascii="宋体" w:hAnsi="宋体"/>
          <w:sz w:val="24"/>
        </w:rPr>
      </w:pPr>
      <w:r>
        <w:rPr>
          <w:rFonts w:hint="eastAsia" w:ascii="宋体" w:hAnsi="宋体"/>
          <w:sz w:val="24"/>
        </w:rPr>
        <w:t>（3）投标文件封面、投标函均应加盖投标人印章并经法定代表人或其委托代理人签章，凡委托代理人签字的需同时提交相应授权书。</w:t>
      </w:r>
    </w:p>
    <w:p>
      <w:pPr>
        <w:spacing w:line="360" w:lineRule="auto"/>
        <w:ind w:left="420" w:leftChars="200"/>
        <w:rPr>
          <w:rFonts w:ascii="宋体" w:hAnsi="宋体"/>
          <w:sz w:val="24"/>
        </w:rPr>
      </w:pPr>
      <w:r>
        <w:rPr>
          <w:rFonts w:hint="eastAsia" w:ascii="宋体" w:hAnsi="宋体"/>
          <w:sz w:val="24"/>
        </w:rPr>
        <w:t>（4）投标文件密封袋上相应注明项目名称、投标人名称。另外，所有的密封袋的封口处均应贴封条并骑缝加盖投标人公章。</w:t>
      </w:r>
    </w:p>
    <w:p>
      <w:pPr>
        <w:spacing w:line="360" w:lineRule="auto"/>
        <w:ind w:left="420" w:leftChars="200"/>
        <w:rPr>
          <w:rFonts w:ascii="宋体" w:hAnsi="宋体"/>
          <w:sz w:val="24"/>
        </w:rPr>
      </w:pPr>
      <w:r>
        <w:rPr>
          <w:rFonts w:hint="eastAsia" w:ascii="宋体" w:hAnsi="宋体"/>
          <w:sz w:val="24"/>
        </w:rPr>
        <w:t>（5）投标人未在规定时间提交投标文件或提交的投标文件明显不符合投标要求的，该投标人的投标资格将自动取消。</w:t>
      </w:r>
    </w:p>
    <w:p>
      <w:pPr>
        <w:spacing w:line="360" w:lineRule="auto"/>
        <w:rPr>
          <w:b/>
          <w:color w:val="000000"/>
          <w:sz w:val="24"/>
        </w:rPr>
      </w:pPr>
      <w:r>
        <w:rPr>
          <w:rFonts w:hint="eastAsia"/>
          <w:b/>
          <w:color w:val="000000"/>
          <w:sz w:val="24"/>
        </w:rPr>
        <w:t>七、特殊说明</w:t>
      </w:r>
    </w:p>
    <w:p>
      <w:pPr>
        <w:spacing w:line="360" w:lineRule="auto"/>
        <w:rPr>
          <w:rFonts w:ascii="宋体" w:hAnsi="宋体"/>
          <w:sz w:val="24"/>
        </w:rPr>
      </w:pPr>
      <w:r>
        <w:rPr>
          <w:rFonts w:hint="eastAsia" w:ascii="宋体" w:hAnsi="宋体"/>
          <w:sz w:val="24"/>
        </w:rPr>
        <w:t>1、投标有效期说明</w:t>
      </w:r>
    </w:p>
    <w:p>
      <w:pPr>
        <w:numPr>
          <w:ilvl w:val="0"/>
          <w:numId w:val="6"/>
        </w:numPr>
        <w:spacing w:line="360" w:lineRule="auto"/>
        <w:rPr>
          <w:rFonts w:ascii="宋体" w:hAnsi="宋体"/>
          <w:sz w:val="24"/>
        </w:rPr>
      </w:pPr>
      <w:r>
        <w:rPr>
          <w:rFonts w:hint="eastAsia" w:ascii="宋体" w:hAnsi="宋体"/>
          <w:sz w:val="24"/>
        </w:rPr>
        <w:t>投标有效期内，所有招投标文件均保持有效；</w:t>
      </w:r>
    </w:p>
    <w:p>
      <w:pPr>
        <w:numPr>
          <w:ilvl w:val="0"/>
          <w:numId w:val="6"/>
        </w:numPr>
        <w:spacing w:line="360" w:lineRule="auto"/>
        <w:rPr>
          <w:rFonts w:ascii="宋体" w:hAnsi="宋体"/>
          <w:sz w:val="24"/>
        </w:rPr>
      </w:pPr>
      <w:r>
        <w:rPr>
          <w:rFonts w:hint="eastAsia" w:ascii="宋体" w:hAnsi="宋体"/>
          <w:sz w:val="24"/>
        </w:rPr>
        <w:t>招标人有权根据实际需要在原定投标有效期满之前延长投标有效期并书面通知投标人。</w:t>
      </w:r>
    </w:p>
    <w:p>
      <w:pPr>
        <w:spacing w:line="360" w:lineRule="auto"/>
        <w:rPr>
          <w:rFonts w:ascii="宋体" w:hAnsi="宋体"/>
          <w:sz w:val="24"/>
        </w:rPr>
      </w:pPr>
      <w:r>
        <w:rPr>
          <w:rFonts w:hint="eastAsia" w:ascii="宋体" w:hAnsi="宋体"/>
          <w:sz w:val="24"/>
        </w:rPr>
        <w:t>2、投标保证金</w:t>
      </w:r>
    </w:p>
    <w:p>
      <w:pPr>
        <w:numPr>
          <w:ilvl w:val="0"/>
          <w:numId w:val="7"/>
        </w:numPr>
        <w:spacing w:line="360" w:lineRule="auto"/>
        <w:rPr>
          <w:rFonts w:ascii="宋体" w:hAnsi="宋体"/>
          <w:sz w:val="24"/>
        </w:rPr>
      </w:pPr>
      <w:r>
        <w:rPr>
          <w:rFonts w:hint="eastAsia" w:ascii="宋体" w:hAnsi="宋体"/>
          <w:color w:val="000000" w:themeColor="text1"/>
          <w:sz w:val="24"/>
        </w:rPr>
        <w:t>人民币共贰万元整（¥2</w:t>
      </w:r>
      <w:r>
        <w:rPr>
          <w:rFonts w:ascii="宋体" w:hAnsi="宋体"/>
          <w:color w:val="000000" w:themeColor="text1"/>
          <w:sz w:val="24"/>
        </w:rPr>
        <w:t>0,000）</w:t>
      </w:r>
      <w:r>
        <w:rPr>
          <w:rFonts w:hint="eastAsia" w:ascii="宋体" w:hAnsi="宋体"/>
          <w:color w:val="000000" w:themeColor="text1"/>
          <w:sz w:val="24"/>
        </w:rPr>
        <w:t>，按《投标须知前附表》要求的时间提交，否则</w:t>
      </w:r>
      <w:r>
        <w:rPr>
          <w:rFonts w:hint="eastAsia" w:ascii="宋体" w:hAnsi="宋体"/>
          <w:sz w:val="24"/>
        </w:rPr>
        <w:t>取消投标资格。</w:t>
      </w:r>
    </w:p>
    <w:p>
      <w:pPr>
        <w:numPr>
          <w:ilvl w:val="0"/>
          <w:numId w:val="7"/>
        </w:numPr>
        <w:spacing w:line="360" w:lineRule="auto"/>
        <w:rPr>
          <w:rFonts w:ascii="宋体" w:hAnsi="宋体"/>
          <w:sz w:val="24"/>
        </w:rPr>
      </w:pPr>
      <w:r>
        <w:rPr>
          <w:rFonts w:hint="eastAsia" w:ascii="宋体" w:hAnsi="宋体"/>
          <w:sz w:val="24"/>
        </w:rPr>
        <w:t>未在规定时间内提供投标保证金的投标人，其递交的投标文件无效；</w:t>
      </w:r>
    </w:p>
    <w:p>
      <w:pPr>
        <w:numPr>
          <w:ilvl w:val="0"/>
          <w:numId w:val="7"/>
        </w:numPr>
        <w:spacing w:line="360" w:lineRule="auto"/>
        <w:rPr>
          <w:rFonts w:ascii="宋体" w:hAnsi="宋体"/>
          <w:sz w:val="24"/>
        </w:rPr>
      </w:pPr>
      <w:r>
        <w:rPr>
          <w:rFonts w:hint="eastAsia" w:ascii="宋体" w:hAnsi="宋体"/>
          <w:sz w:val="24"/>
        </w:rPr>
        <w:t>投标保证金被没收的情况：</w:t>
      </w:r>
    </w:p>
    <w:p>
      <w:pPr>
        <w:spacing w:line="360" w:lineRule="auto"/>
        <w:ind w:left="840"/>
        <w:rPr>
          <w:rFonts w:ascii="宋体" w:hAnsi="宋体"/>
          <w:sz w:val="24"/>
        </w:rPr>
      </w:pPr>
      <w:r>
        <w:rPr>
          <w:rFonts w:hint="eastAsia" w:ascii="宋体" w:hAnsi="宋体"/>
          <w:sz w:val="24"/>
        </w:rPr>
        <w:t>投标人在投标有效期内撤回其投标文件；</w:t>
      </w:r>
    </w:p>
    <w:p>
      <w:pPr>
        <w:spacing w:line="360" w:lineRule="auto"/>
        <w:ind w:left="840"/>
        <w:rPr>
          <w:rFonts w:ascii="宋体" w:hAnsi="宋体"/>
          <w:sz w:val="24"/>
        </w:rPr>
      </w:pPr>
      <w:r>
        <w:rPr>
          <w:rFonts w:hint="eastAsia" w:ascii="宋体" w:hAnsi="宋体"/>
          <w:sz w:val="24"/>
        </w:rPr>
        <w:t>投标人拒绝按投标报价说明规定修正标价；</w:t>
      </w:r>
    </w:p>
    <w:p>
      <w:pPr>
        <w:spacing w:line="360" w:lineRule="auto"/>
        <w:ind w:left="840"/>
        <w:rPr>
          <w:rFonts w:ascii="宋体" w:hAnsi="宋体"/>
          <w:sz w:val="24"/>
        </w:rPr>
      </w:pPr>
      <w:r>
        <w:rPr>
          <w:rFonts w:hint="eastAsia" w:ascii="宋体" w:hAnsi="宋体"/>
          <w:sz w:val="24"/>
        </w:rPr>
        <w:t>中标人未能在规定期限内签订合同协议或提交履约保证金。</w:t>
      </w:r>
    </w:p>
    <w:p>
      <w:pPr>
        <w:spacing w:line="360" w:lineRule="auto"/>
        <w:ind w:left="840"/>
        <w:rPr>
          <w:rFonts w:ascii="宋体" w:hAnsi="宋体"/>
          <w:sz w:val="24"/>
        </w:rPr>
      </w:pPr>
      <w:r>
        <w:rPr>
          <w:rFonts w:hint="eastAsia" w:ascii="宋体" w:hAnsi="宋体"/>
          <w:sz w:val="24"/>
        </w:rPr>
        <w:t>若投标人在中标后签订合同时，坚持提出附加条件或不合理要求，招标人有权取消其中标资格，由此产生的一切损失由该中标人负责，并没收投标保证金。</w:t>
      </w:r>
    </w:p>
    <w:p>
      <w:pPr>
        <w:spacing w:line="360" w:lineRule="auto"/>
        <w:rPr>
          <w:rFonts w:ascii="宋体" w:hAnsi="宋体"/>
          <w:color w:val="000000" w:themeColor="text1"/>
          <w:sz w:val="24"/>
        </w:rPr>
      </w:pPr>
      <w:r>
        <w:rPr>
          <w:rFonts w:hint="eastAsia" w:ascii="宋体" w:hAnsi="宋体"/>
          <w:color w:val="000000" w:themeColor="text1"/>
          <w:sz w:val="24"/>
        </w:rPr>
        <w:t>3、标的踏勘说明</w:t>
      </w:r>
    </w:p>
    <w:p>
      <w:pPr>
        <w:spacing w:line="360" w:lineRule="auto"/>
        <w:rPr>
          <w:rFonts w:ascii="宋体" w:hAnsi="宋体"/>
          <w:color w:val="000000" w:themeColor="text1"/>
          <w:sz w:val="24"/>
        </w:rPr>
      </w:pPr>
      <w:r>
        <w:rPr>
          <w:rFonts w:ascii="宋体" w:hAnsi="宋体"/>
          <w:color w:val="000000" w:themeColor="text1"/>
          <w:sz w:val="24"/>
        </w:rPr>
        <w:tab/>
      </w:r>
      <w:r>
        <w:rPr>
          <w:rFonts w:ascii="宋体" w:hAnsi="宋体"/>
          <w:color w:val="000000" w:themeColor="text1"/>
          <w:sz w:val="24"/>
        </w:rPr>
        <w:t>1）</w:t>
      </w:r>
      <w:r>
        <w:rPr>
          <w:rFonts w:hint="eastAsia" w:ascii="宋体" w:hAnsi="宋体"/>
          <w:color w:val="000000" w:themeColor="text1"/>
          <w:sz w:val="24"/>
        </w:rPr>
        <w:t>投标截止前，各投标人可到标的项目进行现场踏勘；</w:t>
      </w:r>
    </w:p>
    <w:p>
      <w:pPr>
        <w:spacing w:line="360" w:lineRule="auto"/>
        <w:rPr>
          <w:rFonts w:ascii="宋体" w:hAnsi="宋体" w:cs="宋体"/>
          <w:color w:val="000000" w:themeColor="text1"/>
          <w:kern w:val="0"/>
          <w:sz w:val="24"/>
        </w:rPr>
      </w:pPr>
      <w:r>
        <w:rPr>
          <w:rFonts w:hint="eastAsia" w:ascii="宋体" w:hAnsi="宋体"/>
          <w:color w:val="000000" w:themeColor="text1"/>
          <w:sz w:val="24"/>
        </w:rPr>
        <w:tab/>
      </w:r>
      <w:r>
        <w:rPr>
          <w:rFonts w:hint="eastAsia" w:ascii="宋体" w:hAnsi="宋体" w:cs="宋体"/>
          <w:color w:val="000000" w:themeColor="text1"/>
          <w:kern w:val="0"/>
          <w:sz w:val="24"/>
        </w:rPr>
        <w:t>2）本项目踏勘对接人：林英芳，联系电话：13600934460</w:t>
      </w:r>
    </w:p>
    <w:p>
      <w:pPr>
        <w:spacing w:line="360" w:lineRule="auto"/>
        <w:rPr>
          <w:rFonts w:ascii="宋体" w:hAnsi="宋体"/>
          <w:color w:val="FF0000"/>
          <w:sz w:val="24"/>
        </w:rPr>
      </w:pPr>
    </w:p>
    <w:p>
      <w:pPr>
        <w:numPr>
          <w:ilvl w:val="0"/>
          <w:numId w:val="2"/>
        </w:numPr>
        <w:spacing w:line="360" w:lineRule="auto"/>
        <w:jc w:val="center"/>
        <w:rPr>
          <w:b/>
          <w:sz w:val="28"/>
          <w:szCs w:val="28"/>
        </w:rPr>
      </w:pPr>
      <w:r>
        <w:rPr>
          <w:rFonts w:hint="eastAsia"/>
          <w:b/>
          <w:sz w:val="28"/>
          <w:szCs w:val="28"/>
        </w:rPr>
        <w:t>评标原则</w:t>
      </w:r>
    </w:p>
    <w:p>
      <w:pPr>
        <w:spacing w:line="360" w:lineRule="auto"/>
        <w:rPr>
          <w:rFonts w:ascii="宋体" w:hAnsi="宋体"/>
          <w:b/>
          <w:color w:val="000000"/>
          <w:sz w:val="24"/>
        </w:rPr>
      </w:pPr>
      <w:r>
        <w:rPr>
          <w:rFonts w:hint="eastAsia" w:ascii="宋体" w:hAnsi="宋体"/>
          <w:b/>
          <w:color w:val="000000"/>
          <w:sz w:val="24"/>
        </w:rPr>
        <w:t>一、开标</w:t>
      </w:r>
    </w:p>
    <w:p>
      <w:pPr>
        <w:spacing w:line="360" w:lineRule="auto"/>
        <w:ind w:left="210" w:leftChars="100"/>
        <w:rPr>
          <w:rFonts w:ascii="宋体" w:hAnsi="宋体"/>
          <w:sz w:val="24"/>
        </w:rPr>
      </w:pPr>
      <w:r>
        <w:rPr>
          <w:rFonts w:hint="eastAsia" w:ascii="宋体" w:hAnsi="宋体"/>
          <w:sz w:val="24"/>
        </w:rPr>
        <w:t>1、开标会议：</w:t>
      </w:r>
      <w:r>
        <w:rPr>
          <w:rFonts w:ascii="宋体" w:hAnsi="宋体"/>
          <w:sz w:val="24"/>
        </w:rPr>
        <w:t>由招标人组织开标。</w:t>
      </w:r>
    </w:p>
    <w:p>
      <w:pPr>
        <w:spacing w:line="360" w:lineRule="auto"/>
        <w:ind w:left="210" w:leftChars="100"/>
        <w:rPr>
          <w:rFonts w:ascii="宋体" w:hAnsi="宋体"/>
          <w:sz w:val="24"/>
        </w:rPr>
      </w:pPr>
      <w:r>
        <w:rPr>
          <w:rFonts w:hint="eastAsia" w:ascii="宋体" w:hAnsi="宋体"/>
          <w:sz w:val="24"/>
        </w:rPr>
        <w:t>2、所有迟交和要求撤回及其它明显不符合投标要求的投标文件将不予送交开标评审。</w:t>
      </w:r>
    </w:p>
    <w:p>
      <w:pPr>
        <w:numPr>
          <w:ilvl w:val="0"/>
          <w:numId w:val="8"/>
        </w:numPr>
        <w:spacing w:line="360" w:lineRule="auto"/>
        <w:ind w:left="210" w:leftChars="100"/>
        <w:rPr>
          <w:rFonts w:ascii="宋体" w:hAnsi="宋体"/>
          <w:sz w:val="24"/>
        </w:rPr>
      </w:pPr>
      <w:r>
        <w:rPr>
          <w:rFonts w:hint="eastAsia" w:ascii="宋体" w:hAnsi="宋体"/>
          <w:sz w:val="24"/>
        </w:rPr>
        <w:t>投标文件的审查</w:t>
      </w:r>
    </w:p>
    <w:p>
      <w:pPr>
        <w:spacing w:line="360" w:lineRule="auto"/>
        <w:ind w:left="420" w:firstLine="420"/>
        <w:rPr>
          <w:rFonts w:ascii="宋体" w:hAnsi="宋体"/>
          <w:sz w:val="24"/>
        </w:rPr>
      </w:pPr>
      <w:r>
        <w:rPr>
          <w:rFonts w:hint="eastAsia" w:ascii="宋体" w:hAnsi="宋体"/>
          <w:sz w:val="24"/>
        </w:rPr>
        <w:t>评标时，招标人将对投标文件进行审查，当投标文件出现下列情形之一时，投标文件将视为无效，按废标处理，不得进入评标；</w:t>
      </w:r>
    </w:p>
    <w:p>
      <w:pPr>
        <w:numPr>
          <w:ilvl w:val="0"/>
          <w:numId w:val="9"/>
        </w:numPr>
        <w:spacing w:line="360" w:lineRule="auto"/>
        <w:rPr>
          <w:rFonts w:ascii="宋体" w:hAnsi="宋体"/>
          <w:sz w:val="24"/>
        </w:rPr>
      </w:pPr>
      <w:r>
        <w:rPr>
          <w:rFonts w:hint="eastAsia" w:ascii="宋体" w:hAnsi="宋体"/>
          <w:sz w:val="24"/>
        </w:rPr>
        <w:t>未按规定要求予以密封的；</w:t>
      </w:r>
    </w:p>
    <w:p>
      <w:pPr>
        <w:numPr>
          <w:ilvl w:val="0"/>
          <w:numId w:val="9"/>
        </w:numPr>
        <w:spacing w:line="360" w:lineRule="auto"/>
        <w:rPr>
          <w:rFonts w:ascii="宋体" w:hAnsi="宋体"/>
          <w:sz w:val="24"/>
        </w:rPr>
      </w:pPr>
      <w:r>
        <w:rPr>
          <w:rFonts w:hint="eastAsia" w:ascii="宋体" w:hAnsi="宋体"/>
          <w:sz w:val="24"/>
        </w:rPr>
        <w:t>未按规定签字盖章的；</w:t>
      </w:r>
    </w:p>
    <w:p>
      <w:pPr>
        <w:numPr>
          <w:ilvl w:val="0"/>
          <w:numId w:val="9"/>
        </w:numPr>
        <w:spacing w:line="360" w:lineRule="auto"/>
        <w:rPr>
          <w:rFonts w:ascii="宋体" w:hAnsi="宋体"/>
          <w:sz w:val="24"/>
        </w:rPr>
      </w:pPr>
      <w:r>
        <w:rPr>
          <w:rFonts w:hint="eastAsia" w:ascii="宋体" w:hAnsi="宋体"/>
          <w:sz w:val="24"/>
        </w:rPr>
        <w:t>主要内容字迹模糊、无法辨认的；</w:t>
      </w:r>
    </w:p>
    <w:p>
      <w:pPr>
        <w:numPr>
          <w:ilvl w:val="0"/>
          <w:numId w:val="9"/>
        </w:numPr>
        <w:spacing w:line="360" w:lineRule="auto"/>
        <w:rPr>
          <w:rFonts w:ascii="宋体" w:hAnsi="宋体"/>
          <w:sz w:val="24"/>
        </w:rPr>
      </w:pPr>
      <w:r>
        <w:rPr>
          <w:rFonts w:hint="eastAsia" w:ascii="宋体" w:hAnsi="宋体"/>
          <w:sz w:val="24"/>
        </w:rPr>
        <w:t>投标人代表未按规定提交身份证明文件及其它授权文件的；</w:t>
      </w:r>
    </w:p>
    <w:p>
      <w:pPr>
        <w:numPr>
          <w:ilvl w:val="0"/>
          <w:numId w:val="9"/>
        </w:numPr>
        <w:spacing w:line="360" w:lineRule="auto"/>
        <w:rPr>
          <w:rFonts w:ascii="宋体" w:hAnsi="宋体"/>
          <w:sz w:val="24"/>
        </w:rPr>
      </w:pPr>
      <w:r>
        <w:rPr>
          <w:rFonts w:hint="eastAsia" w:ascii="宋体" w:hAnsi="宋体"/>
          <w:sz w:val="24"/>
        </w:rPr>
        <w:t>投标主要内容、格式明显与招标文件规定不符的：</w:t>
      </w:r>
    </w:p>
    <w:p>
      <w:pPr>
        <w:numPr>
          <w:ilvl w:val="0"/>
          <w:numId w:val="9"/>
        </w:numPr>
        <w:spacing w:line="360" w:lineRule="auto"/>
        <w:rPr>
          <w:rFonts w:ascii="宋体" w:hAnsi="宋体"/>
          <w:sz w:val="24"/>
        </w:rPr>
      </w:pPr>
      <w:r>
        <w:rPr>
          <w:rFonts w:hint="eastAsia" w:ascii="宋体" w:hAnsi="宋体"/>
          <w:sz w:val="24"/>
        </w:rPr>
        <w:t>投标书逾期送达的；</w:t>
      </w:r>
    </w:p>
    <w:p>
      <w:pPr>
        <w:numPr>
          <w:ilvl w:val="0"/>
          <w:numId w:val="9"/>
        </w:numPr>
        <w:spacing w:line="360" w:lineRule="auto"/>
        <w:rPr>
          <w:rFonts w:ascii="宋体" w:hAnsi="宋体"/>
          <w:sz w:val="24"/>
        </w:rPr>
      </w:pPr>
      <w:r>
        <w:rPr>
          <w:rFonts w:hint="eastAsia" w:ascii="宋体" w:hAnsi="宋体"/>
          <w:sz w:val="24"/>
        </w:rPr>
        <w:t>投标资料未按规定填写的；</w:t>
      </w:r>
    </w:p>
    <w:p>
      <w:pPr>
        <w:numPr>
          <w:ilvl w:val="0"/>
          <w:numId w:val="9"/>
        </w:numPr>
        <w:spacing w:line="360" w:lineRule="auto"/>
        <w:rPr>
          <w:rFonts w:ascii="宋体" w:hAnsi="宋体"/>
          <w:sz w:val="24"/>
        </w:rPr>
      </w:pPr>
      <w:r>
        <w:rPr>
          <w:rFonts w:hint="eastAsia" w:ascii="宋体" w:hAnsi="宋体"/>
          <w:sz w:val="24"/>
        </w:rPr>
        <w:t>未按照招标文件的要求提供投标保证金的；</w:t>
      </w:r>
    </w:p>
    <w:p>
      <w:pPr>
        <w:numPr>
          <w:ilvl w:val="0"/>
          <w:numId w:val="9"/>
        </w:numPr>
        <w:spacing w:line="360" w:lineRule="auto"/>
        <w:rPr>
          <w:rFonts w:ascii="宋体" w:hAnsi="宋体"/>
          <w:sz w:val="24"/>
        </w:rPr>
      </w:pPr>
      <w:r>
        <w:rPr>
          <w:rFonts w:hint="eastAsia" w:ascii="宋体" w:hAnsi="宋体"/>
          <w:sz w:val="24"/>
        </w:rPr>
        <w:t>以他人名义投标、串通投标、以行贿手段谋取中标或以其它弄虚作假方式投标的；</w:t>
      </w:r>
    </w:p>
    <w:p>
      <w:pPr>
        <w:numPr>
          <w:ilvl w:val="0"/>
          <w:numId w:val="9"/>
        </w:numPr>
        <w:spacing w:line="360" w:lineRule="auto"/>
        <w:rPr>
          <w:rFonts w:ascii="宋体" w:hAnsi="宋体"/>
          <w:sz w:val="24"/>
        </w:rPr>
      </w:pPr>
      <w:r>
        <w:rPr>
          <w:rFonts w:hint="eastAsia" w:ascii="宋体" w:hAnsi="宋体"/>
          <w:sz w:val="24"/>
        </w:rPr>
        <w:t>投标文件出现雷同的；</w:t>
      </w:r>
    </w:p>
    <w:p>
      <w:pPr>
        <w:numPr>
          <w:ilvl w:val="0"/>
          <w:numId w:val="9"/>
        </w:numPr>
        <w:spacing w:line="360" w:lineRule="auto"/>
        <w:rPr>
          <w:rFonts w:ascii="宋体" w:hAnsi="宋体"/>
          <w:sz w:val="24"/>
        </w:rPr>
      </w:pPr>
      <w:r>
        <w:rPr>
          <w:rFonts w:hint="eastAsia" w:ascii="宋体" w:hAnsi="宋体"/>
          <w:sz w:val="24"/>
        </w:rPr>
        <w:t>如果发现投标文件与招标文件中的规定有重大偏离的，如项目范围、质量、进度等。</w:t>
      </w:r>
    </w:p>
    <w:p>
      <w:pPr>
        <w:spacing w:line="360" w:lineRule="auto"/>
        <w:rPr>
          <w:rFonts w:ascii="宋体" w:hAnsi="宋体"/>
          <w:b/>
          <w:sz w:val="24"/>
        </w:rPr>
      </w:pPr>
      <w:r>
        <w:rPr>
          <w:rFonts w:hint="eastAsia" w:ascii="宋体" w:hAnsi="宋体"/>
          <w:b/>
          <w:sz w:val="24"/>
        </w:rPr>
        <w:t>二、资格审查</w:t>
      </w:r>
    </w:p>
    <w:p>
      <w:pPr>
        <w:widowControl/>
        <w:spacing w:line="360" w:lineRule="auto"/>
        <w:ind w:left="210" w:leftChars="1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1、开标结束后，由</w:t>
      </w:r>
      <w:r>
        <w:rPr>
          <w:rFonts w:hint="eastAsia" w:cs="宋体" w:asciiTheme="minorEastAsia" w:hAnsiTheme="minorEastAsia" w:eastAsiaTheme="minorEastAsia"/>
          <w:kern w:val="0"/>
          <w:sz w:val="24"/>
        </w:rPr>
        <w:t>招标人</w:t>
      </w:r>
      <w:r>
        <w:rPr>
          <w:rFonts w:cs="宋体" w:asciiTheme="minorEastAsia" w:hAnsiTheme="minorEastAsia" w:eastAsiaTheme="minorEastAsia"/>
          <w:kern w:val="0"/>
          <w:sz w:val="24"/>
        </w:rPr>
        <w:t>负责资格审查小组的组建及资格审查工作的组织。</w:t>
      </w:r>
    </w:p>
    <w:p>
      <w:pPr>
        <w:widowControl/>
        <w:spacing w:line="360" w:lineRule="auto"/>
        <w:ind w:left="210" w:leftChars="1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cs="宋体" w:asciiTheme="minorEastAsia" w:hAnsiTheme="minorEastAsia" w:eastAsiaTheme="minorEastAsia"/>
          <w:kern w:val="0"/>
          <w:sz w:val="24"/>
        </w:rPr>
        <w:t>资格审查的依据是招标文件和投标文件。</w:t>
      </w:r>
    </w:p>
    <w:p>
      <w:pPr>
        <w:widowControl/>
        <w:spacing w:line="360" w:lineRule="auto"/>
        <w:ind w:left="210" w:leftChars="1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cs="宋体" w:asciiTheme="minorEastAsia" w:hAnsiTheme="minorEastAsia" w:eastAsiaTheme="minorEastAsia"/>
          <w:kern w:val="0"/>
          <w:sz w:val="24"/>
        </w:rPr>
        <w:t>资格审查的范围及内容：投标文件（资格及资信证明部分），具体如下：</w:t>
      </w:r>
    </w:p>
    <w:p>
      <w:pPr>
        <w:widowControl/>
        <w:spacing w:line="360" w:lineRule="auto"/>
        <w:ind w:left="210" w:leftChars="100"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w:t>
      </w:r>
      <w:r>
        <w:rPr>
          <w:rFonts w:asciiTheme="minorEastAsia" w:hAnsiTheme="minorEastAsia" w:eastAsiaTheme="minorEastAsia"/>
          <w:kern w:val="0"/>
          <w:sz w:val="24"/>
        </w:rPr>
        <w:t>“</w:t>
      </w:r>
      <w:r>
        <w:rPr>
          <w:rFonts w:cs="宋体" w:asciiTheme="minorEastAsia" w:hAnsiTheme="minorEastAsia" w:eastAsiaTheme="minorEastAsia"/>
          <w:kern w:val="0"/>
          <w:sz w:val="24"/>
        </w:rPr>
        <w:t>投标函”；</w:t>
      </w:r>
    </w:p>
    <w:p>
      <w:pPr>
        <w:widowControl/>
        <w:spacing w:line="360" w:lineRule="auto"/>
        <w:ind w:left="210" w:leftChars="100"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w:t>
      </w:r>
      <w:r>
        <w:rPr>
          <w:rFonts w:asciiTheme="minorEastAsia" w:hAnsiTheme="minorEastAsia" w:eastAsiaTheme="minorEastAsia"/>
          <w:kern w:val="0"/>
          <w:sz w:val="24"/>
        </w:rPr>
        <w:t>“</w:t>
      </w:r>
      <w:r>
        <w:rPr>
          <w:rFonts w:cs="宋体" w:asciiTheme="minorEastAsia" w:hAnsiTheme="minorEastAsia" w:eastAsiaTheme="minorEastAsia"/>
          <w:kern w:val="0"/>
          <w:sz w:val="24"/>
        </w:rPr>
        <w:t>投标人的资格及资信证明文件”</w:t>
      </w:r>
    </w:p>
    <w:p>
      <w:pPr>
        <w:widowControl/>
        <w:spacing w:line="360" w:lineRule="auto"/>
        <w:ind w:left="210" w:leftChars="100" w:firstLine="48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a.一般资格证明文件：</w:t>
      </w:r>
    </w:p>
    <w:tbl>
      <w:tblPr>
        <w:tblStyle w:val="36"/>
        <w:tblW w:w="8336" w:type="dxa"/>
        <w:tblCellSpacing w:w="0" w:type="dxa"/>
        <w:tblInd w:w="210" w:type="dxa"/>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Header/>
          <w:tblCellSpacing w:w="0" w:type="dxa"/>
        </w:trPr>
        <w:tc>
          <w:tcPr>
            <w:tcW w:w="3751" w:type="dxa"/>
            <w:vAlign w:val="center"/>
          </w:tcPr>
          <w:p>
            <w:pPr>
              <w:widowControl/>
              <w:spacing w:line="360" w:lineRule="auto"/>
              <w:jc w:val="center"/>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明细</w:t>
            </w:r>
          </w:p>
        </w:tc>
        <w:tc>
          <w:tcPr>
            <w:tcW w:w="4585" w:type="dxa"/>
            <w:vAlign w:val="center"/>
          </w:tcPr>
          <w:p>
            <w:pPr>
              <w:widowControl/>
              <w:spacing w:line="360" w:lineRule="auto"/>
              <w:jc w:val="center"/>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描述</w:t>
            </w: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3751" w:type="dxa"/>
            <w:vAlign w:val="center"/>
          </w:tcPr>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单位负责人授权书（若有）</w:t>
            </w:r>
          </w:p>
        </w:tc>
        <w:tc>
          <w:tcPr>
            <w:tcW w:w="4585" w:type="dxa"/>
            <w:vAlign w:val="center"/>
          </w:tcPr>
          <w:p>
            <w:pPr>
              <w:widowControl/>
              <w:spacing w:line="360" w:lineRule="auto"/>
              <w:ind w:firstLine="120" w:firstLineChars="5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1、企业（银行、保险、石油石化、电力、电信等行业除外）、事业单位和社会团体法人的“单位负责人”指法定代表人，即与实际提交的“营业执照等证明文件”载明的一致。</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xml:space="preserve"> 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xml:space="preserve"> 3、投标人（自然人除外）：若投标人代表为单位负责人授权的委托代理人，应提供本授权书；若投标人代表为单位负责人，应在此项下提交其身份证正反面复印件，可不提供本授权书。</w:t>
            </w:r>
          </w:p>
          <w:p>
            <w:pPr>
              <w:widowControl/>
              <w:spacing w:line="360" w:lineRule="auto"/>
              <w:ind w:left="120" w:hanging="120" w:hangingChars="5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xml:space="preserve"> 4、投标人为自然人的，可不填写本授权书。 5、纸质投标文件正本中的本授权书（若有）应为原件。</w:t>
            </w:r>
          </w:p>
          <w:p>
            <w:pPr>
              <w:widowControl/>
              <w:spacing w:line="360" w:lineRule="auto"/>
              <w:ind w:left="120" w:hanging="120" w:hangingChars="5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xml:space="preserve"> ※投标人应按照招标文件规定提供。</w:t>
            </w: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3751" w:type="dxa"/>
            <w:vAlign w:val="center"/>
          </w:tcPr>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营业执照等证明文件</w:t>
            </w:r>
          </w:p>
        </w:tc>
        <w:tc>
          <w:tcPr>
            <w:tcW w:w="4585" w:type="dxa"/>
            <w:vAlign w:val="center"/>
          </w:tcPr>
          <w:p>
            <w:pPr>
              <w:widowControl/>
              <w:spacing w:line="360" w:lineRule="auto"/>
              <w:ind w:firstLine="120" w:firstLineChars="5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xml:space="preserve"> 2、投标人提供的相应证明材料复印件均应符合：内容完整、清晰、整洁，并由投标人加盖其单位公章。</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xml:space="preserve"> ※投标人应按照招标文件规定提供。</w:t>
            </w: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3751" w:type="dxa"/>
            <w:vAlign w:val="center"/>
          </w:tcPr>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财务状况报告（财务报告、或资信证明、或投标担保函）</w:t>
            </w:r>
          </w:p>
        </w:tc>
        <w:tc>
          <w:tcPr>
            <w:tcW w:w="4585" w:type="dxa"/>
            <w:vAlign w:val="center"/>
          </w:tcPr>
          <w:p>
            <w:pPr>
              <w:widowControl/>
              <w:spacing w:line="360" w:lineRule="auto"/>
              <w:ind w:firstLine="120" w:firstLineChars="5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1、投标人提供的财务报告复印件（成立年限按照投标截止时间推算）应符合下列规定： 1.1成立年限满1年及以上的投标人，提供经审计的上一年度的年度财务报告。 1.2成立年限满半年但不足1年的投标人，提供该半年度中任一季度的季度财务报告或该半年度的半年度财务报告。</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xml:space="preserve"> ※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2</w:t>
            </w:r>
            <w:r>
              <w:rPr>
                <w:rFonts w:cs="宋体" w:asciiTheme="minorEastAsia" w:hAnsiTheme="minorEastAsia" w:eastAsiaTheme="minorEastAsia"/>
                <w:kern w:val="0"/>
                <w:sz w:val="24"/>
              </w:rPr>
              <w:t>、投标人提供的相应证明材料复印件均应符合：内容完整、清晰、整洁，并由投标人加盖其单位公章。</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xml:space="preserve"> ※投标人应按照招标文件规定提供。</w:t>
            </w: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3751" w:type="dxa"/>
            <w:vAlign w:val="center"/>
          </w:tcPr>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依法缴纳税收证明材料</w:t>
            </w:r>
          </w:p>
        </w:tc>
        <w:tc>
          <w:tcPr>
            <w:tcW w:w="4585" w:type="dxa"/>
            <w:vAlign w:val="center"/>
          </w:tcPr>
          <w:p>
            <w:pPr>
              <w:widowControl/>
              <w:spacing w:line="360" w:lineRule="auto"/>
              <w:ind w:firstLine="120" w:firstLineChars="5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1、投标人提供的税收凭据复印件应符合下列规定： 1.1投标截止时间前（不含投标截止时间的当月）已依法缴纳税收的投标人，提供投标截止时间前</w:t>
            </w:r>
            <w:r>
              <w:rPr>
                <w:rFonts w:hint="eastAsia" w:cs="宋体" w:asciiTheme="minorEastAsia" w:hAnsiTheme="minorEastAsia" w:eastAsiaTheme="minorEastAsia"/>
                <w:kern w:val="0"/>
                <w:sz w:val="24"/>
              </w:rPr>
              <w:t>三</w:t>
            </w:r>
            <w:r>
              <w:rPr>
                <w:rFonts w:cs="宋体" w:asciiTheme="minorEastAsia" w:hAnsiTheme="minorEastAsia" w:eastAsiaTheme="minorEastAsia"/>
                <w:kern w:val="0"/>
                <w:sz w:val="24"/>
              </w:rPr>
              <w:t xml:space="preserve">个月（不含投标截止时间的当月）中任一月份的税收凭据复印件。 1.2投标截止时间的当月成立且已依法缴纳税收的投标人，提供投标截止时间当月的税收凭据复印件。 1.3投标截止时间的当月成立但因税务机关原因导致其尚未依法缴纳税收的投标人，提供依法缴纳税收承诺书原件（格式自拟），该承诺书视同税收凭据。 </w:t>
            </w:r>
          </w:p>
          <w:p>
            <w:pPr>
              <w:widowControl/>
              <w:spacing w:line="360" w:lineRule="auto"/>
              <w:ind w:firstLine="120" w:firstLineChars="5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xml:space="preserve">2、“依法缴纳税收证明材料”有欠缴记录的，视为未依法缴纳税收。 3、投标人提供的相应证明材料复印件均应符合：内容完整、清晰、整洁，并由投标人加盖其单位公章。 </w:t>
            </w:r>
          </w:p>
          <w:p>
            <w:pPr>
              <w:widowControl/>
              <w:spacing w:line="360" w:lineRule="auto"/>
              <w:ind w:firstLine="120" w:firstLineChars="5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※投标人应按照招标文件规定提供。</w:t>
            </w: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3751" w:type="dxa"/>
            <w:vAlign w:val="center"/>
          </w:tcPr>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依法缴纳社会保障资金证明材料</w:t>
            </w:r>
          </w:p>
        </w:tc>
        <w:tc>
          <w:tcPr>
            <w:tcW w:w="4585" w:type="dxa"/>
            <w:vAlign w:val="center"/>
          </w:tcPr>
          <w:p>
            <w:pPr>
              <w:widowControl/>
              <w:spacing w:line="360" w:lineRule="auto"/>
              <w:ind w:firstLine="120" w:firstLineChars="5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1、投标人提供的社会保险凭据复印件应符合下列规定： 1.1投标截止时间前（不含投标截止时间的当月）已依法缴纳社会保障资金的投标人，提供投标截止时间前</w:t>
            </w:r>
            <w:r>
              <w:rPr>
                <w:rFonts w:hint="eastAsia" w:cs="宋体" w:asciiTheme="minorEastAsia" w:hAnsiTheme="minorEastAsia" w:eastAsiaTheme="minorEastAsia"/>
                <w:kern w:val="0"/>
                <w:sz w:val="24"/>
              </w:rPr>
              <w:t>三</w:t>
            </w:r>
            <w:r>
              <w:rPr>
                <w:rFonts w:cs="宋体" w:asciiTheme="minorEastAsia" w:hAnsiTheme="minorEastAsia" w:eastAsiaTheme="minorEastAsia"/>
                <w:kern w:val="0"/>
                <w:sz w:val="24"/>
              </w:rPr>
              <w:t>个月（不含投标截止时间的当月）中任一月份的社会保险凭据复印件。 1.2投标截止时间的当月成立且已依法缴纳社会保障资金的投标人，提供投标截止时间当月的社会保险凭据复印件。 1.3投标截止时间的当月成立但因税务机关/社会保障资金管理机关原因导致其尚未依法缴纳社会保障资金的投标人，提供依法缴纳社会保障资金承诺书原件（格式自拟），该承诺书视同社会保险凭据。</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xml:space="preserve"> 2、“依法缴纳社会保障资金证明材料”有欠缴记录的，视为未依法缴纳社会保障资金。 3、投标人提供的相应证明材料复印件均应符合：内容完整、清晰、整洁，并由投标人加盖其单位公章。</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xml:space="preserve"> ※投标人应按照招标文件规定提供。</w:t>
            </w: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3751" w:type="dxa"/>
            <w:vAlign w:val="center"/>
          </w:tcPr>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具备履行合同所必需设备和专业技术能力的声明函（若有）</w:t>
            </w:r>
          </w:p>
        </w:tc>
        <w:tc>
          <w:tcPr>
            <w:tcW w:w="4585" w:type="dxa"/>
            <w:vAlign w:val="center"/>
          </w:tcPr>
          <w:p>
            <w:pPr>
              <w:widowControl/>
              <w:spacing w:line="360" w:lineRule="auto"/>
              <w:ind w:firstLine="120" w:firstLineChars="5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xml:space="preserve">1、招标文件未要求投标人提供“具备履行合同所必需的设备和专业技术能力专项证明材料”的，投标人应提供本声明函。 </w:t>
            </w:r>
          </w:p>
          <w:p>
            <w:pPr>
              <w:widowControl/>
              <w:spacing w:line="360" w:lineRule="auto"/>
              <w:ind w:firstLine="120" w:firstLineChars="5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xml:space="preserve">2、招标文件要求投标人提供“具备履行合同所必需的设备和专业技术能力专项证明材料”的，投标人可不提供本声明函。 </w:t>
            </w:r>
          </w:p>
          <w:p>
            <w:pPr>
              <w:widowControl/>
              <w:spacing w:line="360" w:lineRule="auto"/>
              <w:ind w:firstLine="120" w:firstLineChars="5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xml:space="preserve">3、纸质投标文件正本中的本声明函（若有）应为原件。 </w:t>
            </w:r>
          </w:p>
          <w:p>
            <w:pPr>
              <w:widowControl/>
              <w:spacing w:line="360" w:lineRule="auto"/>
              <w:ind w:firstLine="120" w:firstLineChars="5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※投标人应按照招标文件规定提供。</w:t>
            </w: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3751" w:type="dxa"/>
            <w:vAlign w:val="center"/>
          </w:tcPr>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参加采购活动前三年内在经营活动中没有重大违法记录书面声明</w:t>
            </w:r>
          </w:p>
        </w:tc>
        <w:tc>
          <w:tcPr>
            <w:tcW w:w="4585" w:type="dxa"/>
            <w:vAlign w:val="center"/>
          </w:tcPr>
          <w:p>
            <w:pPr>
              <w:widowControl/>
              <w:spacing w:line="360" w:lineRule="auto"/>
              <w:ind w:firstLine="120" w:firstLineChars="5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1、“重大违法记录”指投标人因违法经营受到刑事处罚或责令停产停业、吊销许可证或执照、较大数额罚款等行政处罚。</w:t>
            </w:r>
          </w:p>
          <w:p>
            <w:pPr>
              <w:widowControl/>
              <w:spacing w:line="360" w:lineRule="auto"/>
              <w:ind w:firstLine="120" w:firstLineChars="5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xml:space="preserve">2、纸质投标文件正本中的本声明应为原件。 </w:t>
            </w:r>
          </w:p>
          <w:p>
            <w:pPr>
              <w:widowControl/>
              <w:spacing w:line="360" w:lineRule="auto"/>
              <w:ind w:firstLine="120" w:firstLineChars="5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※投标人应按照招标文件规定提供。</w:t>
            </w: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3751" w:type="dxa"/>
            <w:vAlign w:val="center"/>
          </w:tcPr>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信用记录查询结果</w:t>
            </w:r>
          </w:p>
        </w:tc>
        <w:tc>
          <w:tcPr>
            <w:tcW w:w="4585" w:type="dxa"/>
            <w:vAlign w:val="center"/>
          </w:tcPr>
          <w:p>
            <w:pPr>
              <w:widowControl/>
              <w:spacing w:line="360" w:lineRule="auto"/>
              <w:ind w:firstLine="120" w:firstLineChars="5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xml:space="preserve">1、投标人应同时提供在招标文件要求的截止时点前通过“信用中国”网站（www.creditchina.gov.cn）和中国采购网（www.ccgp.gov.cn）获取的信用信息查询结果，信用信息查询结果应为从上述2个网站获取的查询结果原始页面的打印件或完整截图，否则投标无效。  </w:t>
            </w:r>
          </w:p>
          <w:p>
            <w:pPr>
              <w:widowControl/>
              <w:spacing w:line="360" w:lineRule="auto"/>
              <w:ind w:firstLine="120" w:firstLineChars="5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※投标人应按照招标文件规定提供。</w:t>
            </w:r>
          </w:p>
        </w:tc>
      </w:tr>
    </w:tbl>
    <w:p>
      <w:pPr>
        <w:widowControl/>
        <w:spacing w:line="360" w:lineRule="auto"/>
        <w:ind w:left="210" w:leftChars="100" w:firstLine="48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b.其他资格证明文件：</w:t>
      </w:r>
      <w:r>
        <w:rPr>
          <w:rFonts w:hint="eastAsia" w:cs="宋体" w:asciiTheme="minorEastAsia" w:hAnsiTheme="minorEastAsia" w:eastAsiaTheme="minorEastAsia"/>
          <w:kern w:val="0"/>
          <w:sz w:val="24"/>
        </w:rPr>
        <w:t>无</w:t>
      </w:r>
    </w:p>
    <w:p>
      <w:pPr>
        <w:widowControl/>
        <w:spacing w:line="360" w:lineRule="auto"/>
        <w:ind w:left="210" w:leftChars="100"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w:t>
      </w:r>
      <w:r>
        <w:rPr>
          <w:rFonts w:cs="宋体" w:asciiTheme="minorEastAsia" w:hAnsiTheme="minorEastAsia" w:eastAsiaTheme="minorEastAsia"/>
          <w:kern w:val="0"/>
          <w:sz w:val="24"/>
        </w:rPr>
        <w:t>投标保证金。</w:t>
      </w:r>
    </w:p>
    <w:p>
      <w:pPr>
        <w:widowControl/>
        <w:spacing w:line="360" w:lineRule="auto"/>
        <w:ind w:left="210" w:leftChars="1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r>
        <w:rPr>
          <w:rFonts w:cs="宋体" w:asciiTheme="minorEastAsia" w:hAnsiTheme="minorEastAsia" w:eastAsiaTheme="minorEastAsia"/>
          <w:kern w:val="0"/>
          <w:sz w:val="24"/>
        </w:rPr>
        <w:t>有下列情形之一的，</w:t>
      </w:r>
      <w:r>
        <w:rPr>
          <w:rFonts w:cs="宋体" w:asciiTheme="minorEastAsia" w:hAnsiTheme="minorEastAsia" w:eastAsiaTheme="minorEastAsia"/>
          <w:b/>
          <w:bCs/>
          <w:kern w:val="0"/>
          <w:sz w:val="24"/>
        </w:rPr>
        <w:t>资格审查不合格：</w:t>
      </w:r>
    </w:p>
    <w:p>
      <w:pPr>
        <w:widowControl/>
        <w:spacing w:line="360" w:lineRule="auto"/>
        <w:ind w:left="210" w:leftChars="100"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w:t>
      </w:r>
      <w:r>
        <w:rPr>
          <w:rFonts w:cs="宋体" w:asciiTheme="minorEastAsia" w:hAnsiTheme="minorEastAsia" w:eastAsiaTheme="minorEastAsia"/>
          <w:kern w:val="0"/>
          <w:sz w:val="24"/>
        </w:rPr>
        <w:t>一般情形：</w:t>
      </w:r>
    </w:p>
    <w:tbl>
      <w:tblPr>
        <w:tblStyle w:val="36"/>
        <w:tblW w:w="8336" w:type="dxa"/>
        <w:tblCellSpacing w:w="0" w:type="dxa"/>
        <w:tblInd w:w="210" w:type="dxa"/>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Header/>
          <w:tblCellSpacing w:w="0" w:type="dxa"/>
        </w:trPr>
        <w:tc>
          <w:tcPr>
            <w:tcW w:w="8336" w:type="dxa"/>
            <w:vAlign w:val="center"/>
          </w:tcPr>
          <w:p>
            <w:pPr>
              <w:widowControl/>
              <w:spacing w:line="360" w:lineRule="auto"/>
              <w:jc w:val="center"/>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明细</w:t>
            </w: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8336" w:type="dxa"/>
            <w:vAlign w:val="center"/>
          </w:tcPr>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未按照招标文件规定提交投标函</w:t>
            </w: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8336" w:type="dxa"/>
            <w:vAlign w:val="center"/>
          </w:tcPr>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未按照招标文件规定提交投标人的资格及资信文件</w:t>
            </w: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8336" w:type="dxa"/>
            <w:vAlign w:val="center"/>
          </w:tcPr>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未按照招标文件规定提交投标保证金</w:t>
            </w:r>
          </w:p>
        </w:tc>
      </w:tr>
    </w:tbl>
    <w:p>
      <w:pPr>
        <w:widowControl/>
        <w:spacing w:line="360" w:lineRule="auto"/>
        <w:ind w:left="210" w:leftChars="100"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w:t>
      </w:r>
      <w:r>
        <w:rPr>
          <w:rFonts w:cs="宋体" w:asciiTheme="minorEastAsia" w:hAnsiTheme="minorEastAsia" w:eastAsiaTheme="minorEastAsia"/>
          <w:kern w:val="0"/>
          <w:sz w:val="24"/>
        </w:rPr>
        <w:t>本项目规定的其他情形：</w:t>
      </w:r>
      <w:r>
        <w:rPr>
          <w:rFonts w:cs="宋体" w:asciiTheme="minorEastAsia" w:hAnsiTheme="minorEastAsia" w:eastAsiaTheme="minorEastAsia"/>
          <w:bCs/>
          <w:kern w:val="0"/>
          <w:sz w:val="24"/>
        </w:rPr>
        <w:t>无</w:t>
      </w:r>
    </w:p>
    <w:p>
      <w:pPr>
        <w:widowControl/>
        <w:spacing w:line="360" w:lineRule="auto"/>
        <w:ind w:left="210" w:leftChars="1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2、资格审查情况不得私自外泄，有关信息由</w:t>
      </w:r>
      <w:r>
        <w:rPr>
          <w:rFonts w:hint="eastAsia" w:cs="宋体" w:asciiTheme="minorEastAsia" w:hAnsiTheme="minorEastAsia" w:eastAsiaTheme="minorEastAsia"/>
          <w:kern w:val="0"/>
          <w:sz w:val="24"/>
          <w:u w:val="single"/>
        </w:rPr>
        <w:t>招标人</w:t>
      </w:r>
      <w:r>
        <w:rPr>
          <w:rFonts w:cs="宋体" w:asciiTheme="minorEastAsia" w:hAnsiTheme="minorEastAsia" w:eastAsiaTheme="minorEastAsia"/>
          <w:kern w:val="0"/>
          <w:sz w:val="24"/>
        </w:rPr>
        <w:t>统一对外发布。</w:t>
      </w:r>
    </w:p>
    <w:p>
      <w:pPr>
        <w:widowControl/>
        <w:spacing w:line="360" w:lineRule="auto"/>
        <w:ind w:left="210" w:leftChars="1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3、资格审查合格的投标人不足三家的，不进行评标。同时，本次采购活动结束，</w:t>
      </w:r>
      <w:r>
        <w:rPr>
          <w:rFonts w:hint="eastAsia" w:cs="宋体" w:asciiTheme="minorEastAsia" w:hAnsiTheme="minorEastAsia" w:eastAsiaTheme="minorEastAsia"/>
          <w:kern w:val="0"/>
          <w:sz w:val="24"/>
          <w:u w:val="single"/>
        </w:rPr>
        <w:t>招标人</w:t>
      </w:r>
      <w:r>
        <w:rPr>
          <w:rFonts w:cs="宋体" w:asciiTheme="minorEastAsia" w:hAnsiTheme="minorEastAsia" w:eastAsiaTheme="minorEastAsia"/>
          <w:kern w:val="0"/>
          <w:sz w:val="24"/>
        </w:rPr>
        <w:t>将依法组织后续采购活动（包括但不限于：重新招标、采用其他方式采购等）。</w:t>
      </w:r>
    </w:p>
    <w:p>
      <w:pPr>
        <w:spacing w:line="360" w:lineRule="auto"/>
        <w:rPr>
          <w:rFonts w:ascii="宋体" w:hAnsi="宋体"/>
          <w:b/>
          <w:sz w:val="24"/>
        </w:rPr>
      </w:pPr>
      <w:r>
        <w:rPr>
          <w:rFonts w:hint="eastAsia" w:ascii="宋体" w:hAnsi="宋体"/>
          <w:b/>
          <w:sz w:val="24"/>
        </w:rPr>
        <w:t>三、评标</w:t>
      </w:r>
    </w:p>
    <w:p>
      <w:pPr>
        <w:spacing w:line="360" w:lineRule="auto"/>
        <w:ind w:left="210" w:leftChars="100"/>
        <w:rPr>
          <w:rFonts w:ascii="宋体" w:hAnsi="宋体"/>
          <w:sz w:val="24"/>
        </w:rPr>
      </w:pPr>
      <w:r>
        <w:rPr>
          <w:rFonts w:hint="eastAsia" w:ascii="宋体" w:hAnsi="宋体"/>
          <w:sz w:val="24"/>
        </w:rPr>
        <w:t>1、评标委员会</w:t>
      </w:r>
    </w:p>
    <w:p>
      <w:pPr>
        <w:spacing w:line="360" w:lineRule="auto"/>
        <w:ind w:left="210" w:leftChars="100"/>
        <w:rPr>
          <w:rFonts w:ascii="宋体" w:hAnsi="宋体"/>
          <w:sz w:val="24"/>
        </w:rPr>
      </w:pPr>
      <w:r>
        <w:rPr>
          <w:rFonts w:hint="eastAsia" w:ascii="宋体" w:hAnsi="宋体"/>
          <w:sz w:val="24"/>
        </w:rPr>
        <w:t>1）评标委员会的组成：评标委员会组成由招标人选定。</w:t>
      </w:r>
    </w:p>
    <w:p>
      <w:pPr>
        <w:widowControl/>
        <w:spacing w:before="75" w:after="75" w:line="360" w:lineRule="auto"/>
        <w:ind w:left="210" w:leftChars="100"/>
        <w:jc w:val="left"/>
        <w:rPr>
          <w:rFonts w:ascii="宋体" w:hAnsi="宋体" w:cs="宋体"/>
          <w:kern w:val="0"/>
          <w:sz w:val="24"/>
        </w:rPr>
      </w:pPr>
      <w:r>
        <w:rPr>
          <w:rFonts w:hint="eastAsia" w:ascii="宋体" w:hAnsi="宋体"/>
          <w:sz w:val="24"/>
        </w:rPr>
        <w:t>2）</w:t>
      </w:r>
      <w:r>
        <w:rPr>
          <w:rFonts w:ascii="宋体" w:hAnsi="宋体" w:cs="宋体"/>
          <w:kern w:val="0"/>
          <w:sz w:val="24"/>
        </w:rPr>
        <w:t>评标</w:t>
      </w:r>
      <w:r>
        <w:rPr>
          <w:rFonts w:hint="eastAsia" w:ascii="宋体" w:hAnsi="宋体" w:cs="宋体"/>
          <w:kern w:val="0"/>
          <w:sz w:val="24"/>
        </w:rPr>
        <w:t>委员会</w:t>
      </w:r>
      <w:r>
        <w:rPr>
          <w:rFonts w:ascii="宋体" w:hAnsi="宋体" w:cs="宋体"/>
          <w:kern w:val="0"/>
          <w:sz w:val="24"/>
        </w:rPr>
        <w:t>负责具体评标事务，并按照下列原则依法独立履行有关职责：</w:t>
      </w:r>
    </w:p>
    <w:p>
      <w:pPr>
        <w:widowControl/>
        <w:numPr>
          <w:ilvl w:val="0"/>
          <w:numId w:val="10"/>
        </w:numPr>
        <w:spacing w:before="75" w:after="75" w:line="360" w:lineRule="auto"/>
        <w:jc w:val="left"/>
        <w:rPr>
          <w:rFonts w:ascii="宋体" w:hAnsi="宋体" w:cs="宋体"/>
          <w:kern w:val="0"/>
          <w:sz w:val="24"/>
        </w:rPr>
      </w:pPr>
      <w:r>
        <w:rPr>
          <w:rFonts w:ascii="宋体" w:hAnsi="宋体" w:cs="宋体"/>
          <w:kern w:val="0"/>
          <w:sz w:val="24"/>
        </w:rPr>
        <w:t>评标应遵循公平、公正、科学、严谨和择优原则。</w:t>
      </w:r>
    </w:p>
    <w:p>
      <w:pPr>
        <w:widowControl/>
        <w:numPr>
          <w:ilvl w:val="0"/>
          <w:numId w:val="10"/>
        </w:numPr>
        <w:spacing w:before="75" w:after="75" w:line="360" w:lineRule="auto"/>
        <w:jc w:val="left"/>
        <w:rPr>
          <w:rFonts w:ascii="宋体" w:hAnsi="宋体" w:cs="宋体"/>
          <w:kern w:val="0"/>
          <w:sz w:val="24"/>
        </w:rPr>
      </w:pPr>
      <w:r>
        <w:rPr>
          <w:rFonts w:ascii="宋体" w:hAnsi="宋体" w:cs="宋体"/>
          <w:kern w:val="0"/>
          <w:sz w:val="24"/>
        </w:rPr>
        <w:t>评标的依据是招标文件和投标文件。</w:t>
      </w:r>
    </w:p>
    <w:p>
      <w:pPr>
        <w:widowControl/>
        <w:numPr>
          <w:ilvl w:val="0"/>
          <w:numId w:val="10"/>
        </w:numPr>
        <w:spacing w:before="75" w:after="75" w:line="360" w:lineRule="auto"/>
        <w:jc w:val="left"/>
        <w:rPr>
          <w:rFonts w:ascii="宋体" w:hAnsi="宋体" w:cs="宋体"/>
          <w:kern w:val="0"/>
          <w:sz w:val="24"/>
        </w:rPr>
      </w:pPr>
      <w:r>
        <w:rPr>
          <w:rFonts w:ascii="宋体" w:hAnsi="宋体" w:cs="宋体"/>
          <w:kern w:val="0"/>
          <w:sz w:val="24"/>
        </w:rPr>
        <w:t>应按照招标文件规定推荐中标候选人或确定中标人。</w:t>
      </w:r>
    </w:p>
    <w:p>
      <w:pPr>
        <w:widowControl/>
        <w:numPr>
          <w:ilvl w:val="0"/>
          <w:numId w:val="10"/>
        </w:numPr>
        <w:spacing w:before="75" w:after="75" w:line="360" w:lineRule="auto"/>
        <w:jc w:val="left"/>
        <w:rPr>
          <w:rFonts w:ascii="宋体" w:hAnsi="宋体" w:cs="宋体"/>
          <w:kern w:val="0"/>
          <w:sz w:val="24"/>
        </w:rPr>
      </w:pPr>
      <w:r>
        <w:rPr>
          <w:rFonts w:ascii="宋体" w:hAnsi="宋体" w:cs="宋体"/>
          <w:kern w:val="0"/>
          <w:sz w:val="24"/>
        </w:rPr>
        <w:t>评标应遵守下列评标纪律：</w:t>
      </w:r>
    </w:p>
    <w:p>
      <w:pPr>
        <w:widowControl/>
        <w:spacing w:before="75" w:after="75" w:line="360" w:lineRule="auto"/>
        <w:ind w:left="210" w:leftChars="100" w:firstLine="480"/>
        <w:jc w:val="left"/>
        <w:rPr>
          <w:rFonts w:ascii="宋体" w:hAnsi="宋体" w:cs="宋体"/>
          <w:kern w:val="0"/>
          <w:sz w:val="24"/>
        </w:rPr>
      </w:pPr>
      <w:r>
        <w:rPr>
          <w:rFonts w:hint="eastAsia" w:ascii="宋体" w:hAnsi="宋体" w:cs="宋体"/>
          <w:kern w:val="0"/>
          <w:sz w:val="24"/>
        </w:rPr>
        <w:t>①</w:t>
      </w:r>
      <w:r>
        <w:rPr>
          <w:rFonts w:ascii="宋体" w:hAnsi="宋体" w:cs="宋体"/>
          <w:kern w:val="0"/>
          <w:sz w:val="24"/>
        </w:rPr>
        <w:t>评标情况不得私自外泄，有关信息由</w:t>
      </w:r>
      <w:r>
        <w:rPr>
          <w:rFonts w:hint="eastAsia" w:ascii="宋体" w:hAnsi="宋体" w:cs="宋体"/>
          <w:kern w:val="0"/>
          <w:sz w:val="24"/>
        </w:rPr>
        <w:t>招标</w:t>
      </w:r>
      <w:r>
        <w:rPr>
          <w:rFonts w:ascii="宋体" w:hAnsi="宋体" w:cs="宋体"/>
          <w:kern w:val="0"/>
          <w:sz w:val="24"/>
        </w:rPr>
        <w:t>人统一对外发布。</w:t>
      </w:r>
    </w:p>
    <w:p>
      <w:pPr>
        <w:widowControl/>
        <w:spacing w:before="75" w:after="75" w:line="360" w:lineRule="auto"/>
        <w:ind w:left="210" w:leftChars="100" w:firstLine="480"/>
        <w:jc w:val="left"/>
        <w:rPr>
          <w:rFonts w:ascii="宋体" w:hAnsi="宋体" w:cs="宋体"/>
          <w:kern w:val="0"/>
          <w:sz w:val="24"/>
        </w:rPr>
      </w:pPr>
      <w:r>
        <w:rPr>
          <w:rFonts w:hint="eastAsia" w:ascii="宋体" w:hAnsi="宋体" w:cs="宋体"/>
          <w:kern w:val="0"/>
          <w:sz w:val="24"/>
        </w:rPr>
        <w:t>②</w:t>
      </w:r>
      <w:r>
        <w:rPr>
          <w:rFonts w:ascii="宋体" w:hAnsi="宋体" w:cs="宋体"/>
          <w:kern w:val="0"/>
          <w:sz w:val="24"/>
        </w:rPr>
        <w:t>对投标人提供的要求保密的资料，不得摘记翻印和外传。</w:t>
      </w:r>
    </w:p>
    <w:p>
      <w:pPr>
        <w:widowControl/>
        <w:spacing w:before="75" w:after="75" w:line="360" w:lineRule="auto"/>
        <w:ind w:left="210" w:leftChars="100" w:firstLine="480"/>
        <w:jc w:val="left"/>
        <w:rPr>
          <w:rFonts w:ascii="宋体" w:hAnsi="宋体" w:cs="宋体"/>
          <w:kern w:val="0"/>
          <w:sz w:val="24"/>
        </w:rPr>
      </w:pPr>
      <w:r>
        <w:rPr>
          <w:rFonts w:hint="eastAsia" w:ascii="宋体" w:hAnsi="宋体" w:cs="宋体"/>
          <w:kern w:val="0"/>
          <w:sz w:val="24"/>
        </w:rPr>
        <w:t>③</w:t>
      </w:r>
      <w:r>
        <w:rPr>
          <w:rFonts w:ascii="宋体" w:hAnsi="宋体" w:cs="宋体"/>
          <w:kern w:val="0"/>
          <w:sz w:val="24"/>
        </w:rPr>
        <w:t>不得收受投标人或有关人员的任何礼物，不得串联鼓动其他人袒护某投标人。若与投标人存在利害关系，则应主动声明并回避。</w:t>
      </w:r>
    </w:p>
    <w:p>
      <w:pPr>
        <w:widowControl/>
        <w:spacing w:before="75" w:after="75" w:line="360" w:lineRule="auto"/>
        <w:ind w:left="210" w:leftChars="100" w:firstLine="480"/>
        <w:jc w:val="left"/>
        <w:rPr>
          <w:rFonts w:ascii="宋体" w:hAnsi="宋体" w:cs="宋体"/>
          <w:kern w:val="0"/>
          <w:sz w:val="24"/>
        </w:rPr>
      </w:pPr>
      <w:r>
        <w:rPr>
          <w:rFonts w:hint="eastAsia" w:ascii="宋体" w:hAnsi="宋体" w:cs="宋体"/>
          <w:kern w:val="0"/>
          <w:sz w:val="24"/>
        </w:rPr>
        <w:t>④</w:t>
      </w:r>
      <w:r>
        <w:rPr>
          <w:rFonts w:ascii="宋体" w:hAnsi="宋体" w:cs="宋体"/>
          <w:kern w:val="0"/>
          <w:sz w:val="24"/>
        </w:rPr>
        <w:t>全体评委应按照招标文件规定进行评标，一切认定事项应查有实据且不得弄虚作假。</w:t>
      </w:r>
    </w:p>
    <w:p>
      <w:pPr>
        <w:widowControl/>
        <w:spacing w:before="75" w:after="75" w:line="360" w:lineRule="auto"/>
        <w:ind w:left="210" w:leftChars="100" w:firstLine="480"/>
        <w:jc w:val="left"/>
        <w:rPr>
          <w:rFonts w:ascii="宋体" w:hAnsi="宋体" w:cs="宋体"/>
          <w:kern w:val="0"/>
          <w:sz w:val="24"/>
        </w:rPr>
      </w:pPr>
      <w:r>
        <w:rPr>
          <w:rFonts w:hint="eastAsia" w:ascii="宋体" w:hAnsi="宋体" w:cs="宋体"/>
          <w:kern w:val="0"/>
          <w:sz w:val="24"/>
        </w:rPr>
        <w:t>⑤</w:t>
      </w:r>
      <w:r>
        <w:rPr>
          <w:rFonts w:ascii="宋体" w:hAnsi="宋体" w:cs="宋体"/>
          <w:kern w:val="0"/>
          <w:sz w:val="24"/>
        </w:rPr>
        <w:t>评标中应充分发扬民主，推荐中标候选人或确定中标人后要服从评标报告。</w:t>
      </w:r>
    </w:p>
    <w:p>
      <w:pPr>
        <w:widowControl/>
        <w:spacing w:before="75" w:after="75" w:line="360" w:lineRule="auto"/>
        <w:ind w:left="210" w:leftChars="100" w:firstLine="480"/>
        <w:jc w:val="left"/>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对违反评标纪律的评委，将取消其评委资格，对评标工作造成严重损失者将予以通报批评乃至追究法律责任。</w:t>
      </w:r>
    </w:p>
    <w:p>
      <w:pPr>
        <w:spacing w:line="360" w:lineRule="auto"/>
        <w:ind w:left="210" w:leftChars="100"/>
        <w:rPr>
          <w:rFonts w:ascii="宋体" w:hAnsi="宋体"/>
          <w:sz w:val="24"/>
        </w:rPr>
      </w:pPr>
    </w:p>
    <w:p>
      <w:pPr>
        <w:spacing w:line="360" w:lineRule="auto"/>
        <w:ind w:left="210" w:leftChars="100"/>
        <w:rPr>
          <w:rFonts w:ascii="宋体" w:hAnsi="宋体"/>
          <w:sz w:val="24"/>
        </w:rPr>
      </w:pPr>
      <w:r>
        <w:rPr>
          <w:rFonts w:hint="eastAsia" w:ascii="宋体" w:hAnsi="宋体"/>
          <w:sz w:val="24"/>
        </w:rPr>
        <w:t>2、评标办法：综合评估评标办法</w:t>
      </w:r>
    </w:p>
    <w:p>
      <w:pPr>
        <w:spacing w:line="360" w:lineRule="auto"/>
        <w:ind w:left="210" w:leftChars="100"/>
        <w:rPr>
          <w:rFonts w:ascii="宋体" w:hAnsi="宋体"/>
          <w:sz w:val="24"/>
        </w:rPr>
      </w:pPr>
      <w:r>
        <w:rPr>
          <w:rFonts w:hint="eastAsia" w:ascii="宋体" w:hAnsi="宋体"/>
          <w:sz w:val="24"/>
        </w:rPr>
        <w:t>1）评标原则</w:t>
      </w:r>
    </w:p>
    <w:p>
      <w:pPr>
        <w:spacing w:line="360" w:lineRule="auto"/>
        <w:ind w:left="420" w:leftChars="200"/>
        <w:rPr>
          <w:rFonts w:ascii="宋体" w:hAnsi="宋体"/>
          <w:sz w:val="24"/>
        </w:rPr>
      </w:pPr>
      <w:r>
        <w:rPr>
          <w:rFonts w:hint="eastAsia" w:ascii="宋体" w:hAnsi="宋体"/>
          <w:sz w:val="24"/>
        </w:rPr>
        <w:t>a．公平、公正、科学、择优；</w:t>
      </w:r>
    </w:p>
    <w:p>
      <w:pPr>
        <w:spacing w:line="360" w:lineRule="auto"/>
        <w:ind w:left="420" w:leftChars="200"/>
        <w:rPr>
          <w:rFonts w:ascii="宋体" w:hAnsi="宋体"/>
          <w:sz w:val="24"/>
        </w:rPr>
      </w:pPr>
      <w:r>
        <w:rPr>
          <w:rFonts w:hint="eastAsia" w:ascii="宋体" w:hAnsi="宋体"/>
          <w:sz w:val="24"/>
        </w:rPr>
        <w:t>b．技术服务细项完整、实施方案先进可行；</w:t>
      </w:r>
    </w:p>
    <w:p>
      <w:pPr>
        <w:spacing w:line="360" w:lineRule="auto"/>
        <w:ind w:left="420" w:leftChars="200"/>
        <w:rPr>
          <w:rFonts w:ascii="宋体" w:hAnsi="宋体"/>
          <w:sz w:val="24"/>
        </w:rPr>
      </w:pPr>
      <w:r>
        <w:rPr>
          <w:rFonts w:hint="eastAsia" w:ascii="宋体" w:hAnsi="宋体"/>
          <w:sz w:val="24"/>
        </w:rPr>
        <w:t>c．价格合理；</w:t>
      </w:r>
    </w:p>
    <w:p>
      <w:pPr>
        <w:spacing w:line="360" w:lineRule="auto"/>
        <w:ind w:left="420" w:leftChars="200"/>
        <w:rPr>
          <w:rFonts w:ascii="宋体" w:hAnsi="宋体"/>
          <w:sz w:val="24"/>
        </w:rPr>
      </w:pPr>
      <w:r>
        <w:rPr>
          <w:rFonts w:hint="eastAsia" w:ascii="宋体" w:hAnsi="宋体"/>
          <w:sz w:val="24"/>
        </w:rPr>
        <w:t>d．禁止不正当竞争。</w:t>
      </w:r>
    </w:p>
    <w:p>
      <w:pPr>
        <w:spacing w:line="360" w:lineRule="auto"/>
        <w:ind w:left="210" w:leftChars="100"/>
        <w:rPr>
          <w:rFonts w:ascii="宋体" w:hAnsi="宋体"/>
          <w:sz w:val="24"/>
        </w:rPr>
      </w:pPr>
      <w:r>
        <w:rPr>
          <w:rFonts w:hint="eastAsia" w:ascii="宋体" w:hAnsi="宋体"/>
          <w:sz w:val="24"/>
        </w:rPr>
        <w:t>2）评审内容</w:t>
      </w:r>
    </w:p>
    <w:p>
      <w:pPr>
        <w:spacing w:line="360" w:lineRule="auto"/>
        <w:ind w:left="420" w:leftChars="200"/>
        <w:rPr>
          <w:rFonts w:ascii="宋体" w:hAnsi="宋体"/>
          <w:sz w:val="24"/>
        </w:rPr>
      </w:pPr>
      <w:r>
        <w:rPr>
          <w:rFonts w:hint="eastAsia" w:ascii="宋体" w:hAnsi="宋体"/>
          <w:sz w:val="24"/>
        </w:rPr>
        <w:t>a.《技术标》的评审：对技术服务细项、实施方案与计划、应急处置预案进行评审。</w:t>
      </w:r>
    </w:p>
    <w:p>
      <w:pPr>
        <w:spacing w:line="360" w:lineRule="auto"/>
        <w:ind w:left="420" w:leftChars="200"/>
        <w:rPr>
          <w:rFonts w:ascii="宋体" w:hAnsi="宋体"/>
          <w:sz w:val="24"/>
        </w:rPr>
      </w:pPr>
      <w:r>
        <w:rPr>
          <w:rFonts w:hint="eastAsia" w:ascii="宋体" w:hAnsi="宋体"/>
          <w:sz w:val="24"/>
        </w:rPr>
        <w:t>b.《商务标》的评审，主要评审投标总价、企业施工资质、技术服务团队构成。</w:t>
      </w:r>
    </w:p>
    <w:p>
      <w:pPr>
        <w:spacing w:line="360" w:lineRule="auto"/>
        <w:ind w:left="210" w:leftChars="100"/>
        <w:rPr>
          <w:rFonts w:ascii="宋体" w:hAnsi="宋体"/>
          <w:sz w:val="24"/>
        </w:rPr>
      </w:pPr>
      <w:r>
        <w:rPr>
          <w:rFonts w:hint="eastAsia" w:ascii="宋体" w:hAnsi="宋体"/>
          <w:sz w:val="24"/>
        </w:rPr>
        <w:t>3）评审的程序及要求</w:t>
      </w:r>
    </w:p>
    <w:p>
      <w:pPr>
        <w:spacing w:line="360" w:lineRule="auto"/>
        <w:ind w:left="420" w:leftChars="200"/>
        <w:rPr>
          <w:rFonts w:ascii="宋体" w:hAnsi="宋体"/>
          <w:sz w:val="24"/>
        </w:rPr>
      </w:pPr>
      <w:r>
        <w:rPr>
          <w:rFonts w:hint="eastAsia" w:ascii="宋体" w:hAnsi="宋体"/>
          <w:sz w:val="24"/>
        </w:rPr>
        <w:t>a.投标文件的初步评审：评标小组可以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360" w:lineRule="auto"/>
        <w:ind w:left="420" w:leftChars="200"/>
        <w:rPr>
          <w:rFonts w:ascii="宋体" w:hAnsi="宋体"/>
          <w:sz w:val="24"/>
        </w:rPr>
      </w:pPr>
      <w:r>
        <w:rPr>
          <w:rFonts w:hint="eastAsia" w:ascii="宋体" w:hAnsi="宋体"/>
          <w:sz w:val="24"/>
        </w:rPr>
        <w:t>b.投标文件中的大写金额和小写金额不一致的，以大写金额为准；总价金额与单价金额不一致的，以单价金额为准（小数点有明显错误的除外）；对不同文字文本投标文件的解释发生异议的，以中文文本为准。</w:t>
      </w:r>
    </w:p>
    <w:p>
      <w:pPr>
        <w:spacing w:line="360" w:lineRule="auto"/>
        <w:ind w:left="420" w:leftChars="200"/>
        <w:rPr>
          <w:rFonts w:ascii="宋体" w:hAnsi="宋体"/>
          <w:sz w:val="24"/>
        </w:rPr>
      </w:pPr>
      <w:r>
        <w:rPr>
          <w:rFonts w:hint="eastAsia" w:ascii="宋体" w:hAnsi="宋体"/>
          <w:sz w:val="24"/>
        </w:rPr>
        <w:t>c.先评审《技术标》，后评审《商务标》。</w:t>
      </w:r>
    </w:p>
    <w:p>
      <w:pPr>
        <w:spacing w:line="360" w:lineRule="auto"/>
        <w:ind w:left="420" w:leftChars="200" w:firstLine="420"/>
        <w:rPr>
          <w:rFonts w:ascii="宋体" w:hAnsi="宋体"/>
          <w:sz w:val="24"/>
        </w:rPr>
      </w:pPr>
      <w:r>
        <w:rPr>
          <w:rFonts w:hint="eastAsia" w:ascii="宋体" w:hAnsi="宋体"/>
          <w:sz w:val="24"/>
        </w:rPr>
        <w:t>《技术标》中技术服务超工期、无应急处置预案，其《技术标》即为不合格，因其它评审内容不合格而被评为《技术标》不合格的，应有三分之二及以上评标委员的一致意见。凡被评为《技术标》不合格的投标人，其《商务标》不再参与评审。</w:t>
      </w:r>
    </w:p>
    <w:p>
      <w:pPr>
        <w:spacing w:line="360" w:lineRule="auto"/>
        <w:ind w:left="420" w:leftChars="200"/>
        <w:rPr>
          <w:rFonts w:ascii="宋体" w:hAnsi="宋体"/>
          <w:sz w:val="24"/>
        </w:rPr>
      </w:pPr>
      <w:r>
        <w:rPr>
          <w:rFonts w:hint="eastAsia" w:ascii="宋体" w:hAnsi="宋体"/>
          <w:sz w:val="24"/>
        </w:rPr>
        <w:t>d.《商务标》评审：技术服务细项综合单价是评审的重点。</w:t>
      </w:r>
    </w:p>
    <w:p>
      <w:pPr>
        <w:spacing w:line="360" w:lineRule="auto"/>
        <w:ind w:left="210" w:leftChars="100"/>
        <w:rPr>
          <w:rFonts w:ascii="宋体" w:hAnsi="宋体"/>
          <w:sz w:val="24"/>
        </w:rPr>
      </w:pPr>
      <w:r>
        <w:rPr>
          <w:rFonts w:ascii="宋体" w:hAnsi="宋体"/>
          <w:sz w:val="24"/>
        </w:rPr>
        <w:t>4）</w:t>
      </w:r>
      <w:r>
        <w:rPr>
          <w:rFonts w:hint="eastAsia" w:ascii="宋体" w:hAnsi="宋体"/>
          <w:sz w:val="24"/>
        </w:rPr>
        <w:t>评审办法</w:t>
      </w:r>
    </w:p>
    <w:p>
      <w:pPr>
        <w:widowControl/>
        <w:spacing w:line="360" w:lineRule="auto"/>
        <w:ind w:left="210" w:leftChars="100" w:firstLine="480"/>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）投标文件满足招标文件全部实质性要求，且按照评审因素的量化指标评审得分（即评标总得分）最高的投标人为中标候选人。</w:t>
      </w:r>
    </w:p>
    <w:p>
      <w:pPr>
        <w:widowControl/>
        <w:spacing w:line="360" w:lineRule="auto"/>
        <w:ind w:left="210" w:leftChars="100" w:firstLine="480"/>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）每个投标人的评标总得分</w:t>
      </w:r>
      <w:r>
        <w:rPr>
          <w:rFonts w:cs="Calibri"/>
          <w:kern w:val="0"/>
          <w:sz w:val="24"/>
        </w:rPr>
        <w:t>FA</w:t>
      </w:r>
      <w:r>
        <w:rPr>
          <w:rFonts w:hint="eastAsia" w:ascii="宋体" w:hAnsi="宋体" w:cs="宋体"/>
          <w:kern w:val="0"/>
          <w:sz w:val="24"/>
        </w:rPr>
        <w:t>＝</w:t>
      </w:r>
      <w:r>
        <w:rPr>
          <w:rFonts w:cs="Calibri"/>
          <w:kern w:val="0"/>
          <w:sz w:val="24"/>
        </w:rPr>
        <w:t>F1</w:t>
      </w:r>
      <w:r>
        <w:rPr>
          <w:rFonts w:hint="eastAsia" w:ascii="宋体" w:hAnsi="宋体" w:cs="宋体"/>
          <w:kern w:val="0"/>
          <w:sz w:val="24"/>
        </w:rPr>
        <w:t>×</w:t>
      </w:r>
      <w:r>
        <w:rPr>
          <w:rFonts w:cs="Calibri"/>
          <w:kern w:val="0"/>
          <w:sz w:val="24"/>
        </w:rPr>
        <w:t>A1</w:t>
      </w:r>
      <w:r>
        <w:rPr>
          <w:rFonts w:hint="eastAsia" w:ascii="宋体" w:hAnsi="宋体" w:cs="宋体"/>
          <w:kern w:val="0"/>
          <w:sz w:val="24"/>
        </w:rPr>
        <w:t>＋</w:t>
      </w:r>
      <w:r>
        <w:rPr>
          <w:rFonts w:cs="Calibri"/>
          <w:kern w:val="0"/>
          <w:sz w:val="24"/>
        </w:rPr>
        <w:t>F2</w:t>
      </w:r>
      <w:r>
        <w:rPr>
          <w:rFonts w:hint="eastAsia" w:ascii="宋体" w:hAnsi="宋体" w:cs="宋体"/>
          <w:kern w:val="0"/>
          <w:sz w:val="24"/>
        </w:rPr>
        <w:t>×</w:t>
      </w:r>
      <w:r>
        <w:rPr>
          <w:rFonts w:cs="Calibri"/>
          <w:kern w:val="0"/>
          <w:sz w:val="24"/>
        </w:rPr>
        <w:t>A2</w:t>
      </w:r>
      <w:r>
        <w:rPr>
          <w:rFonts w:hint="eastAsia" w:ascii="宋体" w:hAnsi="宋体" w:cs="宋体"/>
          <w:kern w:val="0"/>
          <w:sz w:val="24"/>
        </w:rPr>
        <w:t>＋</w:t>
      </w:r>
      <w:r>
        <w:rPr>
          <w:rFonts w:cs="Calibri"/>
          <w:kern w:val="0"/>
          <w:sz w:val="24"/>
        </w:rPr>
        <w:t>F3</w:t>
      </w:r>
      <w:r>
        <w:rPr>
          <w:rFonts w:hint="eastAsia" w:ascii="宋体" w:hAnsi="宋体" w:cs="宋体"/>
          <w:kern w:val="0"/>
          <w:sz w:val="24"/>
        </w:rPr>
        <w:t>×</w:t>
      </w:r>
      <w:r>
        <w:rPr>
          <w:rFonts w:cs="Calibri"/>
          <w:kern w:val="0"/>
          <w:sz w:val="24"/>
        </w:rPr>
        <w:t>A3</w:t>
      </w:r>
      <w:r>
        <w:rPr>
          <w:rFonts w:hint="eastAsia" w:ascii="宋体" w:hAnsi="宋体" w:cs="宋体"/>
          <w:kern w:val="0"/>
          <w:sz w:val="24"/>
        </w:rPr>
        <w:t>，其中：</w:t>
      </w:r>
      <w:r>
        <w:rPr>
          <w:rFonts w:cs="Calibri"/>
          <w:kern w:val="0"/>
          <w:sz w:val="24"/>
        </w:rPr>
        <w:t>F1</w:t>
      </w:r>
      <w:r>
        <w:rPr>
          <w:rFonts w:hint="eastAsia" w:ascii="宋体" w:hAnsi="宋体" w:cs="宋体"/>
          <w:kern w:val="0"/>
          <w:sz w:val="24"/>
        </w:rPr>
        <w:t>指价格项评审因素得分、</w:t>
      </w:r>
      <w:r>
        <w:rPr>
          <w:rFonts w:cs="Calibri"/>
          <w:kern w:val="0"/>
          <w:sz w:val="24"/>
        </w:rPr>
        <w:t>F2</w:t>
      </w:r>
      <w:r>
        <w:rPr>
          <w:rFonts w:hint="eastAsia" w:ascii="宋体" w:hAnsi="宋体" w:cs="宋体"/>
          <w:kern w:val="0"/>
          <w:sz w:val="24"/>
        </w:rPr>
        <w:t>指技术项评审因素得分、</w:t>
      </w:r>
      <w:r>
        <w:rPr>
          <w:rFonts w:cs="Calibri"/>
          <w:kern w:val="0"/>
          <w:sz w:val="24"/>
        </w:rPr>
        <w:t>F3</w:t>
      </w:r>
      <w:r>
        <w:rPr>
          <w:rFonts w:hint="eastAsia" w:ascii="宋体" w:hAnsi="宋体" w:cs="宋体"/>
          <w:kern w:val="0"/>
          <w:sz w:val="24"/>
        </w:rPr>
        <w:t>指商务项评审因素得分，</w:t>
      </w:r>
      <w:r>
        <w:rPr>
          <w:rFonts w:cs="Calibri"/>
          <w:kern w:val="0"/>
          <w:sz w:val="24"/>
        </w:rPr>
        <w:t>A1</w:t>
      </w:r>
      <w:r>
        <w:rPr>
          <w:rFonts w:hint="eastAsia" w:ascii="宋体" w:hAnsi="宋体" w:cs="宋体"/>
          <w:kern w:val="0"/>
          <w:sz w:val="24"/>
        </w:rPr>
        <w:t>指价格项评审因素所占的权重、</w:t>
      </w:r>
      <w:r>
        <w:rPr>
          <w:rFonts w:cs="Calibri"/>
          <w:kern w:val="0"/>
          <w:sz w:val="24"/>
        </w:rPr>
        <w:t>A2</w:t>
      </w:r>
      <w:r>
        <w:rPr>
          <w:rFonts w:hint="eastAsia" w:ascii="宋体" w:hAnsi="宋体" w:cs="宋体"/>
          <w:kern w:val="0"/>
          <w:sz w:val="24"/>
        </w:rPr>
        <w:t>指技术项评审因素所占的权重、</w:t>
      </w:r>
      <w:r>
        <w:rPr>
          <w:rFonts w:cs="Calibri"/>
          <w:kern w:val="0"/>
          <w:sz w:val="24"/>
        </w:rPr>
        <w:t>A3</w:t>
      </w:r>
      <w:r>
        <w:rPr>
          <w:rFonts w:hint="eastAsia" w:ascii="宋体" w:hAnsi="宋体" w:cs="宋体"/>
          <w:kern w:val="0"/>
          <w:sz w:val="24"/>
        </w:rPr>
        <w:t>指商务项评审因素所占的权重，</w:t>
      </w:r>
      <w:r>
        <w:rPr>
          <w:rFonts w:cs="Calibri"/>
          <w:kern w:val="0"/>
          <w:sz w:val="24"/>
        </w:rPr>
        <w:t>A1+A2+A3=1</w:t>
      </w:r>
      <w:r>
        <w:rPr>
          <w:rFonts w:hint="eastAsia" w:ascii="宋体" w:hAnsi="宋体" w:cs="宋体"/>
          <w:kern w:val="0"/>
          <w:sz w:val="24"/>
        </w:rPr>
        <w:t>、</w:t>
      </w:r>
      <w:r>
        <w:rPr>
          <w:rFonts w:cs="Calibri"/>
          <w:kern w:val="0"/>
          <w:sz w:val="24"/>
        </w:rPr>
        <w:t>F1</w:t>
      </w:r>
      <w:r>
        <w:rPr>
          <w:rFonts w:hint="eastAsia" w:ascii="宋体" w:hAnsi="宋体" w:cs="宋体"/>
          <w:kern w:val="0"/>
          <w:sz w:val="24"/>
        </w:rPr>
        <w:t>×</w:t>
      </w:r>
      <w:r>
        <w:rPr>
          <w:rFonts w:cs="Calibri"/>
          <w:kern w:val="0"/>
          <w:sz w:val="24"/>
        </w:rPr>
        <w:t>A1</w:t>
      </w:r>
      <w:r>
        <w:rPr>
          <w:rFonts w:hint="eastAsia" w:ascii="宋体" w:hAnsi="宋体" w:cs="宋体"/>
          <w:kern w:val="0"/>
          <w:sz w:val="24"/>
        </w:rPr>
        <w:t>＋</w:t>
      </w:r>
      <w:r>
        <w:rPr>
          <w:rFonts w:cs="Calibri"/>
          <w:kern w:val="0"/>
          <w:sz w:val="24"/>
        </w:rPr>
        <w:t>F2</w:t>
      </w:r>
      <w:r>
        <w:rPr>
          <w:rFonts w:hint="eastAsia" w:ascii="宋体" w:hAnsi="宋体" w:cs="宋体"/>
          <w:kern w:val="0"/>
          <w:sz w:val="24"/>
        </w:rPr>
        <w:t>×</w:t>
      </w:r>
      <w:r>
        <w:rPr>
          <w:rFonts w:cs="Calibri"/>
          <w:kern w:val="0"/>
          <w:sz w:val="24"/>
        </w:rPr>
        <w:t>A2</w:t>
      </w:r>
      <w:r>
        <w:rPr>
          <w:rFonts w:hint="eastAsia" w:ascii="宋体" w:hAnsi="宋体" w:cs="宋体"/>
          <w:kern w:val="0"/>
          <w:sz w:val="24"/>
        </w:rPr>
        <w:t>＋</w:t>
      </w:r>
      <w:r>
        <w:rPr>
          <w:rFonts w:cs="Calibri"/>
          <w:kern w:val="0"/>
          <w:sz w:val="24"/>
        </w:rPr>
        <w:t>F3</w:t>
      </w:r>
      <w:r>
        <w:rPr>
          <w:rFonts w:hint="eastAsia" w:ascii="宋体" w:hAnsi="宋体" w:cs="宋体"/>
          <w:kern w:val="0"/>
          <w:sz w:val="24"/>
        </w:rPr>
        <w:t>×</w:t>
      </w:r>
      <w:r>
        <w:rPr>
          <w:rFonts w:cs="Calibri"/>
          <w:kern w:val="0"/>
          <w:sz w:val="24"/>
        </w:rPr>
        <w:t>A3=100</w:t>
      </w:r>
      <w:r>
        <w:rPr>
          <w:rFonts w:hint="eastAsia" w:ascii="宋体" w:hAnsi="宋体" w:cs="宋体"/>
          <w:kern w:val="0"/>
          <w:sz w:val="24"/>
        </w:rPr>
        <w:t>分（满分时）。</w:t>
      </w:r>
    </w:p>
    <w:p>
      <w:pPr>
        <w:widowControl/>
        <w:spacing w:line="360" w:lineRule="auto"/>
        <w:ind w:left="210" w:leftChars="100" w:firstLine="480"/>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）各项评审因素的设置如下：</w:t>
      </w:r>
    </w:p>
    <w:p>
      <w:pPr>
        <w:spacing w:line="360" w:lineRule="auto"/>
        <w:ind w:left="691" w:leftChars="329"/>
        <w:rPr>
          <w:rFonts w:ascii="宋体" w:hAnsi="宋体" w:cs="宋体"/>
          <w:kern w:val="0"/>
          <w:sz w:val="24"/>
        </w:rPr>
      </w:pPr>
      <w:r>
        <w:rPr>
          <w:rFonts w:hint="eastAsia" w:ascii="宋体" w:hAnsi="宋体" w:cs="宋体"/>
          <w:kern w:val="0"/>
          <w:sz w:val="24"/>
        </w:rPr>
        <w:t>①价格项（</w:t>
      </w:r>
      <w:r>
        <w:rPr>
          <w:rFonts w:cs="Calibri"/>
          <w:kern w:val="0"/>
          <w:sz w:val="24"/>
        </w:rPr>
        <w:t>F1</w:t>
      </w:r>
      <w:r>
        <w:rPr>
          <w:rFonts w:hint="eastAsia" w:ascii="宋体" w:hAnsi="宋体" w:cs="宋体"/>
          <w:kern w:val="0"/>
          <w:sz w:val="24"/>
        </w:rPr>
        <w:t>×</w:t>
      </w:r>
      <w:r>
        <w:rPr>
          <w:rFonts w:cs="Calibri"/>
          <w:kern w:val="0"/>
          <w:sz w:val="24"/>
        </w:rPr>
        <w:t>A1</w:t>
      </w:r>
      <w:r>
        <w:rPr>
          <w:rFonts w:hint="eastAsia" w:ascii="宋体" w:hAnsi="宋体" w:cs="宋体"/>
          <w:kern w:val="0"/>
          <w:sz w:val="24"/>
        </w:rPr>
        <w:t>）满分为</w:t>
      </w:r>
      <w:r>
        <w:rPr>
          <w:rFonts w:ascii="宋体" w:hAnsi="宋体" w:cs="宋体"/>
          <w:kern w:val="0"/>
          <w:sz w:val="24"/>
          <w:u w:val="single"/>
        </w:rPr>
        <w:t>30</w:t>
      </w:r>
      <w:r>
        <w:rPr>
          <w:rFonts w:hint="eastAsia" w:ascii="宋体" w:hAnsi="宋体" w:cs="宋体"/>
          <w:kern w:val="0"/>
          <w:sz w:val="24"/>
        </w:rPr>
        <w:t>分</w:t>
      </w:r>
    </w:p>
    <w:p>
      <w:pPr>
        <w:spacing w:line="360" w:lineRule="auto"/>
        <w:ind w:left="691" w:leftChars="329"/>
        <w:rPr>
          <w:rFonts w:ascii="宋体" w:hAnsi="宋体" w:cs="宋体"/>
          <w:kern w:val="0"/>
          <w:sz w:val="24"/>
        </w:rPr>
      </w:pPr>
      <w:r>
        <w:rPr>
          <w:rFonts w:hint="eastAsia" w:ascii="宋体" w:hAnsi="宋体" w:cs="宋体"/>
          <w:kern w:val="0"/>
          <w:sz w:val="24"/>
        </w:rPr>
        <w:t>等权重平均法</w:t>
      </w:r>
    </w:p>
    <w:p>
      <w:pPr>
        <w:spacing w:line="360" w:lineRule="auto"/>
        <w:ind w:left="210" w:firstLine="420"/>
        <w:rPr>
          <w:rFonts w:ascii="宋体" w:hAnsi="宋体" w:cs="宋体"/>
          <w:color w:val="000000" w:themeColor="text1"/>
          <w:kern w:val="0"/>
          <w:sz w:val="24"/>
        </w:rPr>
      </w:pPr>
      <w:r>
        <w:rPr>
          <w:rFonts w:hint="eastAsia" w:ascii="宋体" w:hAnsi="宋体" w:cs="宋体"/>
          <w:color w:val="000000" w:themeColor="text1"/>
          <w:kern w:val="0"/>
          <w:sz w:val="24"/>
        </w:rPr>
        <w:t>进入评分范围的投标评标价的算术平均值为评标基准价（投标评标价在</w:t>
      </w:r>
      <w:r>
        <w:rPr>
          <w:rFonts w:ascii="宋体" w:hAnsi="宋体" w:cs="宋体"/>
          <w:color w:val="000000" w:themeColor="text1"/>
          <w:kern w:val="0"/>
          <w:sz w:val="24"/>
        </w:rPr>
        <w:t xml:space="preserve"> 5 </w:t>
      </w:r>
      <w:r>
        <w:rPr>
          <w:rFonts w:hint="eastAsia" w:ascii="宋体" w:hAnsi="宋体" w:cs="宋体"/>
          <w:color w:val="000000" w:themeColor="text1"/>
          <w:kern w:val="0"/>
          <w:sz w:val="24"/>
        </w:rPr>
        <w:t>个及以上时，去除一个最高价和一个最低价；投标评标价在</w:t>
      </w:r>
      <w:r>
        <w:rPr>
          <w:rFonts w:ascii="宋体" w:hAnsi="宋体" w:cs="宋体"/>
          <w:color w:val="000000" w:themeColor="text1"/>
          <w:kern w:val="0"/>
          <w:sz w:val="24"/>
        </w:rPr>
        <w:t xml:space="preserve"> 8 </w:t>
      </w:r>
      <w:r>
        <w:rPr>
          <w:rFonts w:hint="eastAsia" w:ascii="宋体" w:hAnsi="宋体" w:cs="宋体"/>
          <w:color w:val="000000" w:themeColor="text1"/>
          <w:kern w:val="0"/>
          <w:sz w:val="24"/>
        </w:rPr>
        <w:t>个及以上时，去除一个最高、次高价和一个最低、次低价）。</w:t>
      </w:r>
    </w:p>
    <w:p>
      <w:pPr>
        <w:spacing w:line="360" w:lineRule="auto"/>
        <w:ind w:left="691" w:leftChars="329"/>
        <w:rPr>
          <w:rFonts w:ascii="宋体" w:hAnsi="宋体" w:cs="宋体"/>
          <w:kern w:val="0"/>
          <w:sz w:val="24"/>
        </w:rPr>
      </w:pPr>
      <w:r>
        <w:rPr>
          <w:rFonts w:hint="eastAsia" w:ascii="宋体" w:hAnsi="宋体" w:cs="宋体"/>
          <w:kern w:val="0"/>
          <w:sz w:val="24"/>
        </w:rPr>
        <w:t>根据投标文件的投标评标价与评标基准价对比，计算投标人的商务报价的得分值。即：</w:t>
      </w:r>
    </w:p>
    <w:p>
      <w:pPr>
        <w:pStyle w:val="58"/>
        <w:numPr>
          <w:ilvl w:val="0"/>
          <w:numId w:val="11"/>
        </w:numPr>
        <w:spacing w:line="360" w:lineRule="auto"/>
        <w:ind w:firstLineChars="0"/>
        <w:rPr>
          <w:rFonts w:ascii="宋体" w:hAnsi="宋体" w:cs="宋体"/>
          <w:color w:val="000000" w:themeColor="text1"/>
          <w:kern w:val="0"/>
          <w:sz w:val="24"/>
        </w:rPr>
      </w:pPr>
      <w:r>
        <w:rPr>
          <w:rFonts w:hint="eastAsia" w:ascii="宋体" w:hAnsi="宋体" w:cs="宋体"/>
          <w:color w:val="000000" w:themeColor="text1"/>
          <w:kern w:val="0"/>
          <w:sz w:val="24"/>
        </w:rPr>
        <w:t>评标委员会将对投标报价进行算术性错误修正，并计算出报价评标价。</w:t>
      </w:r>
    </w:p>
    <w:p>
      <w:pPr>
        <w:pStyle w:val="58"/>
        <w:numPr>
          <w:ilvl w:val="0"/>
          <w:numId w:val="11"/>
        </w:numPr>
        <w:spacing w:line="360" w:lineRule="auto"/>
        <w:ind w:firstLineChars="0"/>
        <w:rPr>
          <w:rFonts w:ascii="宋体" w:hAnsi="宋体" w:cs="宋体"/>
          <w:color w:val="000000" w:themeColor="text1"/>
          <w:kern w:val="0"/>
          <w:sz w:val="24"/>
        </w:rPr>
      </w:pPr>
      <w:r>
        <w:rPr>
          <w:rFonts w:hint="eastAsia" w:ascii="宋体" w:hAnsi="宋体" w:cs="宋体"/>
          <w:color w:val="000000" w:themeColor="text1"/>
          <w:kern w:val="0"/>
          <w:sz w:val="24"/>
        </w:rPr>
        <w:t>评委将按下列方法计算各合格投标人的报价部分得分（分数保留小数点后2位数）：</w:t>
      </w:r>
    </w:p>
    <w:p>
      <w:pPr>
        <w:pStyle w:val="58"/>
        <w:spacing w:line="360" w:lineRule="auto"/>
        <w:ind w:left="1051" w:firstLine="0" w:firstLineChars="0"/>
        <w:rPr>
          <w:rFonts w:ascii="宋体" w:hAnsi="宋体" w:cs="宋体"/>
          <w:color w:val="000000" w:themeColor="text1"/>
          <w:kern w:val="0"/>
          <w:sz w:val="24"/>
        </w:rPr>
      </w:pPr>
      <m:oMathPara>
        <m:oMath>
          <m:r>
            <m:rPr>
              <m:sty m:val="p"/>
            </m:rPr>
            <w:rPr>
              <w:rFonts w:ascii="Cambria Math" w:hAnsi="Cambria Math" w:cs="宋体"/>
              <w:color w:val="000000" w:themeColor="text1"/>
              <w:kern w:val="0"/>
              <w:sz w:val="24"/>
            </w:rPr>
            <m:t>F1=30-</m:t>
          </m:r>
          <m:f>
            <m:fPr>
              <m:ctrlPr>
                <w:rPr>
                  <w:rFonts w:ascii="Cambria Math" w:hAnsi="Cambria Math" w:cs="宋体"/>
                  <w:color w:val="000000" w:themeColor="text1"/>
                  <w:kern w:val="0"/>
                  <w:sz w:val="24"/>
                </w:rPr>
              </m:ctrlPr>
            </m:fPr>
            <m:num>
              <m:r>
                <m:rPr>
                  <m:sty m:val="p"/>
                </m:rPr>
                <w:rPr>
                  <w:rFonts w:ascii="Cambria Math" w:hAnsi="Cambria Math" w:cs="宋体"/>
                  <w:color w:val="000000" w:themeColor="text1"/>
                  <w:kern w:val="0"/>
                  <w:sz w:val="24"/>
                </w:rPr>
                <m:t>|Bn-C|</m:t>
              </m:r>
              <m:ctrlPr>
                <w:rPr>
                  <w:rFonts w:ascii="Cambria Math" w:hAnsi="Cambria Math" w:cs="宋体"/>
                  <w:color w:val="000000" w:themeColor="text1"/>
                  <w:kern w:val="0"/>
                  <w:sz w:val="24"/>
                </w:rPr>
              </m:ctrlPr>
            </m:num>
            <m:den>
              <m:r>
                <m:rPr>
                  <m:sty m:val="p"/>
                </m:rPr>
                <w:rPr>
                  <w:rFonts w:ascii="Cambria Math" w:hAnsi="Cambria Math" w:cs="宋体"/>
                  <w:color w:val="000000" w:themeColor="text1"/>
                  <w:kern w:val="0"/>
                  <w:sz w:val="24"/>
                </w:rPr>
                <m:t>C</m:t>
              </m:r>
              <m:ctrlPr>
                <w:rPr>
                  <w:rFonts w:ascii="Cambria Math" w:hAnsi="Cambria Math" w:cs="宋体"/>
                  <w:color w:val="000000" w:themeColor="text1"/>
                  <w:kern w:val="0"/>
                  <w:sz w:val="24"/>
                </w:rPr>
              </m:ctrlPr>
            </m:den>
          </m:f>
          <m:r>
            <m:rPr>
              <m:sty m:val="p"/>
            </m:rPr>
            <w:rPr>
              <w:rFonts w:ascii="Cambria Math" w:hAnsi="Cambria Math" w:cs="宋体"/>
              <w:color w:val="000000" w:themeColor="text1"/>
              <w:kern w:val="0"/>
              <w:sz w:val="24"/>
            </w:rPr>
            <m:t>×30×Q</m:t>
          </m:r>
        </m:oMath>
      </m:oMathPara>
    </w:p>
    <w:p>
      <w:pPr>
        <w:pStyle w:val="58"/>
        <w:spacing w:line="360" w:lineRule="auto"/>
        <w:ind w:left="1051" w:firstLine="480"/>
        <w:rPr>
          <w:rFonts w:ascii="宋体" w:hAnsi="宋体" w:cs="宋体"/>
          <w:color w:val="000000" w:themeColor="text1"/>
          <w:kern w:val="0"/>
          <w:sz w:val="24"/>
        </w:rPr>
      </w:pPr>
      <w:r>
        <w:rPr>
          <w:rFonts w:hint="eastAsia" w:ascii="宋体" w:hAnsi="宋体" w:cs="宋体"/>
          <w:color w:val="000000" w:themeColor="text1"/>
          <w:kern w:val="0"/>
          <w:sz w:val="24"/>
        </w:rPr>
        <w:t>上式中：F1为有效投标人的价格分；</w:t>
      </w:r>
    </w:p>
    <w:p>
      <w:pPr>
        <w:pStyle w:val="58"/>
        <w:spacing w:line="360" w:lineRule="auto"/>
        <w:ind w:left="1051" w:firstLine="480"/>
        <w:rPr>
          <w:rFonts w:ascii="宋体" w:hAnsi="宋体" w:cs="宋体"/>
          <w:color w:val="000000" w:themeColor="text1"/>
          <w:kern w:val="0"/>
          <w:sz w:val="24"/>
        </w:rPr>
      </w:pPr>
      <w:r>
        <w:rPr>
          <w:rFonts w:hint="eastAsia" w:ascii="宋体" w:hAnsi="宋体" w:cs="宋体"/>
          <w:color w:val="000000" w:themeColor="text1"/>
          <w:kern w:val="0"/>
          <w:sz w:val="24"/>
        </w:rPr>
        <w:t>Bn为有效投标人的报价评标价；</w:t>
      </w:r>
    </w:p>
    <w:p>
      <w:pPr>
        <w:pStyle w:val="58"/>
        <w:spacing w:line="360" w:lineRule="auto"/>
        <w:ind w:left="1051" w:firstLine="480"/>
        <w:rPr>
          <w:rFonts w:ascii="宋体" w:hAnsi="宋体" w:cs="宋体"/>
          <w:color w:val="000000" w:themeColor="text1"/>
          <w:kern w:val="0"/>
          <w:sz w:val="24"/>
        </w:rPr>
      </w:pPr>
      <w:r>
        <w:rPr>
          <w:rFonts w:hint="eastAsia" w:ascii="宋体" w:hAnsi="宋体" w:cs="宋体"/>
          <w:color w:val="000000" w:themeColor="text1"/>
          <w:kern w:val="0"/>
          <w:sz w:val="24"/>
        </w:rPr>
        <w:t xml:space="preserve">C（评标基准价）为各有效投标人报价评标价的算术平均值； </w:t>
      </w:r>
    </w:p>
    <w:p>
      <w:pPr>
        <w:pStyle w:val="58"/>
        <w:spacing w:line="360" w:lineRule="auto"/>
        <w:ind w:left="1322" w:firstLine="209" w:firstLineChars="0"/>
        <w:rPr>
          <w:rFonts w:ascii="宋体" w:hAnsi="宋体" w:cs="宋体"/>
          <w:color w:val="000000" w:themeColor="text1"/>
          <w:kern w:val="0"/>
          <w:sz w:val="24"/>
        </w:rPr>
      </w:pPr>
      <w:r>
        <w:rPr>
          <w:rFonts w:hint="eastAsia" w:ascii="宋体" w:hAnsi="宋体" w:cs="宋体"/>
          <w:color w:val="000000" w:themeColor="text1"/>
          <w:kern w:val="0"/>
          <w:sz w:val="24"/>
        </w:rPr>
        <w:t>Q为扣分值，当Bn≥C时，Q＝1.0；Bn＜C时，Q＝0.8。</w:t>
      </w:r>
    </w:p>
    <w:p>
      <w:pPr>
        <w:ind w:left="210" w:firstLine="420"/>
        <w:rPr>
          <w:rFonts w:ascii="宋体" w:hAnsi="宋体" w:cs="宋体"/>
          <w:color w:val="000000" w:themeColor="text1"/>
          <w:kern w:val="0"/>
          <w:sz w:val="24"/>
        </w:rPr>
      </w:pPr>
      <w:r>
        <w:rPr>
          <w:rFonts w:hint="eastAsia" w:ascii="宋体" w:hAnsi="宋体" w:cs="宋体"/>
          <w:color w:val="000000" w:themeColor="text1"/>
          <w:kern w:val="0"/>
          <w:sz w:val="24"/>
        </w:rPr>
        <w:t>投标人的投标报价不得超过本项目的最高限价，否则做废标处理，不进入评审程序。</w:t>
      </w:r>
    </w:p>
    <w:p>
      <w:pPr>
        <w:ind w:left="210" w:firstLine="420"/>
        <w:rPr>
          <w:rFonts w:ascii="宋体" w:hAnsi="宋体" w:cs="宋体"/>
          <w:color w:val="000000" w:themeColor="text1"/>
          <w:kern w:val="0"/>
          <w:sz w:val="24"/>
        </w:rPr>
      </w:pPr>
    </w:p>
    <w:p>
      <w:pPr>
        <w:pageBreakBefore/>
        <w:widowControl/>
        <w:spacing w:line="360" w:lineRule="auto"/>
        <w:ind w:left="210" w:leftChars="100" w:firstLine="482"/>
        <w:jc w:val="left"/>
        <w:rPr>
          <w:rFonts w:ascii="宋体" w:hAnsi="宋体" w:cs="宋体"/>
          <w:kern w:val="0"/>
          <w:sz w:val="24"/>
        </w:rPr>
      </w:pPr>
      <w:r>
        <w:rPr>
          <w:rFonts w:hint="eastAsia" w:ascii="宋体" w:hAnsi="宋体" w:cs="宋体"/>
          <w:kern w:val="0"/>
          <w:sz w:val="24"/>
        </w:rPr>
        <w:t>②</w:t>
      </w:r>
      <w:r>
        <w:rPr>
          <w:rFonts w:ascii="宋体" w:hAnsi="宋体" w:cs="宋体"/>
          <w:kern w:val="0"/>
          <w:sz w:val="24"/>
        </w:rPr>
        <w:t>技术项（</w:t>
      </w:r>
      <w:r>
        <w:rPr>
          <w:rFonts w:ascii="宋体" w:hAnsi="宋体" w:cs="Calibri"/>
          <w:kern w:val="0"/>
          <w:sz w:val="24"/>
        </w:rPr>
        <w:t>F2</w:t>
      </w:r>
      <w:r>
        <w:rPr>
          <w:rFonts w:ascii="宋体" w:hAnsi="宋体" w:cs="宋体"/>
          <w:kern w:val="0"/>
          <w:sz w:val="24"/>
        </w:rPr>
        <w:t>×</w:t>
      </w:r>
      <w:r>
        <w:rPr>
          <w:rFonts w:ascii="宋体" w:hAnsi="宋体" w:cs="Calibri"/>
          <w:kern w:val="0"/>
          <w:sz w:val="24"/>
        </w:rPr>
        <w:t>A2</w:t>
      </w:r>
      <w:r>
        <w:rPr>
          <w:rFonts w:ascii="宋体" w:hAnsi="宋体" w:cs="宋体"/>
          <w:kern w:val="0"/>
          <w:sz w:val="24"/>
        </w:rPr>
        <w:t>）满分为</w:t>
      </w:r>
      <w:r>
        <w:rPr>
          <w:rFonts w:ascii="宋体" w:hAnsi="宋体" w:cs="宋体"/>
          <w:kern w:val="0"/>
          <w:sz w:val="24"/>
          <w:u w:val="single"/>
        </w:rPr>
        <w:t>60</w:t>
      </w:r>
      <w:r>
        <w:rPr>
          <w:rFonts w:ascii="宋体" w:hAnsi="宋体" w:cs="宋体"/>
          <w:kern w:val="0"/>
          <w:sz w:val="24"/>
        </w:rPr>
        <w:t>分。</w:t>
      </w:r>
    </w:p>
    <w:tbl>
      <w:tblPr>
        <w:tblStyle w:val="36"/>
        <w:tblpPr w:leftFromText="180" w:rightFromText="180" w:vertAnchor="text" w:horzAnchor="margin" w:tblpY="52"/>
        <w:tblOverlap w:val="never"/>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811"/>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752" w:type="dxa"/>
            <w:vAlign w:val="center"/>
          </w:tcPr>
          <w:p>
            <w:pPr>
              <w:spacing w:line="360" w:lineRule="auto"/>
              <w:ind w:left="69"/>
              <w:jc w:val="center"/>
              <w:rPr>
                <w:rFonts w:ascii="宋体" w:hAnsi="宋体"/>
                <w:b/>
                <w:bCs/>
                <w:color w:val="000000" w:themeColor="text1"/>
                <w:sz w:val="24"/>
              </w:rPr>
            </w:pPr>
            <w:r>
              <w:rPr>
                <w:rFonts w:hint="eastAsia" w:ascii="宋体" w:hAnsi="宋体"/>
                <w:b/>
                <w:bCs/>
                <w:color w:val="000000" w:themeColor="text1"/>
                <w:sz w:val="24"/>
              </w:rPr>
              <w:t>序号</w:t>
            </w:r>
          </w:p>
        </w:tc>
        <w:tc>
          <w:tcPr>
            <w:tcW w:w="7811" w:type="dxa"/>
            <w:vAlign w:val="center"/>
          </w:tcPr>
          <w:p>
            <w:pPr>
              <w:spacing w:line="360" w:lineRule="auto"/>
              <w:ind w:left="69"/>
              <w:jc w:val="center"/>
              <w:rPr>
                <w:rFonts w:ascii="宋体" w:hAnsi="宋体"/>
                <w:b/>
                <w:bCs/>
                <w:color w:val="000000" w:themeColor="text1"/>
                <w:sz w:val="24"/>
              </w:rPr>
            </w:pPr>
            <w:r>
              <w:rPr>
                <w:rFonts w:hint="eastAsia" w:ascii="宋体" w:hAnsi="宋体"/>
                <w:b/>
                <w:bCs/>
                <w:color w:val="000000" w:themeColor="text1"/>
                <w:sz w:val="24"/>
              </w:rPr>
              <w:t>细则内容</w:t>
            </w:r>
          </w:p>
        </w:tc>
        <w:tc>
          <w:tcPr>
            <w:tcW w:w="1236" w:type="dxa"/>
            <w:vAlign w:val="center"/>
          </w:tcPr>
          <w:p>
            <w:pPr>
              <w:spacing w:line="360" w:lineRule="auto"/>
              <w:ind w:left="187" w:leftChars="33" w:hanging="118" w:hangingChars="49"/>
              <w:jc w:val="left"/>
              <w:rPr>
                <w:rFonts w:ascii="宋体" w:hAnsi="宋体"/>
                <w:b/>
                <w:bCs/>
                <w:color w:val="000000" w:themeColor="text1"/>
                <w:sz w:val="24"/>
              </w:rPr>
            </w:pPr>
            <w:r>
              <w:rPr>
                <w:rFonts w:hint="eastAsia" w:ascii="宋体" w:hAnsi="宋体"/>
                <w:b/>
                <w:bCs/>
                <w:color w:val="000000" w:themeColor="text1"/>
                <w:sz w:val="24"/>
              </w:rPr>
              <w:t>满分值(分)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752" w:type="dxa"/>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1</w:t>
            </w:r>
          </w:p>
        </w:tc>
        <w:tc>
          <w:tcPr>
            <w:tcW w:w="7811" w:type="dxa"/>
            <w:vAlign w:val="center"/>
          </w:tcPr>
          <w:p>
            <w:pPr>
              <w:spacing w:line="360" w:lineRule="auto"/>
              <w:ind w:left="69" w:leftChars="33"/>
              <w:jc w:val="left"/>
              <w:rPr>
                <w:rFonts w:ascii="宋体" w:hAnsi="宋体"/>
                <w:color w:val="000000" w:themeColor="text1"/>
                <w:sz w:val="24"/>
              </w:rPr>
            </w:pPr>
            <w:r>
              <w:rPr>
                <w:rFonts w:hint="eastAsia" w:ascii="宋体" w:hAnsi="宋体" w:cs="宋体"/>
                <w:color w:val="000000" w:themeColor="text1"/>
                <w:kern w:val="0"/>
                <w:sz w:val="24"/>
              </w:rPr>
              <w:t>服务大纲的内容是否全面性；优秀6分，良好4分，一般2分</w:t>
            </w:r>
          </w:p>
        </w:tc>
        <w:tc>
          <w:tcPr>
            <w:tcW w:w="1236" w:type="dxa"/>
            <w:vAlign w:val="center"/>
          </w:tcPr>
          <w:p>
            <w:pPr>
              <w:spacing w:line="360" w:lineRule="auto"/>
              <w:ind w:left="69" w:leftChars="33" w:firstLine="355" w:firstLineChars="148"/>
              <w:jc w:val="left"/>
              <w:rPr>
                <w:rFonts w:ascii="宋体" w:hAnsi="宋体"/>
                <w:color w:val="000000" w:themeColor="text1"/>
                <w:sz w:val="24"/>
              </w:rPr>
            </w:pPr>
            <w:r>
              <w:rPr>
                <w:rFonts w:hint="eastAsia" w:ascii="宋体" w:hAnsi="宋体"/>
                <w:color w:val="000000" w:themeColor="text1"/>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752" w:type="dxa"/>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2</w:t>
            </w:r>
          </w:p>
        </w:tc>
        <w:tc>
          <w:tcPr>
            <w:tcW w:w="7811" w:type="dxa"/>
            <w:vAlign w:val="center"/>
          </w:tcPr>
          <w:p>
            <w:pPr>
              <w:spacing w:line="360" w:lineRule="auto"/>
              <w:ind w:left="69" w:leftChars="33"/>
              <w:jc w:val="left"/>
              <w:rPr>
                <w:rFonts w:ascii="宋体" w:hAnsi="宋体"/>
                <w:color w:val="000000" w:themeColor="text1"/>
                <w:sz w:val="24"/>
              </w:rPr>
            </w:pPr>
            <w:r>
              <w:rPr>
                <w:rFonts w:hint="eastAsia" w:ascii="宋体" w:hAnsi="宋体" w:cs="宋体"/>
                <w:color w:val="000000" w:themeColor="text1"/>
                <w:kern w:val="0"/>
                <w:sz w:val="24"/>
              </w:rPr>
              <w:t>服务大纲中对相关人员的组织分工是否明确；</w:t>
            </w:r>
            <w:r>
              <w:rPr>
                <w:rFonts w:ascii="宋体" w:hAnsi="宋体"/>
                <w:color w:val="000000" w:themeColor="text1"/>
                <w:sz w:val="24"/>
              </w:rPr>
              <w:t xml:space="preserve"> </w:t>
            </w:r>
            <w:r>
              <w:rPr>
                <w:rFonts w:hint="eastAsia" w:ascii="宋体" w:hAnsi="宋体" w:cs="宋体"/>
                <w:color w:val="000000" w:themeColor="text1"/>
                <w:kern w:val="0"/>
                <w:sz w:val="24"/>
              </w:rPr>
              <w:t>优秀4分，良好3分，一般2分</w:t>
            </w:r>
          </w:p>
        </w:tc>
        <w:tc>
          <w:tcPr>
            <w:tcW w:w="1236" w:type="dxa"/>
            <w:vAlign w:val="center"/>
          </w:tcPr>
          <w:p>
            <w:pPr>
              <w:spacing w:line="360" w:lineRule="auto"/>
              <w:ind w:left="69" w:leftChars="33" w:firstLine="355" w:firstLineChars="148"/>
              <w:jc w:val="left"/>
              <w:rPr>
                <w:rFonts w:ascii="宋体" w:hAnsi="宋体"/>
                <w:color w:val="000000" w:themeColor="text1"/>
                <w:sz w:val="24"/>
              </w:rPr>
            </w:pPr>
            <w:r>
              <w:rPr>
                <w:rFonts w:hint="eastAsia" w:ascii="宋体" w:hAnsi="宋体"/>
                <w:color w:val="000000" w:themeColor="text1"/>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752" w:type="dxa"/>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3</w:t>
            </w:r>
          </w:p>
        </w:tc>
        <w:tc>
          <w:tcPr>
            <w:tcW w:w="7811" w:type="dxa"/>
            <w:vAlign w:val="center"/>
          </w:tcPr>
          <w:p>
            <w:pPr>
              <w:spacing w:line="360" w:lineRule="auto"/>
              <w:ind w:left="69" w:leftChars="33"/>
              <w:jc w:val="left"/>
              <w:rPr>
                <w:rFonts w:ascii="宋体" w:hAnsi="宋体"/>
                <w:color w:val="000000" w:themeColor="text1"/>
                <w:sz w:val="24"/>
              </w:rPr>
            </w:pPr>
            <w:r>
              <w:rPr>
                <w:rFonts w:hint="eastAsia" w:ascii="宋体" w:hAnsi="宋体" w:cs="宋体"/>
                <w:color w:val="000000" w:themeColor="text1"/>
                <w:kern w:val="0"/>
                <w:sz w:val="24"/>
              </w:rPr>
              <w:t>项目负责人、项目服务人员的权利和责任是否明确；</w:t>
            </w:r>
            <w:r>
              <w:rPr>
                <w:rFonts w:ascii="宋体" w:hAnsi="宋体"/>
                <w:color w:val="000000" w:themeColor="text1"/>
                <w:sz w:val="24"/>
              </w:rPr>
              <w:t xml:space="preserve"> </w:t>
            </w:r>
            <w:r>
              <w:rPr>
                <w:rFonts w:hint="eastAsia" w:ascii="宋体" w:hAnsi="宋体" w:cs="宋体"/>
                <w:color w:val="000000" w:themeColor="text1"/>
                <w:kern w:val="0"/>
                <w:sz w:val="24"/>
              </w:rPr>
              <w:t>优秀5分，良好3分，一般2分</w:t>
            </w:r>
          </w:p>
        </w:tc>
        <w:tc>
          <w:tcPr>
            <w:tcW w:w="1236" w:type="dxa"/>
            <w:vAlign w:val="center"/>
          </w:tcPr>
          <w:p>
            <w:pPr>
              <w:spacing w:line="360" w:lineRule="auto"/>
              <w:ind w:left="69" w:leftChars="33" w:firstLine="355" w:firstLineChars="148"/>
              <w:jc w:val="left"/>
              <w:rPr>
                <w:rFonts w:ascii="宋体" w:hAnsi="宋体"/>
                <w:color w:val="000000" w:themeColor="text1"/>
                <w:sz w:val="24"/>
              </w:rPr>
            </w:pPr>
            <w:r>
              <w:rPr>
                <w:rFonts w:hint="eastAsia" w:ascii="宋体" w:hAnsi="宋体"/>
                <w:color w:val="000000" w:themeColor="text1"/>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trPr>
        <w:tc>
          <w:tcPr>
            <w:tcW w:w="752" w:type="dxa"/>
            <w:vAlign w:val="center"/>
          </w:tcPr>
          <w:p>
            <w:pPr>
              <w:spacing w:line="360" w:lineRule="auto"/>
              <w:ind w:left="69"/>
              <w:jc w:val="center"/>
              <w:rPr>
                <w:rFonts w:ascii="宋体" w:hAnsi="宋体"/>
                <w:color w:val="000000" w:themeColor="text1"/>
                <w:sz w:val="24"/>
              </w:rPr>
            </w:pPr>
            <w:r>
              <w:rPr>
                <w:rFonts w:hint="eastAsia" w:ascii="宋体" w:hAnsi="宋体"/>
                <w:color w:val="000000" w:themeColor="text1"/>
                <w:sz w:val="24"/>
              </w:rPr>
              <w:t>4</w:t>
            </w:r>
          </w:p>
        </w:tc>
        <w:tc>
          <w:tcPr>
            <w:tcW w:w="7811" w:type="dxa"/>
            <w:vAlign w:val="center"/>
          </w:tcPr>
          <w:p>
            <w:pPr>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服务大纲中对本标段服务的难点、要点和关键部位是否阐明；优秀3分，良好2分，一般1分</w:t>
            </w:r>
          </w:p>
          <w:p>
            <w:pPr>
              <w:spacing w:line="360" w:lineRule="auto"/>
              <w:rPr>
                <w:rFonts w:ascii="宋体" w:hAnsi="宋体"/>
                <w:color w:val="000000" w:themeColor="text1"/>
                <w:sz w:val="24"/>
              </w:rPr>
            </w:pPr>
            <w:r>
              <w:rPr>
                <w:rFonts w:hint="eastAsia" w:ascii="宋体" w:hAnsi="宋体" w:cs="宋体"/>
                <w:color w:val="000000" w:themeColor="text1"/>
                <w:kern w:val="0"/>
                <w:sz w:val="24"/>
              </w:rPr>
              <w:t>质量控制的保证措施和手段是否科学、可靠；</w:t>
            </w:r>
            <w:r>
              <w:rPr>
                <w:rFonts w:ascii="宋体" w:hAnsi="宋体"/>
                <w:color w:val="000000" w:themeColor="text1"/>
                <w:sz w:val="24"/>
              </w:rPr>
              <w:t xml:space="preserve"> </w:t>
            </w:r>
            <w:r>
              <w:rPr>
                <w:rFonts w:hint="eastAsia" w:ascii="宋体" w:hAnsi="宋体" w:cs="宋体"/>
                <w:color w:val="000000" w:themeColor="text1"/>
                <w:kern w:val="0"/>
                <w:sz w:val="24"/>
              </w:rPr>
              <w:t>优秀2分，良好1分，一般0分</w:t>
            </w:r>
          </w:p>
        </w:tc>
        <w:tc>
          <w:tcPr>
            <w:tcW w:w="1236" w:type="dxa"/>
            <w:vAlign w:val="center"/>
          </w:tcPr>
          <w:p>
            <w:pPr>
              <w:spacing w:line="360" w:lineRule="auto"/>
              <w:ind w:left="69" w:leftChars="33" w:firstLine="355" w:firstLineChars="148"/>
              <w:jc w:val="left"/>
              <w:rPr>
                <w:rFonts w:ascii="宋体" w:hAnsi="宋体"/>
                <w:color w:val="000000" w:themeColor="text1"/>
                <w:sz w:val="24"/>
              </w:rPr>
            </w:pPr>
            <w:r>
              <w:rPr>
                <w:rFonts w:hint="eastAsia" w:ascii="宋体" w:hAnsi="宋体"/>
                <w:color w:val="000000" w:themeColor="text1"/>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752" w:type="dxa"/>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5</w:t>
            </w:r>
          </w:p>
        </w:tc>
        <w:tc>
          <w:tcPr>
            <w:tcW w:w="7811" w:type="dxa"/>
            <w:vAlign w:val="center"/>
          </w:tcPr>
          <w:p>
            <w:pPr>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服务力量的投入是否能满足工程的需要； 优秀6分，良好4分，一般2分</w:t>
            </w:r>
          </w:p>
        </w:tc>
        <w:tc>
          <w:tcPr>
            <w:tcW w:w="1236" w:type="dxa"/>
            <w:vAlign w:val="center"/>
          </w:tcPr>
          <w:p>
            <w:pPr>
              <w:spacing w:line="360" w:lineRule="auto"/>
              <w:ind w:left="69" w:leftChars="33" w:firstLine="355" w:firstLineChars="148"/>
              <w:jc w:val="left"/>
              <w:rPr>
                <w:rFonts w:ascii="宋体" w:hAnsi="宋体"/>
                <w:color w:val="000000" w:themeColor="text1"/>
                <w:sz w:val="24"/>
              </w:rPr>
            </w:pPr>
            <w:r>
              <w:rPr>
                <w:rFonts w:hint="eastAsia" w:ascii="宋体" w:hAnsi="宋体"/>
                <w:color w:val="000000" w:themeColor="text1"/>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752" w:type="dxa"/>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6</w:t>
            </w:r>
          </w:p>
        </w:tc>
        <w:tc>
          <w:tcPr>
            <w:tcW w:w="7811" w:type="dxa"/>
            <w:vAlign w:val="center"/>
          </w:tcPr>
          <w:p>
            <w:pPr>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服务人员的专业配置是否符合工程需要； 优秀5分，良好3分，一般2分</w:t>
            </w:r>
          </w:p>
        </w:tc>
        <w:tc>
          <w:tcPr>
            <w:tcW w:w="1236" w:type="dxa"/>
            <w:vAlign w:val="center"/>
          </w:tcPr>
          <w:p>
            <w:pPr>
              <w:spacing w:line="360" w:lineRule="auto"/>
              <w:ind w:left="69" w:leftChars="33" w:firstLine="355" w:firstLineChars="148"/>
              <w:jc w:val="left"/>
              <w:rPr>
                <w:rFonts w:ascii="宋体" w:hAnsi="宋体"/>
                <w:color w:val="000000" w:themeColor="text1"/>
                <w:sz w:val="24"/>
              </w:rPr>
            </w:pPr>
            <w:r>
              <w:rPr>
                <w:rFonts w:hint="eastAsia" w:ascii="宋体" w:hAnsi="宋体"/>
                <w:color w:val="000000" w:themeColor="text1"/>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752" w:type="dxa"/>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7</w:t>
            </w:r>
          </w:p>
        </w:tc>
        <w:tc>
          <w:tcPr>
            <w:tcW w:w="7811" w:type="dxa"/>
            <w:vAlign w:val="center"/>
          </w:tcPr>
          <w:p>
            <w:pPr>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服务人员的年龄结构是否合理；</w:t>
            </w:r>
            <w:r>
              <w:rPr>
                <w:rFonts w:ascii="宋体" w:hAnsi="宋体" w:cs="宋体"/>
                <w:color w:val="000000" w:themeColor="text1"/>
                <w:kern w:val="0"/>
                <w:sz w:val="24"/>
              </w:rPr>
              <w:t xml:space="preserve"> </w:t>
            </w:r>
            <w:r>
              <w:rPr>
                <w:rFonts w:hint="eastAsia" w:ascii="宋体" w:hAnsi="宋体" w:cs="宋体"/>
                <w:color w:val="000000" w:themeColor="text1"/>
                <w:kern w:val="0"/>
                <w:sz w:val="24"/>
              </w:rPr>
              <w:t>优秀5分，良好3分，一般2分</w:t>
            </w:r>
          </w:p>
        </w:tc>
        <w:tc>
          <w:tcPr>
            <w:tcW w:w="1236" w:type="dxa"/>
            <w:vAlign w:val="center"/>
          </w:tcPr>
          <w:p>
            <w:pPr>
              <w:spacing w:line="360" w:lineRule="auto"/>
              <w:ind w:left="69" w:leftChars="33" w:firstLine="355" w:firstLineChars="148"/>
              <w:jc w:val="left"/>
              <w:rPr>
                <w:rFonts w:ascii="宋体" w:hAnsi="宋体"/>
                <w:color w:val="000000" w:themeColor="text1"/>
                <w:sz w:val="24"/>
              </w:rPr>
            </w:pPr>
            <w:r>
              <w:rPr>
                <w:rFonts w:hint="eastAsia" w:ascii="宋体" w:hAnsi="宋体"/>
                <w:color w:val="000000" w:themeColor="text1"/>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752" w:type="dxa"/>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8</w:t>
            </w:r>
          </w:p>
        </w:tc>
        <w:tc>
          <w:tcPr>
            <w:tcW w:w="7811" w:type="dxa"/>
            <w:vAlign w:val="center"/>
          </w:tcPr>
          <w:p>
            <w:pPr>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检测仪器和工具是否满足服务工作要求； 优秀3分，良好2分，一般1分</w:t>
            </w:r>
          </w:p>
        </w:tc>
        <w:tc>
          <w:tcPr>
            <w:tcW w:w="1236" w:type="dxa"/>
            <w:vAlign w:val="center"/>
          </w:tcPr>
          <w:p>
            <w:pPr>
              <w:spacing w:line="360" w:lineRule="auto"/>
              <w:ind w:left="69" w:leftChars="33" w:firstLine="355" w:firstLineChars="148"/>
              <w:jc w:val="left"/>
              <w:rPr>
                <w:rFonts w:ascii="宋体" w:hAnsi="宋体"/>
                <w:color w:val="000000" w:themeColor="text1"/>
                <w:sz w:val="24"/>
              </w:rPr>
            </w:pPr>
            <w:r>
              <w:rPr>
                <w:rFonts w:hint="eastAsia" w:ascii="宋体" w:hAnsi="宋体"/>
                <w:color w:val="000000" w:themeColor="text1"/>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752" w:type="dxa"/>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9</w:t>
            </w:r>
          </w:p>
        </w:tc>
        <w:tc>
          <w:tcPr>
            <w:tcW w:w="7811" w:type="dxa"/>
            <w:vAlign w:val="center"/>
          </w:tcPr>
          <w:p>
            <w:pPr>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投资控制的方法是否合理、可行；</w:t>
            </w:r>
            <w:r>
              <w:rPr>
                <w:rFonts w:ascii="宋体" w:hAnsi="宋体" w:cs="宋体"/>
                <w:color w:val="000000" w:themeColor="text1"/>
                <w:kern w:val="0"/>
                <w:sz w:val="24"/>
              </w:rPr>
              <w:t xml:space="preserve"> </w:t>
            </w:r>
            <w:r>
              <w:rPr>
                <w:rFonts w:hint="eastAsia" w:ascii="宋体" w:hAnsi="宋体" w:cs="宋体"/>
                <w:color w:val="000000" w:themeColor="text1"/>
                <w:kern w:val="0"/>
                <w:sz w:val="24"/>
              </w:rPr>
              <w:t>优秀5分，良好3分，一般2分</w:t>
            </w:r>
          </w:p>
        </w:tc>
        <w:tc>
          <w:tcPr>
            <w:tcW w:w="1236" w:type="dxa"/>
            <w:vAlign w:val="center"/>
          </w:tcPr>
          <w:p>
            <w:pPr>
              <w:spacing w:line="360" w:lineRule="auto"/>
              <w:ind w:left="69" w:leftChars="33" w:firstLine="355" w:firstLineChars="148"/>
              <w:jc w:val="left"/>
              <w:rPr>
                <w:rFonts w:ascii="宋体" w:hAnsi="宋体"/>
                <w:color w:val="000000" w:themeColor="text1"/>
                <w:sz w:val="24"/>
              </w:rPr>
            </w:pPr>
            <w:r>
              <w:rPr>
                <w:rFonts w:hint="eastAsia" w:ascii="宋体" w:hAnsi="宋体"/>
                <w:color w:val="000000" w:themeColor="text1"/>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752" w:type="dxa"/>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10</w:t>
            </w:r>
          </w:p>
        </w:tc>
        <w:tc>
          <w:tcPr>
            <w:tcW w:w="7811" w:type="dxa"/>
            <w:vAlign w:val="center"/>
          </w:tcPr>
          <w:p>
            <w:pPr>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对业主或项目管理的合理化建议；</w:t>
            </w:r>
            <w:r>
              <w:rPr>
                <w:rFonts w:ascii="宋体" w:hAnsi="宋体" w:cs="宋体"/>
                <w:color w:val="000000" w:themeColor="text1"/>
                <w:kern w:val="0"/>
                <w:sz w:val="24"/>
              </w:rPr>
              <w:t xml:space="preserve"> </w:t>
            </w:r>
            <w:r>
              <w:rPr>
                <w:rFonts w:hint="eastAsia" w:ascii="宋体" w:hAnsi="宋体" w:cs="宋体"/>
                <w:color w:val="000000" w:themeColor="text1"/>
                <w:kern w:val="0"/>
                <w:sz w:val="24"/>
              </w:rPr>
              <w:t>优秀3分，良好2分，一般1分</w:t>
            </w:r>
          </w:p>
        </w:tc>
        <w:tc>
          <w:tcPr>
            <w:tcW w:w="1236" w:type="dxa"/>
            <w:vAlign w:val="center"/>
          </w:tcPr>
          <w:p>
            <w:pPr>
              <w:spacing w:line="360" w:lineRule="auto"/>
              <w:ind w:left="69" w:leftChars="33" w:firstLine="355" w:firstLineChars="148"/>
              <w:jc w:val="left"/>
              <w:rPr>
                <w:rFonts w:ascii="宋体" w:hAnsi="宋体"/>
                <w:color w:val="000000" w:themeColor="text1"/>
                <w:sz w:val="24"/>
              </w:rPr>
            </w:pPr>
            <w:r>
              <w:rPr>
                <w:rFonts w:hint="eastAsia" w:ascii="宋体" w:hAnsi="宋体"/>
                <w:color w:val="000000" w:themeColor="text1"/>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752" w:type="dxa"/>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11</w:t>
            </w:r>
          </w:p>
        </w:tc>
        <w:tc>
          <w:tcPr>
            <w:tcW w:w="7811" w:type="dxa"/>
            <w:vAlign w:val="center"/>
          </w:tcPr>
          <w:p>
            <w:pPr>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对检查发现的问题，提出合理的整改措施；</w:t>
            </w:r>
            <w:r>
              <w:rPr>
                <w:rFonts w:ascii="宋体" w:hAnsi="宋体" w:cs="宋体"/>
                <w:color w:val="000000" w:themeColor="text1"/>
                <w:kern w:val="0"/>
                <w:sz w:val="24"/>
              </w:rPr>
              <w:t xml:space="preserve"> </w:t>
            </w:r>
            <w:r>
              <w:rPr>
                <w:rFonts w:hint="eastAsia" w:ascii="宋体" w:hAnsi="宋体" w:cs="宋体"/>
                <w:color w:val="000000" w:themeColor="text1"/>
                <w:kern w:val="0"/>
                <w:sz w:val="24"/>
              </w:rPr>
              <w:t>优秀5分，良好3分，一般2分</w:t>
            </w:r>
          </w:p>
        </w:tc>
        <w:tc>
          <w:tcPr>
            <w:tcW w:w="1236" w:type="dxa"/>
            <w:vAlign w:val="center"/>
          </w:tcPr>
          <w:p>
            <w:pPr>
              <w:spacing w:line="360" w:lineRule="auto"/>
              <w:ind w:left="69" w:leftChars="33" w:firstLine="355" w:firstLineChars="148"/>
              <w:jc w:val="left"/>
              <w:rPr>
                <w:rFonts w:ascii="宋体" w:hAnsi="宋体"/>
                <w:color w:val="000000" w:themeColor="text1"/>
                <w:sz w:val="24"/>
              </w:rPr>
            </w:pPr>
            <w:r>
              <w:rPr>
                <w:rFonts w:hint="eastAsia" w:ascii="宋体" w:hAnsi="宋体"/>
                <w:color w:val="000000" w:themeColor="text1"/>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752" w:type="dxa"/>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12</w:t>
            </w:r>
          </w:p>
        </w:tc>
        <w:tc>
          <w:tcPr>
            <w:tcW w:w="7811" w:type="dxa"/>
            <w:vAlign w:val="center"/>
          </w:tcPr>
          <w:p>
            <w:pPr>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检测工期安排及保证措施； 优秀5分，良好3分，一般2分</w:t>
            </w:r>
          </w:p>
        </w:tc>
        <w:tc>
          <w:tcPr>
            <w:tcW w:w="1236" w:type="dxa"/>
            <w:vAlign w:val="center"/>
          </w:tcPr>
          <w:p>
            <w:pPr>
              <w:spacing w:line="360" w:lineRule="auto"/>
              <w:ind w:left="69" w:leftChars="33" w:firstLine="355" w:firstLineChars="148"/>
              <w:jc w:val="left"/>
              <w:rPr>
                <w:rFonts w:ascii="宋体" w:hAnsi="宋体"/>
                <w:color w:val="000000" w:themeColor="text1"/>
                <w:sz w:val="24"/>
              </w:rPr>
            </w:pPr>
            <w:r>
              <w:rPr>
                <w:rFonts w:hint="eastAsia" w:ascii="宋体" w:hAnsi="宋体"/>
                <w:color w:val="000000" w:themeColor="text1"/>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752" w:type="dxa"/>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13</w:t>
            </w:r>
          </w:p>
        </w:tc>
        <w:tc>
          <w:tcPr>
            <w:tcW w:w="7811" w:type="dxa"/>
            <w:vAlign w:val="center"/>
          </w:tcPr>
          <w:p>
            <w:pPr>
              <w:spacing w:line="360" w:lineRule="auto"/>
              <w:rPr>
                <w:rFonts w:ascii="宋体" w:hAnsi="宋体" w:cs="宋体"/>
                <w:color w:val="000000" w:themeColor="text1"/>
                <w:kern w:val="0"/>
                <w:sz w:val="24"/>
              </w:rPr>
            </w:pPr>
            <w:r>
              <w:rPr>
                <w:rFonts w:ascii="宋体" w:hAnsi="宋体" w:cs="宋体"/>
                <w:color w:val="000000" w:themeColor="text1"/>
                <w:kern w:val="0"/>
                <w:sz w:val="24"/>
              </w:rPr>
              <w:t>培训内容是否完善。</w:t>
            </w:r>
            <w:r>
              <w:rPr>
                <w:rFonts w:hint="eastAsia" w:ascii="宋体" w:hAnsi="宋体" w:cs="宋体"/>
                <w:color w:val="000000" w:themeColor="text1"/>
                <w:kern w:val="0"/>
                <w:sz w:val="24"/>
              </w:rPr>
              <w:t>优秀3分，良好2分，一般1分</w:t>
            </w:r>
          </w:p>
        </w:tc>
        <w:tc>
          <w:tcPr>
            <w:tcW w:w="1236" w:type="dxa"/>
            <w:vAlign w:val="center"/>
          </w:tcPr>
          <w:p>
            <w:pPr>
              <w:spacing w:line="360" w:lineRule="auto"/>
              <w:ind w:left="69" w:leftChars="33" w:firstLine="355" w:firstLineChars="148"/>
              <w:jc w:val="left"/>
              <w:rPr>
                <w:rFonts w:ascii="宋体" w:hAnsi="宋体"/>
                <w:color w:val="000000" w:themeColor="text1"/>
                <w:sz w:val="24"/>
              </w:rPr>
            </w:pPr>
            <w:r>
              <w:rPr>
                <w:rFonts w:hint="eastAsia" w:ascii="宋体" w:hAnsi="宋体"/>
                <w:color w:val="000000" w:themeColor="text1"/>
                <w:sz w:val="24"/>
              </w:rPr>
              <w:t>3</w:t>
            </w:r>
          </w:p>
        </w:tc>
      </w:tr>
    </w:tbl>
    <w:p>
      <w:pPr>
        <w:widowControl/>
        <w:spacing w:line="360" w:lineRule="auto"/>
        <w:ind w:left="210" w:leftChars="100" w:firstLine="482"/>
        <w:jc w:val="left"/>
        <w:rPr>
          <w:rFonts w:ascii="宋体" w:hAnsi="宋体" w:cs="宋体"/>
          <w:kern w:val="0"/>
          <w:sz w:val="24"/>
          <w:highlight w:val="yellow"/>
        </w:rPr>
      </w:pPr>
    </w:p>
    <w:p>
      <w:pPr>
        <w:widowControl/>
        <w:spacing w:line="360" w:lineRule="auto"/>
        <w:ind w:left="210" w:leftChars="100" w:firstLine="482"/>
        <w:jc w:val="left"/>
        <w:rPr>
          <w:rFonts w:ascii="宋体" w:hAnsi="宋体" w:cs="宋体"/>
          <w:kern w:val="0"/>
          <w:sz w:val="24"/>
          <w:highlight w:val="yellow"/>
        </w:rPr>
      </w:pPr>
    </w:p>
    <w:p>
      <w:pPr>
        <w:widowControl/>
        <w:spacing w:line="360" w:lineRule="auto"/>
        <w:ind w:left="210" w:leftChars="100" w:firstLine="482"/>
        <w:jc w:val="left"/>
        <w:rPr>
          <w:rFonts w:ascii="宋体" w:hAnsi="宋体" w:cs="宋体"/>
          <w:kern w:val="0"/>
          <w:sz w:val="24"/>
          <w:highlight w:val="yellow"/>
        </w:rPr>
      </w:pPr>
    </w:p>
    <w:p>
      <w:pPr>
        <w:spacing w:line="360" w:lineRule="auto"/>
        <w:ind w:left="691" w:leftChars="329"/>
        <w:rPr>
          <w:rFonts w:ascii="宋体" w:hAnsi="宋体" w:cs="宋体"/>
          <w:kern w:val="0"/>
          <w:sz w:val="24"/>
        </w:rPr>
      </w:pPr>
      <w:r>
        <w:rPr>
          <w:rFonts w:hint="eastAsia" w:ascii="宋体" w:hAnsi="宋体" w:cs="宋体"/>
          <w:kern w:val="0"/>
          <w:sz w:val="24"/>
        </w:rPr>
        <w:t>③</w:t>
      </w:r>
      <w:r>
        <w:rPr>
          <w:rFonts w:ascii="宋体" w:hAnsi="宋体" w:cs="宋体"/>
          <w:kern w:val="0"/>
          <w:sz w:val="24"/>
        </w:rPr>
        <w:t>商务项（</w:t>
      </w:r>
      <w:r>
        <w:rPr>
          <w:rFonts w:cs="Calibri"/>
          <w:kern w:val="0"/>
          <w:sz w:val="24"/>
        </w:rPr>
        <w:t>F3</w:t>
      </w:r>
      <w:r>
        <w:rPr>
          <w:rFonts w:ascii="宋体" w:hAnsi="宋体" w:cs="宋体"/>
          <w:kern w:val="0"/>
          <w:sz w:val="24"/>
        </w:rPr>
        <w:t>×</w:t>
      </w:r>
      <w:r>
        <w:rPr>
          <w:rFonts w:cs="Calibri"/>
          <w:kern w:val="0"/>
          <w:sz w:val="24"/>
        </w:rPr>
        <w:t>A3</w:t>
      </w:r>
      <w:r>
        <w:rPr>
          <w:rFonts w:ascii="宋体" w:hAnsi="宋体" w:cs="宋体"/>
          <w:kern w:val="0"/>
          <w:sz w:val="24"/>
        </w:rPr>
        <w:t>）满分为</w:t>
      </w:r>
      <w:r>
        <w:rPr>
          <w:rFonts w:hint="eastAsia" w:ascii="宋体" w:hAnsi="宋体" w:cs="宋体"/>
          <w:kern w:val="0"/>
          <w:sz w:val="24"/>
          <w:u w:val="single"/>
        </w:rPr>
        <w:t>10</w:t>
      </w:r>
      <w:r>
        <w:rPr>
          <w:rFonts w:ascii="宋体" w:hAnsi="宋体" w:cs="宋体"/>
          <w:kern w:val="0"/>
          <w:sz w:val="24"/>
        </w:rPr>
        <w:t>分。</w:t>
      </w:r>
    </w:p>
    <w:tbl>
      <w:tblPr>
        <w:tblStyle w:val="36"/>
        <w:tblpPr w:leftFromText="180" w:rightFromText="180" w:vertAnchor="text" w:horzAnchor="margin" w:tblpY="82"/>
        <w:tblOverlap w:val="never"/>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811"/>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752" w:type="dxa"/>
            <w:vAlign w:val="center"/>
          </w:tcPr>
          <w:p>
            <w:pPr>
              <w:spacing w:line="360" w:lineRule="auto"/>
              <w:ind w:left="69"/>
              <w:jc w:val="left"/>
              <w:rPr>
                <w:rFonts w:ascii="宋体" w:hAnsi="宋体"/>
                <w:b/>
                <w:bCs/>
                <w:color w:val="000000" w:themeColor="text1"/>
                <w:sz w:val="24"/>
              </w:rPr>
            </w:pPr>
            <w:r>
              <w:rPr>
                <w:rFonts w:hint="eastAsia" w:ascii="宋体" w:hAnsi="宋体"/>
                <w:b/>
                <w:bCs/>
                <w:color w:val="000000" w:themeColor="text1"/>
                <w:sz w:val="24"/>
              </w:rPr>
              <w:t>序号</w:t>
            </w:r>
          </w:p>
        </w:tc>
        <w:tc>
          <w:tcPr>
            <w:tcW w:w="7811" w:type="dxa"/>
            <w:vAlign w:val="center"/>
          </w:tcPr>
          <w:p>
            <w:pPr>
              <w:spacing w:line="360" w:lineRule="auto"/>
              <w:ind w:left="69"/>
              <w:jc w:val="center"/>
              <w:rPr>
                <w:rFonts w:ascii="宋体" w:hAnsi="宋体"/>
                <w:b/>
                <w:bCs/>
                <w:color w:val="000000" w:themeColor="text1"/>
                <w:sz w:val="24"/>
              </w:rPr>
            </w:pPr>
            <w:r>
              <w:rPr>
                <w:rFonts w:hint="eastAsia" w:ascii="宋体" w:hAnsi="宋体"/>
                <w:b/>
                <w:bCs/>
                <w:color w:val="000000" w:themeColor="text1"/>
                <w:sz w:val="24"/>
              </w:rPr>
              <w:t>细则内容</w:t>
            </w:r>
          </w:p>
        </w:tc>
        <w:tc>
          <w:tcPr>
            <w:tcW w:w="1236" w:type="dxa"/>
            <w:vAlign w:val="center"/>
          </w:tcPr>
          <w:p>
            <w:pPr>
              <w:spacing w:line="360" w:lineRule="auto"/>
              <w:ind w:left="187" w:leftChars="33" w:hanging="118" w:hangingChars="49"/>
              <w:jc w:val="left"/>
              <w:rPr>
                <w:rFonts w:ascii="宋体" w:hAnsi="宋体"/>
                <w:b/>
                <w:bCs/>
                <w:color w:val="000000" w:themeColor="text1"/>
                <w:sz w:val="24"/>
              </w:rPr>
            </w:pPr>
            <w:r>
              <w:rPr>
                <w:rFonts w:hint="eastAsia" w:ascii="宋体" w:hAnsi="宋体"/>
                <w:b/>
                <w:bCs/>
                <w:color w:val="000000" w:themeColor="text1"/>
                <w:sz w:val="24"/>
              </w:rPr>
              <w:t>满分值(分)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752" w:type="dxa"/>
            <w:vAlign w:val="center"/>
          </w:tcPr>
          <w:p>
            <w:pPr>
              <w:spacing w:line="360" w:lineRule="auto"/>
              <w:ind w:left="69" w:leftChars="33" w:firstLine="235" w:firstLineChars="98"/>
              <w:jc w:val="left"/>
              <w:rPr>
                <w:rFonts w:ascii="宋体" w:hAnsi="宋体"/>
                <w:color w:val="000000" w:themeColor="text1"/>
                <w:sz w:val="24"/>
              </w:rPr>
            </w:pPr>
            <w:r>
              <w:rPr>
                <w:rFonts w:hint="eastAsia" w:ascii="宋体" w:hAnsi="宋体"/>
                <w:color w:val="000000" w:themeColor="text1"/>
                <w:sz w:val="24"/>
              </w:rPr>
              <w:t>1</w:t>
            </w:r>
          </w:p>
        </w:tc>
        <w:tc>
          <w:tcPr>
            <w:tcW w:w="7811" w:type="dxa"/>
            <w:vAlign w:val="center"/>
          </w:tcPr>
          <w:p>
            <w:pPr>
              <w:spacing w:line="360" w:lineRule="auto"/>
              <w:ind w:left="69" w:leftChars="33"/>
              <w:jc w:val="left"/>
              <w:rPr>
                <w:rFonts w:ascii="宋体" w:hAnsi="宋体"/>
                <w:color w:val="000000" w:themeColor="text1"/>
                <w:sz w:val="24"/>
              </w:rPr>
            </w:pPr>
            <w:r>
              <w:rPr>
                <w:rFonts w:hint="eastAsia" w:ascii="宋体" w:hAnsi="宋体"/>
                <w:color w:val="000000" w:themeColor="text1"/>
                <w:sz w:val="24"/>
              </w:rPr>
              <w:t>根据投标人的综合实力（服务人员配置情况、银行资信等级、公司财务盈亏状况）、获得质量管理体系认证、环境管理体系认证、职业健康安全管理体系认证等认证情况进行评价进行综合评价。（每缺一项扣0.5分）</w:t>
            </w:r>
          </w:p>
        </w:tc>
        <w:tc>
          <w:tcPr>
            <w:tcW w:w="1236" w:type="dxa"/>
            <w:vAlign w:val="center"/>
          </w:tcPr>
          <w:p>
            <w:pPr>
              <w:spacing w:line="360" w:lineRule="auto"/>
              <w:ind w:left="69" w:leftChars="33" w:firstLine="355" w:firstLineChars="148"/>
              <w:jc w:val="left"/>
              <w:rPr>
                <w:rFonts w:ascii="宋体" w:hAnsi="宋体"/>
                <w:color w:val="000000" w:themeColor="text1"/>
                <w:sz w:val="24"/>
              </w:rPr>
            </w:pPr>
            <w:r>
              <w:rPr>
                <w:rFonts w:hint="eastAsia" w:ascii="宋体" w:hAnsi="宋体"/>
                <w:color w:val="000000" w:themeColor="text1"/>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752" w:type="dxa"/>
            <w:vAlign w:val="center"/>
          </w:tcPr>
          <w:p>
            <w:pPr>
              <w:spacing w:line="360" w:lineRule="auto"/>
              <w:ind w:left="69" w:leftChars="33" w:firstLine="235" w:firstLineChars="98"/>
              <w:jc w:val="left"/>
              <w:rPr>
                <w:rFonts w:ascii="宋体" w:hAnsi="宋体"/>
                <w:color w:val="000000" w:themeColor="text1"/>
                <w:sz w:val="24"/>
              </w:rPr>
            </w:pPr>
            <w:r>
              <w:rPr>
                <w:rFonts w:hint="eastAsia" w:ascii="宋体" w:hAnsi="宋体"/>
                <w:color w:val="000000" w:themeColor="text1"/>
                <w:sz w:val="24"/>
              </w:rPr>
              <w:t>2</w:t>
            </w:r>
          </w:p>
        </w:tc>
        <w:tc>
          <w:tcPr>
            <w:tcW w:w="7811" w:type="dxa"/>
            <w:vAlign w:val="center"/>
          </w:tcPr>
          <w:p>
            <w:pPr>
              <w:spacing w:line="360" w:lineRule="auto"/>
              <w:ind w:left="69" w:leftChars="33"/>
              <w:jc w:val="left"/>
              <w:rPr>
                <w:rFonts w:ascii="宋体" w:hAnsi="宋体"/>
                <w:color w:val="000000" w:themeColor="text1"/>
                <w:sz w:val="24"/>
              </w:rPr>
            </w:pPr>
            <w:r>
              <w:rPr>
                <w:rFonts w:hint="eastAsia" w:ascii="宋体" w:hAnsi="宋体"/>
                <w:color w:val="000000" w:themeColor="text1"/>
                <w:sz w:val="24"/>
              </w:rPr>
              <w:t>企业注册超过10年不满20年，得0.5分；注册超过20年，得1分。须提供相关证明材料有效复印件并加盖投标人公章。</w:t>
            </w:r>
          </w:p>
        </w:tc>
        <w:tc>
          <w:tcPr>
            <w:tcW w:w="1236" w:type="dxa"/>
            <w:vAlign w:val="center"/>
          </w:tcPr>
          <w:p>
            <w:pPr>
              <w:spacing w:line="360" w:lineRule="auto"/>
              <w:ind w:left="69" w:leftChars="33" w:firstLine="355" w:firstLineChars="148"/>
              <w:jc w:val="left"/>
              <w:rPr>
                <w:rFonts w:ascii="宋体" w:hAnsi="宋体"/>
                <w:color w:val="000000" w:themeColor="text1"/>
                <w:sz w:val="24"/>
              </w:rPr>
            </w:pPr>
            <w:r>
              <w:rPr>
                <w:rFonts w:hint="eastAsia" w:ascii="宋体" w:hAnsi="宋体"/>
                <w:color w:val="000000" w:themeColor="text1"/>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ind w:left="69" w:leftChars="33" w:firstLine="235" w:firstLineChars="98"/>
              <w:jc w:val="left"/>
              <w:rPr>
                <w:rFonts w:ascii="宋体" w:hAnsi="宋体"/>
                <w:color w:val="000000" w:themeColor="text1"/>
                <w:sz w:val="24"/>
              </w:rPr>
            </w:pPr>
            <w:r>
              <w:rPr>
                <w:rFonts w:hint="eastAsia" w:ascii="宋体" w:hAnsi="宋体"/>
                <w:color w:val="000000" w:themeColor="text1"/>
                <w:sz w:val="24"/>
              </w:rPr>
              <w:t>3</w:t>
            </w:r>
          </w:p>
        </w:tc>
        <w:tc>
          <w:tcPr>
            <w:tcW w:w="7811" w:type="dxa"/>
            <w:vAlign w:val="center"/>
          </w:tcPr>
          <w:p>
            <w:pPr>
              <w:spacing w:line="360" w:lineRule="auto"/>
              <w:jc w:val="left"/>
              <w:rPr>
                <w:rFonts w:ascii="宋体" w:hAnsi="宋体"/>
                <w:color w:val="000000" w:themeColor="text1"/>
                <w:sz w:val="24"/>
              </w:rPr>
            </w:pPr>
            <w:r>
              <w:rPr>
                <w:rFonts w:hint="eastAsia" w:ascii="宋体" w:hAnsi="宋体"/>
                <w:color w:val="000000" w:themeColor="text1"/>
                <w:sz w:val="24"/>
              </w:rPr>
              <w:t>根据投标人同类项目的业绩与经验进行评价：</w:t>
            </w:r>
          </w:p>
          <w:p>
            <w:pPr>
              <w:spacing w:line="360" w:lineRule="auto"/>
              <w:ind w:left="69" w:leftChars="33"/>
              <w:jc w:val="left"/>
              <w:rPr>
                <w:rFonts w:ascii="宋体" w:hAnsi="宋体"/>
                <w:color w:val="000000" w:themeColor="text1"/>
                <w:sz w:val="24"/>
              </w:rPr>
            </w:pPr>
            <w:r>
              <w:rPr>
                <w:rFonts w:hint="eastAsia" w:ascii="宋体" w:hAnsi="宋体"/>
                <w:color w:val="000000" w:themeColor="text1"/>
                <w:sz w:val="24"/>
              </w:rPr>
              <w:t>以投标人提供的近年（2016年1月1日以来，以合同时间为准）同类项目业绩进行评价。</w:t>
            </w:r>
          </w:p>
          <w:p>
            <w:pPr>
              <w:spacing w:line="360" w:lineRule="auto"/>
              <w:ind w:left="69" w:leftChars="33"/>
              <w:jc w:val="left"/>
              <w:rPr>
                <w:rFonts w:ascii="宋体" w:hAnsi="宋体"/>
                <w:color w:val="000000" w:themeColor="text1"/>
                <w:sz w:val="24"/>
              </w:rPr>
            </w:pPr>
            <w:r>
              <w:rPr>
                <w:rFonts w:hint="eastAsia" w:ascii="宋体" w:hAnsi="宋体"/>
                <w:color w:val="000000" w:themeColor="text1"/>
                <w:sz w:val="24"/>
              </w:rPr>
              <w:t>a.服务过全球500强企业的中国总部大楼，每服务一家得0.5分，满分2分。</w:t>
            </w:r>
          </w:p>
          <w:p>
            <w:pPr>
              <w:spacing w:line="360" w:lineRule="auto"/>
              <w:ind w:left="69" w:leftChars="33"/>
              <w:jc w:val="left"/>
              <w:rPr>
                <w:rFonts w:ascii="宋体" w:hAnsi="宋体"/>
                <w:color w:val="000000" w:themeColor="text1"/>
                <w:sz w:val="24"/>
              </w:rPr>
            </w:pPr>
            <w:r>
              <w:rPr>
                <w:rFonts w:hint="eastAsia" w:ascii="宋体" w:hAnsi="宋体"/>
                <w:color w:val="000000" w:themeColor="text1"/>
                <w:sz w:val="24"/>
              </w:rPr>
              <w:t>b.单项综合体项目合同面积超过25万平方米得3分，面积介于25~15万平方米之间得2分，低于15万平方米得1分。满分3分。</w:t>
            </w:r>
          </w:p>
          <w:p>
            <w:pPr>
              <w:spacing w:line="360" w:lineRule="auto"/>
              <w:ind w:left="69" w:leftChars="33"/>
              <w:jc w:val="left"/>
              <w:rPr>
                <w:rFonts w:ascii="宋体" w:hAnsi="宋体"/>
                <w:color w:val="000000" w:themeColor="text1"/>
                <w:sz w:val="24"/>
              </w:rPr>
            </w:pPr>
            <w:r>
              <w:rPr>
                <w:rFonts w:hint="eastAsia" w:ascii="宋体" w:hAnsi="宋体"/>
                <w:color w:val="000000" w:themeColor="text1"/>
                <w:sz w:val="24"/>
              </w:rPr>
              <w:t>投标人须提供该业绩项目以下资料复印件：中标通知书或采购合同文本或能够证明该业绩项目已经采购人验收合格的相关证明文件。</w:t>
            </w:r>
          </w:p>
        </w:tc>
        <w:tc>
          <w:tcPr>
            <w:tcW w:w="1236" w:type="dxa"/>
            <w:vAlign w:val="center"/>
          </w:tcPr>
          <w:p>
            <w:pPr>
              <w:spacing w:line="360" w:lineRule="auto"/>
              <w:ind w:left="69" w:leftChars="33" w:firstLine="355" w:firstLineChars="148"/>
              <w:jc w:val="left"/>
              <w:rPr>
                <w:rFonts w:ascii="宋体" w:hAnsi="宋体"/>
                <w:color w:val="000000" w:themeColor="text1"/>
                <w:sz w:val="24"/>
              </w:rPr>
            </w:pPr>
            <w:r>
              <w:rPr>
                <w:rFonts w:hint="eastAsia" w:ascii="宋体" w:hAnsi="宋体"/>
                <w:color w:val="000000" w:themeColor="text1"/>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752" w:type="dxa"/>
            <w:vAlign w:val="center"/>
          </w:tcPr>
          <w:p>
            <w:pPr>
              <w:spacing w:line="360" w:lineRule="auto"/>
              <w:ind w:left="69"/>
              <w:jc w:val="center"/>
              <w:rPr>
                <w:rFonts w:ascii="宋体" w:hAnsi="宋体"/>
                <w:color w:val="000000" w:themeColor="text1"/>
                <w:sz w:val="24"/>
              </w:rPr>
            </w:pPr>
            <w:r>
              <w:rPr>
                <w:rFonts w:hint="eastAsia" w:ascii="宋体" w:hAnsi="宋体"/>
                <w:color w:val="000000" w:themeColor="text1"/>
                <w:sz w:val="24"/>
              </w:rPr>
              <w:t>4</w:t>
            </w:r>
          </w:p>
        </w:tc>
        <w:tc>
          <w:tcPr>
            <w:tcW w:w="7811" w:type="dxa"/>
            <w:vAlign w:val="center"/>
          </w:tcPr>
          <w:p>
            <w:pPr>
              <w:spacing w:line="360" w:lineRule="auto"/>
              <w:rPr>
                <w:rFonts w:ascii="宋体" w:hAnsi="宋体"/>
                <w:color w:val="000000" w:themeColor="text1"/>
                <w:sz w:val="24"/>
              </w:rPr>
            </w:pPr>
            <w:r>
              <w:rPr>
                <w:rFonts w:hint="eastAsia" w:ascii="宋体" w:hAnsi="宋体"/>
                <w:color w:val="000000" w:themeColor="text1"/>
                <w:sz w:val="24"/>
              </w:rPr>
              <w:t>服务情况的综合考评：</w:t>
            </w:r>
          </w:p>
          <w:p>
            <w:pPr>
              <w:spacing w:line="360" w:lineRule="auto"/>
              <w:rPr>
                <w:rFonts w:ascii="宋体" w:hAnsi="宋体"/>
                <w:color w:val="000000" w:themeColor="text1"/>
                <w:sz w:val="24"/>
              </w:rPr>
            </w:pPr>
            <w:r>
              <w:rPr>
                <w:rFonts w:hint="eastAsia" w:ascii="宋体" w:hAnsi="宋体"/>
                <w:color w:val="000000" w:themeColor="text1"/>
                <w:sz w:val="24"/>
              </w:rPr>
              <w:t>根据投标人提供的针对本次采购项目整体服务体系完备情况、服务人员配备情况；服务承诺的服务周到情况、方案的完整程度情况进行评价。优（</w:t>
            </w:r>
            <w:r>
              <w:rPr>
                <w:rFonts w:ascii="宋体" w:hAnsi="宋体"/>
                <w:color w:val="000000" w:themeColor="text1"/>
                <w:sz w:val="24"/>
              </w:rPr>
              <w:t>2分）、良（1</w:t>
            </w:r>
            <w:r>
              <w:rPr>
                <w:rFonts w:hint="eastAsia" w:ascii="宋体" w:hAnsi="宋体"/>
                <w:color w:val="000000" w:themeColor="text1"/>
                <w:sz w:val="24"/>
              </w:rPr>
              <w:t>.</w:t>
            </w:r>
            <w:r>
              <w:rPr>
                <w:rFonts w:ascii="宋体" w:hAnsi="宋体"/>
                <w:color w:val="000000" w:themeColor="text1"/>
                <w:sz w:val="24"/>
              </w:rPr>
              <w:t>5分）、一般（1分）。</w:t>
            </w:r>
          </w:p>
        </w:tc>
        <w:tc>
          <w:tcPr>
            <w:tcW w:w="1236" w:type="dxa"/>
            <w:vAlign w:val="center"/>
          </w:tcPr>
          <w:p>
            <w:pPr>
              <w:spacing w:line="360" w:lineRule="auto"/>
              <w:ind w:left="69" w:leftChars="33" w:firstLine="355" w:firstLineChars="148"/>
              <w:jc w:val="left"/>
              <w:rPr>
                <w:rFonts w:ascii="宋体" w:hAnsi="宋体"/>
                <w:color w:val="000000" w:themeColor="text1"/>
                <w:sz w:val="24"/>
              </w:rPr>
            </w:pPr>
            <w:r>
              <w:rPr>
                <w:rFonts w:hint="eastAsia" w:ascii="宋体" w:hAnsi="宋体"/>
                <w:color w:val="000000" w:themeColor="text1"/>
                <w:sz w:val="24"/>
              </w:rPr>
              <w:t>2</w:t>
            </w:r>
          </w:p>
        </w:tc>
      </w:tr>
    </w:tbl>
    <w:p>
      <w:pPr>
        <w:widowControl/>
        <w:spacing w:line="360" w:lineRule="auto"/>
        <w:ind w:left="210" w:leftChars="100" w:firstLine="482"/>
        <w:jc w:val="left"/>
        <w:rPr>
          <w:rFonts w:ascii="宋体" w:hAnsi="宋体" w:cs="宋体"/>
          <w:kern w:val="0"/>
          <w:sz w:val="24"/>
        </w:rPr>
      </w:pPr>
    </w:p>
    <w:p>
      <w:pPr>
        <w:widowControl/>
        <w:spacing w:line="360" w:lineRule="auto"/>
        <w:ind w:left="210" w:leftChars="100" w:firstLine="482"/>
        <w:jc w:val="left"/>
        <w:rPr>
          <w:rFonts w:ascii="宋体" w:hAnsi="宋体" w:cs="宋体"/>
          <w:kern w:val="0"/>
          <w:sz w:val="24"/>
        </w:rPr>
      </w:pPr>
      <w:r>
        <w:rPr>
          <w:rFonts w:ascii="宋体" w:hAnsi="宋体" w:cs="宋体"/>
          <w:kern w:val="0"/>
          <w:sz w:val="24"/>
        </w:rPr>
        <w:t>（4）中标候选人排列规则顺序如下：</w:t>
      </w:r>
    </w:p>
    <w:p>
      <w:pPr>
        <w:widowControl/>
        <w:spacing w:line="360" w:lineRule="auto"/>
        <w:ind w:left="210" w:leftChars="100" w:firstLine="482"/>
        <w:jc w:val="left"/>
        <w:rPr>
          <w:rFonts w:ascii="宋体" w:hAnsi="宋体" w:cs="宋体"/>
          <w:kern w:val="0"/>
          <w:sz w:val="24"/>
        </w:rPr>
      </w:pPr>
      <w:r>
        <w:rPr>
          <w:rFonts w:ascii="宋体" w:hAnsi="宋体" w:cs="宋体"/>
          <w:kern w:val="0"/>
          <w:sz w:val="24"/>
        </w:rPr>
        <w:t>a.按照评标总得分（</w:t>
      </w:r>
      <w:r>
        <w:rPr>
          <w:rFonts w:cs="Calibri"/>
          <w:kern w:val="0"/>
          <w:sz w:val="24"/>
        </w:rPr>
        <w:t>FA</w:t>
      </w:r>
      <w:r>
        <w:rPr>
          <w:rFonts w:ascii="宋体" w:hAnsi="宋体" w:cs="宋体"/>
          <w:kern w:val="0"/>
          <w:sz w:val="24"/>
        </w:rPr>
        <w:t>）由高到低顺序排列。</w:t>
      </w:r>
    </w:p>
    <w:p>
      <w:pPr>
        <w:widowControl/>
        <w:spacing w:line="360" w:lineRule="auto"/>
        <w:ind w:left="210" w:leftChars="100" w:firstLine="482"/>
        <w:jc w:val="left"/>
        <w:rPr>
          <w:rFonts w:ascii="宋体" w:hAnsi="宋体" w:cs="宋体"/>
          <w:kern w:val="0"/>
          <w:sz w:val="24"/>
        </w:rPr>
      </w:pPr>
      <w:r>
        <w:rPr>
          <w:rFonts w:ascii="宋体" w:hAnsi="宋体" w:cs="宋体"/>
          <w:kern w:val="0"/>
          <w:sz w:val="24"/>
        </w:rPr>
        <w:t>b.评标总得分（</w:t>
      </w:r>
      <w:r>
        <w:rPr>
          <w:rFonts w:cs="Calibri"/>
          <w:kern w:val="0"/>
          <w:sz w:val="24"/>
        </w:rPr>
        <w:t>FA</w:t>
      </w:r>
      <w:r>
        <w:rPr>
          <w:rFonts w:ascii="宋体" w:hAnsi="宋体" w:cs="宋体"/>
          <w:kern w:val="0"/>
          <w:sz w:val="24"/>
        </w:rPr>
        <w:t>）相同的，按照评标价（即价格扣除后的投标报价）由低到高顺序排列。</w:t>
      </w:r>
    </w:p>
    <w:p>
      <w:pPr>
        <w:widowControl/>
        <w:spacing w:line="360" w:lineRule="auto"/>
        <w:ind w:left="210" w:leftChars="100" w:firstLine="482"/>
        <w:jc w:val="left"/>
        <w:rPr>
          <w:rFonts w:ascii="宋体" w:hAnsi="宋体" w:cs="宋体"/>
          <w:kern w:val="0"/>
          <w:sz w:val="24"/>
        </w:rPr>
      </w:pPr>
      <w:r>
        <w:rPr>
          <w:rFonts w:ascii="宋体" w:hAnsi="宋体" w:cs="宋体"/>
          <w:kern w:val="0"/>
          <w:sz w:val="24"/>
        </w:rPr>
        <w:t>c.评标总得分（</w:t>
      </w:r>
      <w:r>
        <w:rPr>
          <w:rFonts w:cs="Calibri"/>
          <w:kern w:val="0"/>
          <w:sz w:val="24"/>
        </w:rPr>
        <w:t>FA</w:t>
      </w:r>
      <w:r>
        <w:rPr>
          <w:rFonts w:ascii="宋体" w:hAnsi="宋体" w:cs="宋体"/>
          <w:kern w:val="0"/>
          <w:sz w:val="24"/>
        </w:rPr>
        <w:t>）且评标价（即价格扣除后的投标报价）相同的并列。</w:t>
      </w:r>
    </w:p>
    <w:p>
      <w:pPr>
        <w:widowControl/>
        <w:spacing w:line="360" w:lineRule="auto"/>
        <w:ind w:left="210" w:leftChars="100" w:firstLine="482"/>
        <w:jc w:val="left"/>
        <w:rPr>
          <w:rFonts w:ascii="宋体" w:hAnsi="宋体" w:cs="宋体"/>
          <w:kern w:val="0"/>
          <w:sz w:val="24"/>
        </w:rPr>
      </w:pPr>
    </w:p>
    <w:p>
      <w:pPr>
        <w:pageBreakBefore/>
        <w:widowControl/>
        <w:spacing w:before="100" w:beforeAutospacing="1" w:after="100" w:afterAutospacing="1" w:line="360" w:lineRule="auto"/>
        <w:ind w:left="210" w:leftChars="100" w:firstLine="482"/>
        <w:jc w:val="center"/>
        <w:rPr>
          <w:b/>
          <w:sz w:val="28"/>
          <w:szCs w:val="28"/>
        </w:rPr>
      </w:pPr>
      <w:r>
        <w:rPr>
          <w:rFonts w:hint="eastAsia"/>
          <w:b/>
          <w:sz w:val="28"/>
          <w:szCs w:val="28"/>
        </w:rPr>
        <w:t>第三章中标事项</w:t>
      </w:r>
    </w:p>
    <w:p>
      <w:pPr>
        <w:widowControl/>
        <w:spacing w:before="75" w:after="75" w:line="360" w:lineRule="auto"/>
        <w:jc w:val="left"/>
        <w:rPr>
          <w:rFonts w:ascii="宋体" w:hAnsi="宋体" w:cs="宋体"/>
          <w:b/>
          <w:kern w:val="0"/>
          <w:sz w:val="24"/>
        </w:rPr>
      </w:pPr>
      <w:r>
        <w:rPr>
          <w:rFonts w:hint="eastAsia" w:ascii="宋体" w:hAnsi="宋体" w:cs="宋体"/>
          <w:b/>
          <w:kern w:val="0"/>
          <w:sz w:val="24"/>
        </w:rPr>
        <w:t>一、</w:t>
      </w:r>
      <w:r>
        <w:rPr>
          <w:rFonts w:ascii="宋体" w:hAnsi="宋体" w:cs="宋体"/>
          <w:b/>
          <w:kern w:val="0"/>
          <w:sz w:val="24"/>
        </w:rPr>
        <w:t>中标候选人</w:t>
      </w:r>
    </w:p>
    <w:p>
      <w:pPr>
        <w:widowControl/>
        <w:spacing w:before="75" w:after="75" w:line="360" w:lineRule="auto"/>
        <w:ind w:firstLine="420"/>
        <w:jc w:val="left"/>
        <w:rPr>
          <w:rFonts w:ascii="宋体" w:hAnsi="宋体" w:cs="宋体"/>
          <w:kern w:val="0"/>
          <w:sz w:val="24"/>
        </w:rPr>
      </w:pPr>
      <w:r>
        <w:rPr>
          <w:rFonts w:ascii="宋体" w:hAnsi="宋体" w:cs="宋体"/>
          <w:kern w:val="0"/>
          <w:sz w:val="24"/>
        </w:rPr>
        <w:t>本项目推荐的中标候选人</w:t>
      </w:r>
      <w:r>
        <w:rPr>
          <w:rFonts w:hint="eastAsia" w:ascii="宋体" w:hAnsi="宋体" w:cs="宋体"/>
          <w:kern w:val="0"/>
          <w:sz w:val="24"/>
        </w:rPr>
        <w:t>：</w:t>
      </w:r>
      <w:r>
        <w:rPr>
          <w:rFonts w:ascii="宋体" w:hAnsi="宋体" w:cs="宋体"/>
          <w:kern w:val="0"/>
          <w:sz w:val="24"/>
        </w:rPr>
        <w:t>按评标总得分取前三家</w:t>
      </w:r>
      <w:r>
        <w:rPr>
          <w:rFonts w:hint="eastAsia" w:ascii="宋体" w:hAnsi="宋体" w:cs="宋体"/>
          <w:kern w:val="0"/>
          <w:sz w:val="24"/>
        </w:rPr>
        <w:t>。</w:t>
      </w:r>
    </w:p>
    <w:p>
      <w:pPr>
        <w:widowControl/>
        <w:spacing w:before="75" w:after="75" w:line="360" w:lineRule="auto"/>
        <w:jc w:val="left"/>
        <w:rPr>
          <w:rFonts w:ascii="宋体" w:hAnsi="宋体" w:cs="宋体"/>
          <w:b/>
          <w:kern w:val="0"/>
          <w:sz w:val="24"/>
        </w:rPr>
      </w:pPr>
      <w:r>
        <w:rPr>
          <w:rFonts w:ascii="宋体" w:hAnsi="宋体" w:cs="宋体"/>
          <w:b/>
          <w:kern w:val="0"/>
          <w:sz w:val="24"/>
        </w:rPr>
        <w:t>二</w:t>
      </w:r>
      <w:r>
        <w:rPr>
          <w:rFonts w:hint="eastAsia" w:ascii="宋体" w:hAnsi="宋体" w:cs="宋体"/>
          <w:b/>
          <w:kern w:val="0"/>
          <w:sz w:val="24"/>
        </w:rPr>
        <w:t>、</w:t>
      </w:r>
      <w:r>
        <w:rPr>
          <w:rFonts w:ascii="宋体" w:hAnsi="宋体" w:cs="宋体"/>
          <w:b/>
          <w:kern w:val="0"/>
          <w:sz w:val="24"/>
        </w:rPr>
        <w:t>中标公告</w:t>
      </w:r>
    </w:p>
    <w:p>
      <w:pPr>
        <w:widowControl/>
        <w:numPr>
          <w:ilvl w:val="0"/>
          <w:numId w:val="12"/>
        </w:numPr>
        <w:spacing w:before="75" w:after="75" w:line="360" w:lineRule="auto"/>
        <w:jc w:val="left"/>
        <w:rPr>
          <w:rFonts w:ascii="宋体" w:hAnsi="宋体" w:cs="宋体"/>
          <w:kern w:val="0"/>
          <w:sz w:val="24"/>
        </w:rPr>
      </w:pPr>
      <w:r>
        <w:rPr>
          <w:rFonts w:ascii="宋体" w:hAnsi="宋体" w:cs="宋体"/>
          <w:kern w:val="0"/>
          <w:sz w:val="24"/>
        </w:rPr>
        <w:t>中标人确定之日起</w:t>
      </w:r>
      <w:r>
        <w:rPr>
          <w:rFonts w:cs="Calibri"/>
          <w:kern w:val="0"/>
          <w:sz w:val="24"/>
        </w:rPr>
        <w:t>2</w:t>
      </w:r>
      <w:r>
        <w:rPr>
          <w:rFonts w:ascii="宋体" w:hAnsi="宋体" w:cs="宋体"/>
          <w:kern w:val="0"/>
          <w:sz w:val="24"/>
        </w:rPr>
        <w:t>个工作日内</w:t>
      </w:r>
      <w:r>
        <w:rPr>
          <w:rFonts w:hint="eastAsia" w:ascii="宋体" w:hAnsi="宋体" w:cs="宋体"/>
          <w:kern w:val="0"/>
          <w:sz w:val="24"/>
        </w:rPr>
        <w:t>，招标人</w:t>
      </w:r>
      <w:r>
        <w:rPr>
          <w:rFonts w:ascii="宋体" w:hAnsi="宋体" w:cs="宋体"/>
          <w:kern w:val="0"/>
          <w:sz w:val="24"/>
        </w:rPr>
        <w:t>将在招标文件载明的指定媒体以中标公告的形式发布中标结果。</w:t>
      </w:r>
    </w:p>
    <w:p>
      <w:pPr>
        <w:widowControl/>
        <w:numPr>
          <w:ilvl w:val="0"/>
          <w:numId w:val="12"/>
        </w:numPr>
        <w:spacing w:before="75" w:after="75" w:line="360" w:lineRule="auto"/>
        <w:jc w:val="left"/>
        <w:rPr>
          <w:rFonts w:ascii="宋体" w:hAnsi="宋体" w:cs="宋体"/>
          <w:kern w:val="0"/>
          <w:sz w:val="24"/>
        </w:rPr>
      </w:pPr>
      <w:r>
        <w:rPr>
          <w:rFonts w:ascii="宋体" w:hAnsi="宋体" w:cs="宋体"/>
          <w:kern w:val="0"/>
          <w:sz w:val="24"/>
        </w:rPr>
        <w:t>中标公告的公告期限为</w:t>
      </w:r>
      <w:r>
        <w:rPr>
          <w:rFonts w:hint="eastAsia" w:cs="Calibri"/>
          <w:kern w:val="0"/>
          <w:sz w:val="24"/>
        </w:rPr>
        <w:t>2</w:t>
      </w:r>
      <w:r>
        <w:rPr>
          <w:rFonts w:ascii="宋体" w:hAnsi="宋体" w:cs="宋体"/>
          <w:kern w:val="0"/>
          <w:sz w:val="24"/>
        </w:rPr>
        <w:t>个工作日。</w:t>
      </w:r>
    </w:p>
    <w:p>
      <w:pPr>
        <w:widowControl/>
        <w:numPr>
          <w:ilvl w:val="0"/>
          <w:numId w:val="12"/>
        </w:numPr>
        <w:spacing w:before="75" w:after="75" w:line="360" w:lineRule="auto"/>
        <w:jc w:val="left"/>
        <w:rPr>
          <w:rFonts w:ascii="宋体" w:hAnsi="宋体" w:cs="宋体"/>
          <w:kern w:val="0"/>
          <w:sz w:val="24"/>
        </w:rPr>
      </w:pPr>
      <w:r>
        <w:rPr>
          <w:rFonts w:ascii="宋体" w:hAnsi="宋体" w:cs="宋体"/>
          <w:kern w:val="0"/>
          <w:sz w:val="24"/>
        </w:rPr>
        <w:t>中标公告同时作为通知除中标人外的其他投标人没有中标的书面形式。</w:t>
      </w:r>
    </w:p>
    <w:p>
      <w:pPr>
        <w:widowControl/>
        <w:spacing w:before="75" w:after="75" w:line="360" w:lineRule="auto"/>
        <w:jc w:val="left"/>
        <w:rPr>
          <w:rFonts w:ascii="宋体" w:hAnsi="宋体" w:cs="宋体"/>
          <w:b/>
          <w:kern w:val="0"/>
          <w:sz w:val="24"/>
        </w:rPr>
      </w:pPr>
      <w:r>
        <w:rPr>
          <w:rFonts w:hint="eastAsia" w:ascii="宋体" w:hAnsi="宋体" w:cs="宋体"/>
          <w:b/>
          <w:kern w:val="0"/>
          <w:sz w:val="24"/>
        </w:rPr>
        <w:t>三、</w:t>
      </w:r>
      <w:r>
        <w:rPr>
          <w:rFonts w:ascii="宋体" w:hAnsi="宋体" w:cs="宋体"/>
          <w:b/>
          <w:kern w:val="0"/>
          <w:sz w:val="24"/>
        </w:rPr>
        <w:t>中标通知书</w:t>
      </w:r>
    </w:p>
    <w:p>
      <w:pPr>
        <w:widowControl/>
        <w:numPr>
          <w:ilvl w:val="0"/>
          <w:numId w:val="13"/>
        </w:numPr>
        <w:spacing w:before="75" w:after="75" w:line="360" w:lineRule="auto"/>
        <w:jc w:val="left"/>
        <w:rPr>
          <w:rFonts w:ascii="宋体" w:hAnsi="宋体" w:cs="宋体"/>
          <w:kern w:val="0"/>
          <w:sz w:val="24"/>
        </w:rPr>
      </w:pPr>
      <w:r>
        <w:rPr>
          <w:rFonts w:ascii="宋体" w:hAnsi="宋体" w:cs="宋体"/>
          <w:kern w:val="0"/>
          <w:sz w:val="24"/>
        </w:rPr>
        <w:t>中标公告</w:t>
      </w:r>
      <w:r>
        <w:rPr>
          <w:rFonts w:hint="eastAsia" w:ascii="宋体" w:hAnsi="宋体" w:cs="宋体"/>
          <w:kern w:val="0"/>
          <w:sz w:val="24"/>
        </w:rPr>
        <w:t>期限到期后</w:t>
      </w:r>
      <w:r>
        <w:rPr>
          <w:rFonts w:ascii="宋体" w:hAnsi="宋体" w:cs="宋体"/>
          <w:kern w:val="0"/>
          <w:sz w:val="24"/>
        </w:rPr>
        <w:t>，</w:t>
      </w:r>
      <w:r>
        <w:rPr>
          <w:rFonts w:hint="eastAsia" w:ascii="宋体" w:hAnsi="宋体" w:cs="宋体"/>
          <w:kern w:val="0"/>
          <w:sz w:val="24"/>
        </w:rPr>
        <w:t>招标人</w:t>
      </w:r>
      <w:r>
        <w:rPr>
          <w:rFonts w:ascii="宋体" w:hAnsi="宋体" w:cs="宋体"/>
          <w:kern w:val="0"/>
          <w:sz w:val="24"/>
        </w:rPr>
        <w:t>将向中标人发出中标通知书。</w:t>
      </w:r>
    </w:p>
    <w:p>
      <w:pPr>
        <w:widowControl/>
        <w:numPr>
          <w:ilvl w:val="0"/>
          <w:numId w:val="13"/>
        </w:numPr>
        <w:spacing w:before="75" w:after="75" w:line="360" w:lineRule="auto"/>
        <w:jc w:val="left"/>
        <w:rPr>
          <w:rFonts w:ascii="宋体" w:hAnsi="宋体" w:cs="宋体"/>
          <w:kern w:val="0"/>
          <w:sz w:val="24"/>
        </w:rPr>
      </w:pPr>
      <w:r>
        <w:rPr>
          <w:rFonts w:ascii="宋体" w:hAnsi="宋体" w:cs="宋体"/>
          <w:kern w:val="0"/>
          <w:sz w:val="24"/>
        </w:rPr>
        <w:t>中标通知书发出后，</w:t>
      </w:r>
      <w:r>
        <w:rPr>
          <w:rFonts w:hint="eastAsia" w:ascii="宋体" w:hAnsi="宋体" w:cs="宋体"/>
          <w:kern w:val="0"/>
          <w:sz w:val="24"/>
        </w:rPr>
        <w:t>招标人</w:t>
      </w:r>
      <w:r>
        <w:rPr>
          <w:rFonts w:ascii="宋体" w:hAnsi="宋体" w:cs="宋体"/>
          <w:kern w:val="0"/>
          <w:sz w:val="24"/>
        </w:rPr>
        <w:t>不得违法改变中标结果，中标人无正当理由不得放弃中标。</w:t>
      </w:r>
    </w:p>
    <w:p>
      <w:pPr>
        <w:widowControl/>
        <w:spacing w:before="100" w:beforeAutospacing="1" w:after="100" w:afterAutospacing="1" w:line="360" w:lineRule="auto"/>
        <w:ind w:left="210" w:leftChars="100" w:firstLine="480"/>
        <w:jc w:val="center"/>
        <w:rPr>
          <w:b/>
          <w:sz w:val="28"/>
          <w:szCs w:val="28"/>
        </w:rPr>
      </w:pPr>
      <w:r>
        <w:rPr>
          <w:rFonts w:hint="eastAsia"/>
          <w:b/>
          <w:sz w:val="28"/>
          <w:szCs w:val="28"/>
        </w:rPr>
        <w:t>第四章合同授予</w:t>
      </w:r>
    </w:p>
    <w:p>
      <w:pPr>
        <w:numPr>
          <w:ilvl w:val="0"/>
          <w:numId w:val="14"/>
        </w:numPr>
        <w:spacing w:line="360" w:lineRule="auto"/>
        <w:rPr>
          <w:rFonts w:ascii="宋体" w:hAnsi="宋体"/>
          <w:b/>
          <w:sz w:val="24"/>
        </w:rPr>
      </w:pPr>
      <w:r>
        <w:rPr>
          <w:rFonts w:hint="eastAsia" w:ascii="宋体" w:hAnsi="宋体"/>
          <w:b/>
          <w:sz w:val="24"/>
        </w:rPr>
        <w:t>合同授予条件</w:t>
      </w:r>
    </w:p>
    <w:p>
      <w:pPr>
        <w:spacing w:line="360" w:lineRule="auto"/>
        <w:ind w:left="420" w:firstLine="420"/>
        <w:rPr>
          <w:rFonts w:ascii="宋体" w:hAnsi="宋体"/>
          <w:sz w:val="24"/>
        </w:rPr>
      </w:pPr>
      <w:r>
        <w:rPr>
          <w:rFonts w:hint="eastAsia" w:ascii="宋体" w:hAnsi="宋体"/>
          <w:sz w:val="24"/>
        </w:rPr>
        <w:t>本合同将授予符合以下条件的投标人，即：在投标文件已被确认与招标文件要求实质上符合和具备有效履行本合同的能力、经验、人力、物力、财力和信誉的前提下，其投标已按本招标文件附件的评标办法及原则被评为中标人。</w:t>
      </w:r>
    </w:p>
    <w:p>
      <w:pPr>
        <w:numPr>
          <w:ilvl w:val="0"/>
          <w:numId w:val="14"/>
        </w:numPr>
        <w:spacing w:line="360" w:lineRule="auto"/>
        <w:rPr>
          <w:rFonts w:ascii="宋体" w:hAnsi="宋体"/>
          <w:b/>
          <w:sz w:val="24"/>
        </w:rPr>
      </w:pPr>
      <w:r>
        <w:rPr>
          <w:rFonts w:hint="eastAsia" w:ascii="宋体" w:hAnsi="宋体"/>
          <w:b/>
          <w:sz w:val="24"/>
        </w:rPr>
        <w:t>招标人接受或拒绝任何或所有投标的权力</w:t>
      </w:r>
    </w:p>
    <w:p>
      <w:pPr>
        <w:spacing w:line="360" w:lineRule="auto"/>
        <w:ind w:left="420" w:firstLine="420"/>
        <w:rPr>
          <w:rFonts w:ascii="宋体" w:hAnsi="宋体"/>
          <w:sz w:val="24"/>
        </w:rPr>
      </w:pPr>
      <w:r>
        <w:rPr>
          <w:rFonts w:hint="eastAsia" w:ascii="宋体" w:hAnsi="宋体"/>
          <w:sz w:val="24"/>
        </w:rPr>
        <w:t>招标人有权拒绝所有投标人约束，招标人在确定中标人前任何时候均有权接受或拒绝任何投标。</w:t>
      </w:r>
    </w:p>
    <w:p>
      <w:pPr>
        <w:numPr>
          <w:ilvl w:val="0"/>
          <w:numId w:val="14"/>
        </w:numPr>
        <w:spacing w:line="360" w:lineRule="auto"/>
        <w:rPr>
          <w:rFonts w:ascii="宋体" w:hAnsi="宋体"/>
          <w:b/>
          <w:sz w:val="24"/>
        </w:rPr>
      </w:pPr>
      <w:r>
        <w:rPr>
          <w:rFonts w:hint="eastAsia" w:ascii="宋体" w:hAnsi="宋体"/>
          <w:b/>
          <w:sz w:val="24"/>
        </w:rPr>
        <w:t>不平衡报价的调整</w:t>
      </w:r>
    </w:p>
    <w:p>
      <w:pPr>
        <w:numPr>
          <w:ilvl w:val="0"/>
          <w:numId w:val="15"/>
        </w:numPr>
        <w:spacing w:line="360" w:lineRule="auto"/>
        <w:rPr>
          <w:rFonts w:ascii="宋体" w:hAnsi="宋体"/>
          <w:sz w:val="24"/>
        </w:rPr>
      </w:pPr>
      <w:r>
        <w:rPr>
          <w:rFonts w:hint="eastAsia" w:ascii="宋体" w:hAnsi="宋体"/>
          <w:sz w:val="24"/>
        </w:rPr>
        <w:t>在签订合同前，招标人有可能在合同总价保持不变的前提下，与中标人协商，对不平衡报价部分的合同单价（总额价）进行调整；</w:t>
      </w:r>
    </w:p>
    <w:p>
      <w:pPr>
        <w:numPr>
          <w:ilvl w:val="0"/>
          <w:numId w:val="15"/>
        </w:numPr>
        <w:spacing w:line="360" w:lineRule="auto"/>
        <w:rPr>
          <w:rFonts w:ascii="宋体" w:hAnsi="宋体"/>
          <w:sz w:val="24"/>
        </w:rPr>
      </w:pPr>
      <w:r>
        <w:rPr>
          <w:rFonts w:hint="eastAsia" w:ascii="宋体" w:hAnsi="宋体"/>
          <w:sz w:val="24"/>
        </w:rPr>
        <w:t>如果中标人拒绝进行不平衡报价调整，则其中标资格将被取消。</w:t>
      </w:r>
    </w:p>
    <w:p>
      <w:pPr>
        <w:numPr>
          <w:ilvl w:val="0"/>
          <w:numId w:val="14"/>
        </w:numPr>
        <w:spacing w:line="360" w:lineRule="auto"/>
        <w:rPr>
          <w:rFonts w:ascii="宋体" w:hAnsi="宋体"/>
          <w:b/>
          <w:sz w:val="24"/>
        </w:rPr>
      </w:pPr>
      <w:r>
        <w:rPr>
          <w:rFonts w:hint="eastAsia" w:ascii="宋体" w:hAnsi="宋体"/>
          <w:b/>
          <w:sz w:val="24"/>
        </w:rPr>
        <w:t>中标合同签订</w:t>
      </w:r>
    </w:p>
    <w:p>
      <w:pPr>
        <w:numPr>
          <w:ilvl w:val="0"/>
          <w:numId w:val="16"/>
        </w:numPr>
        <w:spacing w:line="360" w:lineRule="auto"/>
        <w:rPr>
          <w:rFonts w:ascii="宋体" w:hAnsi="宋体"/>
          <w:sz w:val="24"/>
        </w:rPr>
      </w:pPr>
      <w:r>
        <w:rPr>
          <w:rFonts w:hint="eastAsia" w:ascii="宋体" w:hAnsi="宋体"/>
          <w:sz w:val="24"/>
        </w:rPr>
        <w:t>中标人在收到中标通知的</w:t>
      </w:r>
      <w:r>
        <w:rPr>
          <w:rFonts w:hint="eastAsia" w:ascii="宋体" w:hAnsi="宋体"/>
          <w:sz w:val="24"/>
          <w:u w:val="single"/>
        </w:rPr>
        <w:t>30</w:t>
      </w:r>
      <w:r>
        <w:rPr>
          <w:rFonts w:hint="eastAsia" w:ascii="宋体" w:hAnsi="宋体"/>
          <w:sz w:val="24"/>
        </w:rPr>
        <w:t>日内，按照招标文件和中标人的投标文件签订合同。</w:t>
      </w:r>
    </w:p>
    <w:p>
      <w:pPr>
        <w:numPr>
          <w:ilvl w:val="0"/>
          <w:numId w:val="16"/>
        </w:numPr>
        <w:spacing w:line="360" w:lineRule="auto"/>
        <w:rPr>
          <w:rFonts w:ascii="宋体" w:hAnsi="宋体"/>
          <w:sz w:val="24"/>
        </w:rPr>
      </w:pPr>
      <w:r>
        <w:rPr>
          <w:rFonts w:hint="eastAsia" w:ascii="宋体" w:hAnsi="宋体"/>
          <w:sz w:val="24"/>
        </w:rPr>
        <w:t>中标人如不按规定与招标人签订合同，则招标人将有充分的理由废除中标，并没收其投标保证金，给招标人造成的损失超过投标保证金数额的，还应当对超过部分予以赔偿，同时依法承担相应法律责任。</w:t>
      </w:r>
    </w:p>
    <w:p>
      <w:pPr>
        <w:numPr>
          <w:ilvl w:val="0"/>
          <w:numId w:val="16"/>
        </w:numPr>
        <w:spacing w:line="360" w:lineRule="auto"/>
        <w:rPr>
          <w:rFonts w:ascii="宋体" w:hAnsi="宋体"/>
          <w:color w:val="000000" w:themeColor="text1"/>
          <w:sz w:val="24"/>
        </w:rPr>
      </w:pPr>
      <w:r>
        <w:rPr>
          <w:rFonts w:hint="eastAsia" w:ascii="宋体" w:hAnsi="宋体"/>
          <w:color w:val="000000" w:themeColor="text1"/>
          <w:sz w:val="24"/>
        </w:rPr>
        <w:t>中标供应商在签订合同前，应向招标人指定账户缴纳履约保证金伍万元整（</w:t>
      </w:r>
      <w:r>
        <w:rPr>
          <w:rFonts w:ascii="宋体" w:hAnsi="宋体"/>
          <w:color w:val="000000" w:themeColor="text1"/>
          <w:sz w:val="24"/>
        </w:rPr>
        <w:t>¥50,000）</w:t>
      </w:r>
      <w:r>
        <w:rPr>
          <w:rFonts w:hint="eastAsia" w:ascii="宋体" w:hAnsi="宋体"/>
          <w:color w:val="000000" w:themeColor="text1"/>
          <w:sz w:val="24"/>
        </w:rPr>
        <w:t>，</w:t>
      </w:r>
      <w:r>
        <w:rPr>
          <w:rFonts w:ascii="宋体" w:hAnsi="宋体"/>
          <w:color w:val="000000" w:themeColor="text1"/>
          <w:sz w:val="24"/>
        </w:rPr>
        <w:t>中标人在收到中标通知书后签定采购合同，原投标保证金直接作为合同履约保证金。履约保证金在双方合同终止、交接清楚、质保期（或保修期）结束和债权债务等关系理顺后30日历天内无息返还。中标人如在服务期限内不能完成招投标文件和采购合同约定，招标人有权解除合同，履约保证金不予退还</w:t>
      </w:r>
      <w:r>
        <w:rPr>
          <w:rFonts w:hint="eastAsia" w:ascii="宋体" w:hAnsi="宋体"/>
          <w:color w:val="000000" w:themeColor="text1"/>
          <w:sz w:val="24"/>
        </w:rPr>
        <w:t>。</w:t>
      </w:r>
    </w:p>
    <w:p>
      <w:pPr>
        <w:spacing w:line="360" w:lineRule="auto"/>
        <w:ind w:firstLine="480" w:firstLineChars="200"/>
        <w:rPr>
          <w:rFonts w:ascii="宋体" w:hAnsi="宋体" w:cs="Arial"/>
          <w:color w:val="000000" w:themeColor="text1"/>
          <w:sz w:val="24"/>
        </w:rPr>
      </w:pPr>
      <w:r>
        <w:rPr>
          <w:rFonts w:ascii="宋体" w:hAnsi="宋体"/>
          <w:color w:val="000000" w:themeColor="text1"/>
          <w:sz w:val="24"/>
        </w:rPr>
        <w:t xml:space="preserve">       </w:t>
      </w:r>
      <w:r>
        <w:rPr>
          <w:rFonts w:hint="eastAsia" w:ascii="宋体" w:hAnsi="宋体" w:cs="Arial"/>
          <w:color w:val="000000" w:themeColor="text1"/>
          <w:sz w:val="24"/>
        </w:rPr>
        <w:t>招标人账户信息：</w:t>
      </w:r>
    </w:p>
    <w:p>
      <w:pPr>
        <w:spacing w:line="360" w:lineRule="auto"/>
        <w:ind w:left="780" w:firstLine="480"/>
        <w:jc w:val="left"/>
        <w:rPr>
          <w:rFonts w:ascii="宋体" w:hAnsi="宋体" w:cs="Arial"/>
          <w:color w:val="000000" w:themeColor="text1"/>
          <w:sz w:val="24"/>
        </w:rPr>
      </w:pPr>
      <w:r>
        <w:rPr>
          <w:rFonts w:hint="eastAsia" w:ascii="宋体" w:hAnsi="宋体" w:cs="Arial"/>
          <w:color w:val="000000" w:themeColor="text1"/>
          <w:sz w:val="24"/>
        </w:rPr>
        <w:t>账户名称：厦门国贸物业管理有限公司</w:t>
      </w:r>
    </w:p>
    <w:p>
      <w:pPr>
        <w:spacing w:line="360" w:lineRule="auto"/>
        <w:ind w:left="780" w:firstLine="480"/>
        <w:jc w:val="left"/>
        <w:rPr>
          <w:rFonts w:ascii="宋体" w:hAnsi="宋体" w:cs="Arial"/>
          <w:color w:val="000000" w:themeColor="text1"/>
          <w:sz w:val="24"/>
        </w:rPr>
      </w:pPr>
      <w:r>
        <w:rPr>
          <w:rFonts w:hint="eastAsia" w:ascii="宋体" w:hAnsi="宋体" w:cs="Arial"/>
          <w:color w:val="000000" w:themeColor="text1"/>
          <w:sz w:val="24"/>
        </w:rPr>
        <w:t>开户账号：</w:t>
      </w:r>
      <w:r>
        <w:rPr>
          <w:rFonts w:ascii="宋体" w:hAnsi="宋体" w:cs="Arial"/>
          <w:color w:val="000000" w:themeColor="text1"/>
          <w:sz w:val="24"/>
        </w:rPr>
        <w:t>35101551001050009378</w:t>
      </w:r>
    </w:p>
    <w:p>
      <w:pPr>
        <w:spacing w:line="360" w:lineRule="auto"/>
        <w:ind w:left="780" w:firstLine="480" w:firstLineChars="200"/>
        <w:rPr>
          <w:rFonts w:asciiTheme="minorEastAsia" w:hAnsiTheme="minorEastAsia" w:eastAsiaTheme="minorEastAsia" w:cstheme="minorEastAsia"/>
          <w:b/>
          <w:color w:val="000000" w:themeColor="text1"/>
          <w:sz w:val="24"/>
        </w:rPr>
      </w:pPr>
      <w:r>
        <w:rPr>
          <w:rFonts w:hint="eastAsia" w:ascii="宋体" w:hAnsi="宋体" w:cs="Arial"/>
          <w:color w:val="000000" w:themeColor="text1"/>
          <w:sz w:val="24"/>
        </w:rPr>
        <w:t>开户行：中国建设银行股份有限公司厦门湖滨支行</w:t>
      </w:r>
    </w:p>
    <w:p>
      <w:pPr>
        <w:spacing w:line="360" w:lineRule="auto"/>
        <w:ind w:left="420"/>
        <w:rPr>
          <w:rFonts w:ascii="宋体" w:hAnsi="宋体"/>
          <w:color w:val="000000" w:themeColor="text1"/>
          <w:sz w:val="24"/>
        </w:rPr>
      </w:pPr>
      <w:r>
        <w:rPr>
          <w:rFonts w:hint="eastAsia" w:ascii="宋体" w:hAnsi="宋体"/>
          <w:color w:val="000000" w:themeColor="text1"/>
          <w:sz w:val="24"/>
        </w:rPr>
        <w:t>★投标人中标即代表接受招标文件第六章拟签合同版本中的付款条件，以最终签订的合同为准，</w:t>
      </w:r>
      <w:r>
        <w:rPr>
          <w:rFonts w:hint="eastAsia" w:ascii="宋体" w:hAnsi="宋体"/>
          <w:b/>
          <w:color w:val="000000" w:themeColor="text1"/>
          <w:sz w:val="24"/>
        </w:rPr>
        <w:t>投标人需对此作出书面承诺</w:t>
      </w:r>
      <w:r>
        <w:rPr>
          <w:rFonts w:hint="eastAsia" w:ascii="宋体" w:hAnsi="宋体"/>
          <w:color w:val="000000" w:themeColor="text1"/>
          <w:sz w:val="24"/>
        </w:rPr>
        <w:t>。</w:t>
      </w:r>
    </w:p>
    <w:p>
      <w:pPr>
        <w:widowControl/>
        <w:spacing w:before="75" w:after="75" w:line="360" w:lineRule="auto"/>
        <w:ind w:left="210" w:leftChars="100"/>
        <w:jc w:val="left"/>
        <w:rPr>
          <w:rFonts w:ascii="宋体" w:hAnsi="宋体" w:cs="宋体"/>
          <w:kern w:val="0"/>
          <w:sz w:val="24"/>
        </w:rPr>
      </w:pPr>
    </w:p>
    <w:p>
      <w:pPr>
        <w:spacing w:line="360" w:lineRule="auto"/>
        <w:jc w:val="center"/>
        <w:rPr>
          <w:b/>
          <w:sz w:val="28"/>
          <w:szCs w:val="28"/>
        </w:rPr>
      </w:pPr>
      <w:r>
        <w:rPr>
          <w:rFonts w:hint="eastAsia"/>
          <w:b/>
          <w:sz w:val="28"/>
          <w:szCs w:val="28"/>
        </w:rPr>
        <w:t>第五章投标文件及附件要求</w:t>
      </w:r>
    </w:p>
    <w:p>
      <w:pPr>
        <w:numPr>
          <w:ilvl w:val="0"/>
          <w:numId w:val="17"/>
        </w:numPr>
        <w:spacing w:line="360" w:lineRule="auto"/>
        <w:rPr>
          <w:rFonts w:ascii="宋体" w:hAnsi="宋体"/>
          <w:b/>
          <w:sz w:val="24"/>
        </w:rPr>
      </w:pPr>
      <w:r>
        <w:rPr>
          <w:rFonts w:hint="eastAsia" w:ascii="宋体" w:hAnsi="宋体"/>
          <w:b/>
          <w:sz w:val="24"/>
        </w:rPr>
        <w:t>投标文件编制要求</w:t>
      </w:r>
    </w:p>
    <w:bookmarkEnd w:id="1"/>
    <w:bookmarkEnd w:id="2"/>
    <w:p>
      <w:pPr>
        <w:spacing w:line="360" w:lineRule="auto"/>
        <w:ind w:left="210" w:leftChars="100"/>
        <w:rPr>
          <w:rFonts w:ascii="宋体" w:hAnsi="宋体"/>
          <w:sz w:val="24"/>
        </w:rPr>
      </w:pPr>
      <w:r>
        <w:rPr>
          <w:rFonts w:hint="eastAsia" w:ascii="宋体" w:hAnsi="宋体"/>
          <w:sz w:val="24"/>
        </w:rPr>
        <w:t>1、由</w:t>
      </w:r>
      <w:r>
        <w:rPr>
          <w:rFonts w:ascii="宋体" w:hAnsi="宋体"/>
          <w:sz w:val="24"/>
        </w:rPr>
        <w:t>投标人按</w:t>
      </w:r>
      <w:r>
        <w:rPr>
          <w:rFonts w:hint="eastAsia" w:ascii="宋体" w:hAnsi="宋体"/>
          <w:sz w:val="24"/>
        </w:rPr>
        <w:t>招标文件</w:t>
      </w:r>
      <w:r>
        <w:rPr>
          <w:rFonts w:ascii="宋体" w:hAnsi="宋体"/>
          <w:sz w:val="24"/>
        </w:rPr>
        <w:t>要求及报价清单，自行</w:t>
      </w:r>
      <w:r>
        <w:rPr>
          <w:rFonts w:hint="eastAsia" w:ascii="宋体" w:hAnsi="宋体"/>
          <w:sz w:val="24"/>
        </w:rPr>
        <w:t>投标报价。</w:t>
      </w:r>
    </w:p>
    <w:p>
      <w:pPr>
        <w:spacing w:line="360" w:lineRule="auto"/>
        <w:ind w:left="210" w:leftChars="100"/>
        <w:rPr>
          <w:rFonts w:ascii="宋体" w:hAnsi="宋体"/>
          <w:sz w:val="24"/>
        </w:rPr>
      </w:pPr>
      <w:r>
        <w:rPr>
          <w:rFonts w:hint="eastAsia" w:ascii="宋体" w:hAnsi="宋体"/>
          <w:sz w:val="24"/>
        </w:rPr>
        <w:t>2、投标人在编制投标文件前，应认真阅读本招标书及其附件，严格按照招标文件的规定编制、填写和送达投标文件。</w:t>
      </w:r>
    </w:p>
    <w:p>
      <w:pPr>
        <w:spacing w:line="360" w:lineRule="auto"/>
        <w:ind w:left="210" w:leftChars="100"/>
        <w:rPr>
          <w:rFonts w:ascii="宋体" w:hAnsi="宋体"/>
          <w:sz w:val="24"/>
        </w:rPr>
      </w:pPr>
      <w:r>
        <w:rPr>
          <w:rFonts w:hint="eastAsia" w:ascii="宋体" w:hAnsi="宋体"/>
          <w:sz w:val="24"/>
        </w:rPr>
        <w:t>3、投标文件的文字和数字应清楚，不得涂改，若有修改，须在修改处加盖投标人公章，否则招标人有权对其进行确定或确定其为废标。</w:t>
      </w:r>
    </w:p>
    <w:p>
      <w:pPr>
        <w:spacing w:line="360" w:lineRule="auto"/>
        <w:ind w:left="210" w:leftChars="100"/>
        <w:rPr>
          <w:rFonts w:ascii="宋体" w:hAnsi="宋体"/>
          <w:sz w:val="24"/>
        </w:rPr>
      </w:pPr>
      <w:r>
        <w:rPr>
          <w:rFonts w:hint="eastAsia" w:ascii="宋体" w:hAnsi="宋体"/>
          <w:sz w:val="24"/>
        </w:rPr>
        <w:t>投标人为完成投标文件所发生的一切费用均自理，所有的投标文件均不退回。</w:t>
      </w:r>
    </w:p>
    <w:p>
      <w:pPr>
        <w:spacing w:line="360" w:lineRule="auto"/>
        <w:ind w:left="210" w:leftChars="100"/>
        <w:rPr>
          <w:rFonts w:ascii="宋体" w:hAnsi="宋体"/>
          <w:sz w:val="24"/>
        </w:rPr>
      </w:pPr>
      <w:r>
        <w:rPr>
          <w:rFonts w:hint="eastAsia" w:ascii="宋体" w:hAnsi="宋体"/>
          <w:sz w:val="24"/>
        </w:rPr>
        <w:t>4、投标人为达到中标目的而故意采取重大错项、漏项、更改招标内容或要求其它不能满足招标人实质性要求等行为，即被废标或取消中标资格，保留对因此给招标人造成的损失追究赔偿的权力。</w:t>
      </w:r>
    </w:p>
    <w:p>
      <w:pPr>
        <w:numPr>
          <w:ilvl w:val="0"/>
          <w:numId w:val="17"/>
        </w:numPr>
        <w:spacing w:line="360" w:lineRule="auto"/>
        <w:rPr>
          <w:rFonts w:ascii="宋体" w:hAnsi="宋体"/>
          <w:b/>
          <w:sz w:val="24"/>
        </w:rPr>
      </w:pPr>
      <w:r>
        <w:rPr>
          <w:rFonts w:hint="eastAsia" w:ascii="宋体" w:hAnsi="宋体"/>
          <w:b/>
          <w:sz w:val="24"/>
        </w:rPr>
        <w:t>投标文件报价要求</w:t>
      </w:r>
    </w:p>
    <w:p>
      <w:pPr>
        <w:spacing w:line="360" w:lineRule="auto"/>
        <w:ind w:left="210" w:leftChars="100"/>
        <w:rPr>
          <w:rFonts w:ascii="宋体" w:hAnsi="宋体"/>
          <w:sz w:val="24"/>
        </w:rPr>
      </w:pPr>
      <w:r>
        <w:rPr>
          <w:rFonts w:hint="eastAsia" w:ascii="宋体" w:hAnsi="宋体"/>
          <w:sz w:val="24"/>
        </w:rPr>
        <w:t>1、本项目要求按人民币报价；</w:t>
      </w:r>
    </w:p>
    <w:p>
      <w:pPr>
        <w:spacing w:line="360" w:lineRule="auto"/>
        <w:ind w:left="210" w:leftChars="100"/>
        <w:rPr>
          <w:rFonts w:ascii="宋体" w:hAnsi="宋体"/>
          <w:sz w:val="24"/>
        </w:rPr>
      </w:pPr>
      <w:r>
        <w:rPr>
          <w:rFonts w:hint="eastAsia" w:ascii="宋体" w:hAnsi="宋体"/>
          <w:sz w:val="24"/>
        </w:rPr>
        <w:t>2、所有报价价格均应为含税价格。</w:t>
      </w:r>
    </w:p>
    <w:p>
      <w:pPr>
        <w:spacing w:line="360" w:lineRule="auto"/>
        <w:rPr>
          <w:rFonts w:ascii="宋体" w:hAnsi="宋体"/>
          <w:b/>
          <w:sz w:val="24"/>
        </w:rPr>
      </w:pPr>
      <w:r>
        <w:rPr>
          <w:rFonts w:ascii="宋体" w:hAnsi="宋体"/>
          <w:b/>
          <w:sz w:val="24"/>
        </w:rPr>
        <w:t>三</w:t>
      </w:r>
      <w:r>
        <w:rPr>
          <w:rFonts w:hint="eastAsia" w:ascii="宋体" w:hAnsi="宋体"/>
          <w:b/>
          <w:sz w:val="24"/>
        </w:rPr>
        <w:t>、</w:t>
      </w:r>
      <w:r>
        <w:rPr>
          <w:rFonts w:ascii="宋体" w:hAnsi="宋体"/>
          <w:b/>
          <w:sz w:val="24"/>
        </w:rPr>
        <w:t>投标文件封面及附件要求</w:t>
      </w:r>
    </w:p>
    <w:p>
      <w:pPr>
        <w:spacing w:line="360" w:lineRule="auto"/>
        <w:ind w:left="210" w:leftChars="100"/>
        <w:rPr>
          <w:rFonts w:ascii="宋体" w:hAnsi="宋体"/>
          <w:sz w:val="24"/>
        </w:rPr>
      </w:pPr>
      <w:r>
        <w:rPr>
          <w:rFonts w:hint="eastAsia" w:ascii="宋体" w:hAnsi="宋体"/>
          <w:sz w:val="24"/>
        </w:rPr>
        <w:t>1、《技术标》文件封面</w:t>
      </w:r>
    </w:p>
    <w:p>
      <w:pPr>
        <w:spacing w:line="360" w:lineRule="auto"/>
        <w:ind w:left="210" w:leftChars="100"/>
        <w:rPr>
          <w:rFonts w:ascii="宋体" w:hAnsi="宋体"/>
          <w:sz w:val="24"/>
        </w:rPr>
      </w:pPr>
      <w:r>
        <w:rPr>
          <w:rFonts w:hint="eastAsia" w:ascii="宋体" w:hAnsi="宋体"/>
          <w:sz w:val="24"/>
        </w:rPr>
        <w:t>2、《商务标》文件封面</w:t>
      </w:r>
    </w:p>
    <w:p>
      <w:pPr>
        <w:spacing w:line="360" w:lineRule="auto"/>
        <w:ind w:left="210" w:leftChars="100"/>
        <w:rPr>
          <w:rFonts w:ascii="宋体" w:hAnsi="宋体"/>
          <w:sz w:val="24"/>
        </w:rPr>
      </w:pPr>
      <w:r>
        <w:rPr>
          <w:rFonts w:hint="eastAsia" w:ascii="宋体" w:hAnsi="宋体"/>
          <w:sz w:val="24"/>
        </w:rPr>
        <w:t>3、附件一：投标单位关于资格的声明函</w:t>
      </w:r>
    </w:p>
    <w:p>
      <w:pPr>
        <w:spacing w:line="360" w:lineRule="auto"/>
        <w:ind w:left="210" w:leftChars="100"/>
        <w:rPr>
          <w:rFonts w:ascii="宋体" w:hAnsi="宋体"/>
          <w:szCs w:val="21"/>
        </w:rPr>
      </w:pPr>
      <w:r>
        <w:rPr>
          <w:rFonts w:hint="eastAsia" w:ascii="宋体" w:hAnsi="宋体"/>
          <w:szCs w:val="21"/>
        </w:rPr>
        <w:t>4</w:t>
      </w:r>
      <w:r>
        <w:rPr>
          <w:rFonts w:hint="eastAsia" w:ascii="宋体" w:hAnsi="宋体"/>
          <w:sz w:val="24"/>
        </w:rPr>
        <w:t>、附件二：法定代表人证明书</w:t>
      </w:r>
    </w:p>
    <w:p>
      <w:pPr>
        <w:spacing w:line="360" w:lineRule="auto"/>
        <w:ind w:left="210" w:leftChars="100"/>
        <w:rPr>
          <w:rFonts w:ascii="宋体" w:hAnsi="宋体"/>
          <w:sz w:val="24"/>
        </w:rPr>
      </w:pPr>
      <w:r>
        <w:rPr>
          <w:rFonts w:hint="eastAsia" w:ascii="宋体" w:hAnsi="宋体"/>
          <w:szCs w:val="21"/>
        </w:rPr>
        <w:t>5、</w:t>
      </w:r>
      <w:r>
        <w:rPr>
          <w:rFonts w:hint="eastAsia" w:ascii="宋体" w:hAnsi="宋体"/>
          <w:sz w:val="24"/>
        </w:rPr>
        <w:t>附件三：授权委托书</w:t>
      </w:r>
    </w:p>
    <w:p>
      <w:pPr>
        <w:spacing w:line="360" w:lineRule="auto"/>
        <w:ind w:left="210" w:leftChars="100"/>
        <w:rPr>
          <w:rFonts w:ascii="宋体" w:hAnsi="宋体"/>
          <w:sz w:val="24"/>
        </w:rPr>
      </w:pPr>
      <w:r>
        <w:rPr>
          <w:rFonts w:ascii="宋体" w:hAnsi="宋体"/>
          <w:sz w:val="24"/>
        </w:rPr>
        <w:t>6、</w:t>
      </w:r>
      <w:r>
        <w:rPr>
          <w:rFonts w:hint="eastAsia" w:ascii="宋体" w:hAnsi="宋体"/>
          <w:sz w:val="24"/>
        </w:rPr>
        <w:t>附件四：技术规格及商务响应表</w:t>
      </w:r>
    </w:p>
    <w:p>
      <w:pPr>
        <w:spacing w:line="360" w:lineRule="auto"/>
        <w:ind w:left="210" w:leftChars="100"/>
        <w:rPr>
          <w:rFonts w:ascii="宋体" w:hAnsi="宋体"/>
          <w:sz w:val="24"/>
        </w:rPr>
      </w:pPr>
      <w:r>
        <w:rPr>
          <w:rFonts w:hint="eastAsia" w:ascii="宋体" w:hAnsi="宋体"/>
          <w:sz w:val="24"/>
        </w:rPr>
        <w:t>7、附件五：合同内容响应表</w:t>
      </w:r>
    </w:p>
    <w:p>
      <w:pPr>
        <w:pageBreakBefore/>
        <w:widowControl/>
        <w:spacing w:before="100" w:beforeAutospacing="1" w:after="100" w:afterAutospacing="1" w:line="360" w:lineRule="auto"/>
        <w:jc w:val="center"/>
        <w:rPr>
          <w:rFonts w:ascii="宋体" w:hAnsi="宋体" w:cs="宋体"/>
          <w:kern w:val="0"/>
          <w:sz w:val="24"/>
        </w:rPr>
      </w:pPr>
      <w:bookmarkStart w:id="3" w:name="_Toc229301221"/>
      <w:bookmarkStart w:id="4" w:name="_Toc229301220"/>
      <w:bookmarkStart w:id="5" w:name="_Toc291688005"/>
      <w:r>
        <w:rPr>
          <w:rFonts w:ascii="宋体" w:hAnsi="宋体" w:cs="宋体"/>
          <w:b/>
          <w:bCs/>
          <w:kern w:val="0"/>
          <w:sz w:val="29"/>
          <w:szCs w:val="29"/>
        </w:rPr>
        <w:t>封面格式</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36"/>
          <w:szCs w:val="36"/>
        </w:rPr>
        <w:t>  </w:t>
      </w:r>
    </w:p>
    <w:p>
      <w:pPr>
        <w:widowControl/>
        <w:spacing w:before="100" w:beforeAutospacing="1" w:after="100" w:afterAutospacing="1" w:line="360" w:lineRule="auto"/>
        <w:jc w:val="center"/>
        <w:rPr>
          <w:rFonts w:ascii="宋体" w:hAnsi="宋体" w:cs="宋体"/>
          <w:b/>
          <w:bCs/>
          <w:kern w:val="0"/>
          <w:sz w:val="44"/>
          <w:szCs w:val="44"/>
        </w:rPr>
      </w:pPr>
      <w:r>
        <w:rPr>
          <w:rFonts w:hint="eastAsia" w:ascii="宋体" w:hAnsi="宋体" w:cs="宋体"/>
          <w:b/>
          <w:bCs/>
          <w:kern w:val="0"/>
          <w:sz w:val="44"/>
          <w:szCs w:val="44"/>
        </w:rPr>
        <w:t>国贸</w:t>
      </w:r>
      <w:r>
        <w:rPr>
          <w:rFonts w:ascii="宋体" w:hAnsi="宋体" w:cs="宋体"/>
          <w:b/>
          <w:bCs/>
          <w:kern w:val="0"/>
          <w:sz w:val="44"/>
          <w:szCs w:val="44"/>
        </w:rPr>
        <w:t>中心</w:t>
      </w:r>
      <w:r>
        <w:rPr>
          <w:rFonts w:hint="eastAsia" w:ascii="宋体" w:hAnsi="宋体" w:cs="宋体"/>
          <w:b/>
          <w:bCs/>
          <w:kern w:val="0"/>
          <w:sz w:val="44"/>
          <w:szCs w:val="44"/>
        </w:rPr>
        <w:t>工程设施设备</w:t>
      </w:r>
      <w:r>
        <w:rPr>
          <w:rFonts w:ascii="宋体" w:hAnsi="宋体" w:cs="宋体"/>
          <w:b/>
          <w:bCs/>
          <w:kern w:val="0"/>
          <w:sz w:val="44"/>
          <w:szCs w:val="44"/>
        </w:rPr>
        <w:t>第三方机构</w:t>
      </w:r>
      <w:r>
        <w:rPr>
          <w:rFonts w:hint="eastAsia" w:ascii="宋体" w:hAnsi="宋体" w:cs="宋体"/>
          <w:b/>
          <w:bCs/>
          <w:kern w:val="0"/>
          <w:sz w:val="44"/>
          <w:szCs w:val="44"/>
        </w:rPr>
        <w:t>评估服务</w:t>
      </w:r>
    </w:p>
    <w:p>
      <w:pPr>
        <w:widowControl/>
        <w:spacing w:before="100" w:beforeAutospacing="1" w:after="100" w:afterAutospacing="1" w:line="360" w:lineRule="auto"/>
        <w:jc w:val="center"/>
        <w:rPr>
          <w:rFonts w:ascii="宋体" w:hAnsi="宋体" w:cs="宋体"/>
          <w:kern w:val="0"/>
          <w:sz w:val="48"/>
          <w:szCs w:val="48"/>
        </w:rPr>
      </w:pPr>
      <w:r>
        <w:rPr>
          <w:rFonts w:ascii="宋体" w:hAnsi="宋体" w:cs="宋体"/>
          <w:b/>
          <w:bCs/>
          <w:kern w:val="0"/>
          <w:sz w:val="48"/>
          <w:szCs w:val="48"/>
        </w:rPr>
        <w:t>投标文件</w:t>
      </w:r>
    </w:p>
    <w:p>
      <w:pPr>
        <w:widowControl/>
        <w:spacing w:before="100" w:beforeAutospacing="1" w:after="100" w:afterAutospacing="1" w:line="360" w:lineRule="auto"/>
        <w:jc w:val="center"/>
        <w:rPr>
          <w:rFonts w:ascii="宋体" w:hAnsi="宋体" w:cs="宋体"/>
          <w:kern w:val="0"/>
          <w:sz w:val="24"/>
        </w:rPr>
      </w:pPr>
      <w:r>
        <w:rPr>
          <w:rFonts w:ascii="宋体" w:hAnsi="宋体" w:cs="宋体"/>
          <w:b/>
          <w:bCs/>
          <w:kern w:val="0"/>
          <w:sz w:val="48"/>
          <w:szCs w:val="48"/>
        </w:rPr>
        <w:t>（</w:t>
      </w:r>
      <w:r>
        <w:rPr>
          <w:rFonts w:hint="eastAsia" w:ascii="宋体" w:hAnsi="宋体" w:cs="宋体"/>
          <w:b/>
          <w:bCs/>
          <w:kern w:val="0"/>
          <w:sz w:val="48"/>
          <w:szCs w:val="48"/>
        </w:rPr>
        <w:t>技术文件部分</w:t>
      </w:r>
      <w:r>
        <w:rPr>
          <w:rFonts w:ascii="宋体" w:hAnsi="宋体" w:cs="宋体"/>
          <w:b/>
          <w:bCs/>
          <w:kern w:val="0"/>
          <w:sz w:val="48"/>
          <w:szCs w:val="48"/>
        </w:rPr>
        <w:t>）</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36"/>
          <w:szCs w:val="36"/>
        </w:rPr>
        <w:t> </w:t>
      </w:r>
    </w:p>
    <w:p>
      <w:pPr>
        <w:widowControl/>
        <w:spacing w:before="100" w:beforeAutospacing="1" w:after="100" w:afterAutospacing="1" w:line="360" w:lineRule="auto"/>
        <w:jc w:val="center"/>
        <w:rPr>
          <w:rFonts w:ascii="宋体" w:hAnsi="宋体" w:cs="宋体"/>
          <w:kern w:val="0"/>
          <w:sz w:val="24"/>
        </w:rPr>
      </w:pPr>
      <w:r>
        <w:rPr>
          <w:rFonts w:ascii="宋体" w:hAnsi="宋体" w:cs="宋体"/>
          <w:b/>
          <w:bCs/>
          <w:kern w:val="0"/>
          <w:sz w:val="36"/>
          <w:szCs w:val="36"/>
          <w:u w:val="single"/>
        </w:rPr>
        <w:t>（填写正本或副本）</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36"/>
          <w:szCs w:val="36"/>
        </w:rPr>
        <w:t> </w:t>
      </w:r>
    </w:p>
    <w:p>
      <w:pPr>
        <w:widowControl/>
        <w:spacing w:before="100" w:beforeAutospacing="1" w:after="100" w:afterAutospacing="1" w:line="360" w:lineRule="auto"/>
        <w:ind w:firstLine="1920"/>
        <w:jc w:val="left"/>
        <w:rPr>
          <w:rFonts w:ascii="宋体" w:hAnsi="宋体" w:cs="宋体"/>
          <w:kern w:val="0"/>
          <w:sz w:val="24"/>
        </w:rPr>
      </w:pP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36"/>
          <w:szCs w:val="36"/>
        </w:rPr>
        <w:t> </w:t>
      </w:r>
    </w:p>
    <w:p>
      <w:pPr>
        <w:widowControl/>
        <w:spacing w:before="100" w:beforeAutospacing="1" w:after="100" w:afterAutospacing="1" w:line="360" w:lineRule="auto"/>
        <w:ind w:left="2100" w:firstLine="420"/>
        <w:jc w:val="left"/>
        <w:rPr>
          <w:rFonts w:ascii="宋体" w:hAnsi="宋体" w:cs="宋体"/>
          <w:b/>
          <w:bCs/>
          <w:kern w:val="0"/>
          <w:sz w:val="32"/>
          <w:szCs w:val="32"/>
          <w:u w:val="single"/>
        </w:rPr>
      </w:pPr>
      <w:r>
        <w:rPr>
          <w:rFonts w:hint="eastAsia" w:ascii="宋体" w:hAnsi="宋体" w:cs="宋体"/>
          <w:b/>
          <w:bCs/>
          <w:kern w:val="0"/>
          <w:sz w:val="32"/>
          <w:szCs w:val="32"/>
        </w:rPr>
        <w:t>投标</w:t>
      </w:r>
      <w:r>
        <w:rPr>
          <w:rFonts w:ascii="宋体" w:hAnsi="宋体" w:cs="宋体"/>
          <w:b/>
          <w:bCs/>
          <w:kern w:val="0"/>
          <w:sz w:val="32"/>
          <w:szCs w:val="32"/>
        </w:rPr>
        <w:t>单位：</w:t>
      </w:r>
      <w:r>
        <w:rPr>
          <w:rFonts w:ascii="宋体" w:hAnsi="宋体" w:cs="宋体"/>
          <w:b/>
          <w:bCs/>
          <w:kern w:val="0"/>
          <w:sz w:val="32"/>
          <w:szCs w:val="32"/>
          <w:u w:val="single"/>
        </w:rPr>
        <w:t>（填写“全称”）</w:t>
      </w:r>
    </w:p>
    <w:p>
      <w:pPr>
        <w:widowControl/>
        <w:spacing w:before="100" w:beforeAutospacing="1" w:after="100" w:afterAutospacing="1" w:line="360" w:lineRule="auto"/>
        <w:ind w:left="2100" w:firstLine="420"/>
        <w:jc w:val="left"/>
        <w:rPr>
          <w:rFonts w:ascii="宋体" w:hAnsi="宋体" w:cs="宋体"/>
          <w:b/>
          <w:bCs/>
          <w:kern w:val="0"/>
          <w:sz w:val="32"/>
          <w:szCs w:val="32"/>
          <w:u w:val="single"/>
        </w:rPr>
      </w:pPr>
      <w:r>
        <w:rPr>
          <w:rFonts w:ascii="宋体" w:hAnsi="宋体" w:cs="宋体"/>
          <w:b/>
          <w:bCs/>
          <w:kern w:val="0"/>
          <w:sz w:val="32"/>
          <w:szCs w:val="32"/>
        </w:rPr>
        <w:t>寄件地址</w:t>
      </w:r>
      <w:r>
        <w:rPr>
          <w:rFonts w:hint="eastAsia" w:ascii="宋体" w:hAnsi="宋体" w:cs="宋体"/>
          <w:b/>
          <w:bCs/>
          <w:kern w:val="0"/>
          <w:sz w:val="32"/>
          <w:szCs w:val="32"/>
        </w:rPr>
        <w:t>：</w:t>
      </w:r>
      <w:r>
        <w:rPr>
          <w:rFonts w:ascii="宋体" w:hAnsi="宋体" w:cs="宋体"/>
          <w:b/>
          <w:bCs/>
          <w:kern w:val="0"/>
          <w:sz w:val="32"/>
          <w:szCs w:val="32"/>
          <w:u w:val="single"/>
        </w:rPr>
        <w:t>（由投标人填写）</w:t>
      </w:r>
    </w:p>
    <w:p>
      <w:pPr>
        <w:widowControl/>
        <w:spacing w:before="100" w:beforeAutospacing="1" w:after="100" w:afterAutospacing="1" w:line="360" w:lineRule="auto"/>
        <w:ind w:left="2100" w:firstLine="420"/>
        <w:jc w:val="left"/>
        <w:rPr>
          <w:rFonts w:ascii="宋体" w:hAnsi="宋体" w:cs="宋体"/>
          <w:b/>
          <w:bCs/>
          <w:kern w:val="0"/>
          <w:sz w:val="32"/>
          <w:szCs w:val="32"/>
          <w:u w:val="single"/>
        </w:rPr>
      </w:pPr>
      <w:r>
        <w:rPr>
          <w:rFonts w:hint="eastAsia" w:ascii="宋体" w:hAnsi="宋体" w:cs="宋体"/>
          <w:b/>
          <w:bCs/>
          <w:kern w:val="0"/>
          <w:sz w:val="32"/>
          <w:szCs w:val="32"/>
        </w:rPr>
        <w:t>联系人：</w:t>
      </w:r>
      <w:r>
        <w:rPr>
          <w:rFonts w:ascii="宋体" w:hAnsi="宋体" w:cs="宋体"/>
          <w:b/>
          <w:bCs/>
          <w:kern w:val="0"/>
          <w:sz w:val="32"/>
          <w:szCs w:val="32"/>
          <w:u w:val="single"/>
        </w:rPr>
        <w:t>（由投标人填写</w:t>
      </w:r>
      <w:r>
        <w:rPr>
          <w:rFonts w:hint="eastAsia" w:ascii="宋体" w:hAnsi="宋体" w:cs="宋体"/>
          <w:b/>
          <w:bCs/>
          <w:kern w:val="0"/>
          <w:sz w:val="32"/>
          <w:szCs w:val="32"/>
          <w:u w:val="single"/>
        </w:rPr>
        <w:t>）</w:t>
      </w:r>
    </w:p>
    <w:p>
      <w:pPr>
        <w:widowControl/>
        <w:spacing w:before="100" w:beforeAutospacing="1" w:after="100" w:afterAutospacing="1" w:line="360" w:lineRule="auto"/>
        <w:ind w:left="2100" w:firstLine="420"/>
        <w:jc w:val="left"/>
        <w:rPr>
          <w:rFonts w:ascii="宋体" w:hAnsi="宋体" w:cs="宋体"/>
          <w:kern w:val="0"/>
          <w:sz w:val="24"/>
          <w:u w:val="single"/>
        </w:rPr>
      </w:pPr>
      <w:r>
        <w:rPr>
          <w:rFonts w:hint="eastAsia" w:ascii="宋体" w:hAnsi="宋体" w:cs="宋体"/>
          <w:b/>
          <w:bCs/>
          <w:kern w:val="0"/>
          <w:sz w:val="32"/>
          <w:szCs w:val="32"/>
        </w:rPr>
        <w:t>联系电话：</w:t>
      </w:r>
      <w:r>
        <w:rPr>
          <w:rFonts w:ascii="宋体" w:hAnsi="宋体" w:cs="宋体"/>
          <w:b/>
          <w:bCs/>
          <w:kern w:val="0"/>
          <w:sz w:val="32"/>
          <w:szCs w:val="32"/>
          <w:u w:val="single"/>
        </w:rPr>
        <w:t>（由投标人填写</w:t>
      </w:r>
      <w:r>
        <w:rPr>
          <w:rFonts w:hint="eastAsia" w:ascii="宋体" w:hAnsi="宋体" w:cs="宋体"/>
          <w:b/>
          <w:bCs/>
          <w:kern w:val="0"/>
          <w:sz w:val="32"/>
          <w:szCs w:val="32"/>
          <w:u w:val="single"/>
        </w:rPr>
        <w:t>）</w:t>
      </w:r>
    </w:p>
    <w:p>
      <w:pPr>
        <w:widowControl/>
        <w:spacing w:before="100" w:beforeAutospacing="1" w:after="100" w:afterAutospacing="1" w:line="360" w:lineRule="auto"/>
        <w:jc w:val="center"/>
        <w:rPr>
          <w:rFonts w:ascii="宋体" w:hAnsi="宋体" w:cs="宋体"/>
          <w:kern w:val="0"/>
          <w:sz w:val="24"/>
        </w:rPr>
      </w:pPr>
      <w:r>
        <w:rPr>
          <w:rFonts w:ascii="宋体" w:hAnsi="宋体" w:cs="宋体"/>
          <w:b/>
          <w:bCs/>
          <w:kern w:val="0"/>
          <w:sz w:val="32"/>
          <w:szCs w:val="32"/>
          <w:u w:val="single"/>
        </w:rPr>
        <w:t>（由投标人填写）</w:t>
      </w:r>
      <w:r>
        <w:rPr>
          <w:rFonts w:ascii="宋体" w:hAnsi="宋体" w:cs="宋体"/>
          <w:b/>
          <w:bCs/>
          <w:kern w:val="0"/>
          <w:sz w:val="32"/>
          <w:szCs w:val="32"/>
        </w:rPr>
        <w:t>年</w:t>
      </w:r>
      <w:r>
        <w:rPr>
          <w:rFonts w:ascii="宋体" w:hAnsi="宋体" w:cs="宋体"/>
          <w:b/>
          <w:bCs/>
          <w:kern w:val="0"/>
          <w:sz w:val="32"/>
          <w:szCs w:val="32"/>
          <w:u w:val="single"/>
        </w:rPr>
        <w:t>（由投标人填写）</w:t>
      </w:r>
      <w:r>
        <w:rPr>
          <w:rFonts w:ascii="宋体" w:hAnsi="宋体" w:cs="宋体"/>
          <w:b/>
          <w:bCs/>
          <w:kern w:val="0"/>
          <w:sz w:val="32"/>
          <w:szCs w:val="32"/>
        </w:rPr>
        <w:t>月</w:t>
      </w:r>
      <w:bookmarkStart w:id="6" w:name="_Toc229544224"/>
      <w:r>
        <w:rPr>
          <w:rFonts w:ascii="宋体" w:hAnsi="宋体" w:cs="宋体"/>
          <w:kern w:val="0"/>
          <w:szCs w:val="21"/>
        </w:rPr>
        <w:t> </w:t>
      </w:r>
    </w:p>
    <w:bookmarkEnd w:id="6"/>
    <w:p>
      <w:pPr>
        <w:pageBreakBefore/>
        <w:widowControl/>
        <w:spacing w:before="100" w:beforeAutospacing="1" w:after="100" w:afterAutospacing="1" w:line="360" w:lineRule="auto"/>
        <w:jc w:val="center"/>
        <w:rPr>
          <w:rFonts w:ascii="宋体" w:hAnsi="宋体" w:cs="宋体"/>
          <w:kern w:val="0"/>
          <w:sz w:val="24"/>
        </w:rPr>
      </w:pPr>
      <w:r>
        <w:rPr>
          <w:rFonts w:ascii="宋体" w:hAnsi="宋体" w:cs="宋体"/>
          <w:b/>
          <w:bCs/>
          <w:kern w:val="0"/>
          <w:sz w:val="29"/>
          <w:szCs w:val="29"/>
        </w:rPr>
        <w:t>封面格式</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36"/>
          <w:szCs w:val="36"/>
        </w:rPr>
        <w:t>  </w:t>
      </w:r>
    </w:p>
    <w:p>
      <w:pPr>
        <w:widowControl/>
        <w:spacing w:before="100" w:beforeAutospacing="1" w:after="100" w:afterAutospacing="1" w:line="360" w:lineRule="auto"/>
        <w:jc w:val="center"/>
        <w:rPr>
          <w:rFonts w:ascii="宋体" w:hAnsi="宋体" w:cs="宋体"/>
          <w:b/>
          <w:bCs/>
          <w:kern w:val="0"/>
          <w:sz w:val="48"/>
          <w:szCs w:val="48"/>
        </w:rPr>
      </w:pPr>
      <w:r>
        <w:rPr>
          <w:rFonts w:hint="eastAsia" w:ascii="宋体" w:hAnsi="宋体" w:cs="宋体"/>
          <w:b/>
          <w:bCs/>
          <w:kern w:val="0"/>
          <w:sz w:val="48"/>
          <w:szCs w:val="48"/>
        </w:rPr>
        <w:t>国贸</w:t>
      </w:r>
      <w:r>
        <w:rPr>
          <w:rFonts w:ascii="宋体" w:hAnsi="宋体" w:cs="宋体"/>
          <w:b/>
          <w:bCs/>
          <w:kern w:val="0"/>
          <w:sz w:val="48"/>
          <w:szCs w:val="48"/>
        </w:rPr>
        <w:t>中心</w:t>
      </w:r>
      <w:r>
        <w:rPr>
          <w:rFonts w:hint="eastAsia" w:ascii="宋体" w:hAnsi="宋体" w:cs="宋体"/>
          <w:b/>
          <w:bCs/>
          <w:kern w:val="0"/>
          <w:sz w:val="48"/>
          <w:szCs w:val="48"/>
        </w:rPr>
        <w:t>工程设施设备</w:t>
      </w:r>
      <w:r>
        <w:rPr>
          <w:rFonts w:ascii="宋体" w:hAnsi="宋体" w:cs="宋体"/>
          <w:b/>
          <w:bCs/>
          <w:kern w:val="0"/>
          <w:sz w:val="48"/>
          <w:szCs w:val="48"/>
        </w:rPr>
        <w:t>第三方机构</w:t>
      </w:r>
      <w:r>
        <w:rPr>
          <w:rFonts w:hint="eastAsia" w:ascii="宋体" w:hAnsi="宋体" w:cs="宋体"/>
          <w:b/>
          <w:bCs/>
          <w:kern w:val="0"/>
          <w:sz w:val="48"/>
          <w:szCs w:val="48"/>
        </w:rPr>
        <w:t>评估</w:t>
      </w:r>
    </w:p>
    <w:p>
      <w:pPr>
        <w:widowControl/>
        <w:spacing w:before="100" w:beforeAutospacing="1" w:after="100" w:afterAutospacing="1" w:line="360" w:lineRule="auto"/>
        <w:jc w:val="center"/>
        <w:rPr>
          <w:rFonts w:ascii="宋体" w:hAnsi="宋体" w:cs="宋体"/>
          <w:kern w:val="0"/>
          <w:sz w:val="24"/>
        </w:rPr>
      </w:pPr>
      <w:r>
        <w:rPr>
          <w:rFonts w:hint="eastAsia" w:ascii="宋体" w:hAnsi="宋体" w:cs="宋体"/>
          <w:b/>
          <w:bCs/>
          <w:kern w:val="0"/>
          <w:sz w:val="48"/>
          <w:szCs w:val="48"/>
        </w:rPr>
        <w:t>机构</w:t>
      </w:r>
      <w:r>
        <w:rPr>
          <w:rFonts w:ascii="宋体" w:hAnsi="宋体" w:cs="宋体"/>
          <w:b/>
          <w:bCs/>
          <w:kern w:val="0"/>
          <w:sz w:val="48"/>
          <w:szCs w:val="48"/>
        </w:rPr>
        <w:t>投标文件</w:t>
      </w:r>
    </w:p>
    <w:p>
      <w:pPr>
        <w:widowControl/>
        <w:spacing w:before="100" w:beforeAutospacing="1" w:after="100" w:afterAutospacing="1" w:line="360" w:lineRule="auto"/>
        <w:jc w:val="center"/>
        <w:rPr>
          <w:rFonts w:ascii="宋体" w:hAnsi="宋体" w:cs="宋体"/>
          <w:kern w:val="0"/>
          <w:sz w:val="24"/>
        </w:rPr>
      </w:pPr>
      <w:r>
        <w:rPr>
          <w:rFonts w:ascii="宋体" w:hAnsi="宋体" w:cs="宋体"/>
          <w:b/>
          <w:bCs/>
          <w:kern w:val="0"/>
          <w:sz w:val="48"/>
          <w:szCs w:val="48"/>
        </w:rPr>
        <w:t>（</w:t>
      </w:r>
      <w:r>
        <w:rPr>
          <w:rFonts w:hint="eastAsia" w:ascii="宋体" w:hAnsi="宋体" w:cs="宋体"/>
          <w:b/>
          <w:bCs/>
          <w:kern w:val="0"/>
          <w:sz w:val="48"/>
          <w:szCs w:val="48"/>
        </w:rPr>
        <w:t>商务文件部分</w:t>
      </w:r>
      <w:r>
        <w:rPr>
          <w:rFonts w:ascii="宋体" w:hAnsi="宋体" w:cs="宋体"/>
          <w:b/>
          <w:bCs/>
          <w:kern w:val="0"/>
          <w:sz w:val="48"/>
          <w:szCs w:val="48"/>
        </w:rPr>
        <w:t>）</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36"/>
          <w:szCs w:val="36"/>
        </w:rPr>
        <w:t> </w:t>
      </w:r>
    </w:p>
    <w:p>
      <w:pPr>
        <w:widowControl/>
        <w:spacing w:before="100" w:beforeAutospacing="1" w:after="100" w:afterAutospacing="1" w:line="360" w:lineRule="auto"/>
        <w:jc w:val="center"/>
        <w:rPr>
          <w:rFonts w:ascii="宋体" w:hAnsi="宋体" w:cs="宋体"/>
          <w:kern w:val="0"/>
          <w:sz w:val="24"/>
        </w:rPr>
      </w:pPr>
      <w:r>
        <w:rPr>
          <w:rFonts w:ascii="宋体" w:hAnsi="宋体" w:cs="宋体"/>
          <w:b/>
          <w:bCs/>
          <w:kern w:val="0"/>
          <w:sz w:val="36"/>
          <w:szCs w:val="36"/>
          <w:u w:val="single"/>
        </w:rPr>
        <w:t>（填写正本或副本）</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36"/>
          <w:szCs w:val="36"/>
        </w:rPr>
        <w:t> </w:t>
      </w:r>
    </w:p>
    <w:p>
      <w:pPr>
        <w:widowControl/>
        <w:spacing w:before="100" w:beforeAutospacing="1" w:after="100" w:afterAutospacing="1" w:line="360" w:lineRule="auto"/>
        <w:ind w:firstLine="1920"/>
        <w:jc w:val="left"/>
        <w:rPr>
          <w:rFonts w:ascii="宋体" w:hAnsi="宋体" w:cs="宋体"/>
          <w:kern w:val="0"/>
          <w:sz w:val="24"/>
        </w:rPr>
      </w:pP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36"/>
          <w:szCs w:val="36"/>
        </w:rPr>
        <w:t> </w:t>
      </w:r>
    </w:p>
    <w:p>
      <w:pPr>
        <w:widowControl/>
        <w:spacing w:before="100" w:beforeAutospacing="1" w:after="100" w:afterAutospacing="1" w:line="360" w:lineRule="auto"/>
        <w:ind w:left="2100" w:firstLine="420"/>
        <w:jc w:val="left"/>
        <w:rPr>
          <w:rFonts w:ascii="宋体" w:hAnsi="宋体" w:cs="宋体"/>
          <w:b/>
          <w:bCs/>
          <w:kern w:val="0"/>
          <w:sz w:val="32"/>
          <w:szCs w:val="32"/>
          <w:u w:val="single"/>
        </w:rPr>
      </w:pPr>
      <w:r>
        <w:rPr>
          <w:rFonts w:hint="eastAsia" w:ascii="宋体" w:hAnsi="宋体" w:cs="宋体"/>
          <w:b/>
          <w:bCs/>
          <w:kern w:val="0"/>
          <w:sz w:val="32"/>
          <w:szCs w:val="32"/>
        </w:rPr>
        <w:t>投标人</w:t>
      </w:r>
      <w:r>
        <w:rPr>
          <w:rFonts w:ascii="宋体" w:hAnsi="宋体" w:cs="宋体"/>
          <w:b/>
          <w:bCs/>
          <w:kern w:val="0"/>
          <w:sz w:val="32"/>
          <w:szCs w:val="32"/>
        </w:rPr>
        <w:t>：</w:t>
      </w:r>
      <w:r>
        <w:rPr>
          <w:rFonts w:ascii="宋体" w:hAnsi="宋体" w:cs="宋体"/>
          <w:b/>
          <w:bCs/>
          <w:kern w:val="0"/>
          <w:sz w:val="32"/>
          <w:szCs w:val="32"/>
          <w:u w:val="single"/>
        </w:rPr>
        <w:t>（填写“全称”并盖章）</w:t>
      </w:r>
    </w:p>
    <w:p>
      <w:pPr>
        <w:widowControl/>
        <w:spacing w:before="100" w:beforeAutospacing="1" w:after="100" w:afterAutospacing="1" w:line="360" w:lineRule="auto"/>
        <w:ind w:left="2100" w:firstLine="420"/>
        <w:jc w:val="left"/>
        <w:rPr>
          <w:rFonts w:ascii="宋体" w:hAnsi="宋体" w:cs="宋体"/>
          <w:b/>
          <w:bCs/>
          <w:kern w:val="0"/>
          <w:sz w:val="32"/>
          <w:szCs w:val="32"/>
          <w:u w:val="single"/>
        </w:rPr>
      </w:pPr>
      <w:r>
        <w:rPr>
          <w:rFonts w:ascii="宋体" w:hAnsi="宋体" w:cs="宋体"/>
          <w:b/>
          <w:bCs/>
          <w:kern w:val="0"/>
          <w:sz w:val="32"/>
          <w:szCs w:val="32"/>
        </w:rPr>
        <w:t>寄件地址</w:t>
      </w:r>
      <w:r>
        <w:rPr>
          <w:rFonts w:hint="eastAsia" w:ascii="宋体" w:hAnsi="宋体" w:cs="宋体"/>
          <w:b/>
          <w:bCs/>
          <w:kern w:val="0"/>
          <w:sz w:val="32"/>
          <w:szCs w:val="32"/>
        </w:rPr>
        <w:t>：</w:t>
      </w:r>
      <w:r>
        <w:rPr>
          <w:rFonts w:ascii="宋体" w:hAnsi="宋体" w:cs="宋体"/>
          <w:b/>
          <w:bCs/>
          <w:kern w:val="0"/>
          <w:sz w:val="32"/>
          <w:szCs w:val="32"/>
          <w:u w:val="single"/>
        </w:rPr>
        <w:t>（由投标人填写）</w:t>
      </w:r>
    </w:p>
    <w:p>
      <w:pPr>
        <w:widowControl/>
        <w:spacing w:before="100" w:beforeAutospacing="1" w:after="100" w:afterAutospacing="1" w:line="360" w:lineRule="auto"/>
        <w:ind w:left="2100" w:firstLine="420"/>
        <w:jc w:val="left"/>
        <w:rPr>
          <w:rFonts w:ascii="宋体" w:hAnsi="宋体" w:cs="宋体"/>
          <w:b/>
          <w:bCs/>
          <w:kern w:val="0"/>
          <w:sz w:val="32"/>
          <w:szCs w:val="32"/>
          <w:u w:val="single"/>
        </w:rPr>
      </w:pPr>
      <w:r>
        <w:rPr>
          <w:rFonts w:hint="eastAsia" w:ascii="宋体" w:hAnsi="宋体" w:cs="宋体"/>
          <w:b/>
          <w:bCs/>
          <w:kern w:val="0"/>
          <w:sz w:val="32"/>
          <w:szCs w:val="32"/>
        </w:rPr>
        <w:t>联系人：</w:t>
      </w:r>
      <w:r>
        <w:rPr>
          <w:rFonts w:ascii="宋体" w:hAnsi="宋体" w:cs="宋体"/>
          <w:b/>
          <w:bCs/>
          <w:kern w:val="0"/>
          <w:sz w:val="32"/>
          <w:szCs w:val="32"/>
          <w:u w:val="single"/>
        </w:rPr>
        <w:t>（由投标人填写</w:t>
      </w:r>
      <w:r>
        <w:rPr>
          <w:rFonts w:hint="eastAsia" w:ascii="宋体" w:hAnsi="宋体" w:cs="宋体"/>
          <w:b/>
          <w:bCs/>
          <w:kern w:val="0"/>
          <w:sz w:val="32"/>
          <w:szCs w:val="32"/>
          <w:u w:val="single"/>
        </w:rPr>
        <w:t>）</w:t>
      </w:r>
    </w:p>
    <w:p>
      <w:pPr>
        <w:widowControl/>
        <w:spacing w:before="100" w:beforeAutospacing="1" w:after="100" w:afterAutospacing="1" w:line="360" w:lineRule="auto"/>
        <w:ind w:left="2100" w:firstLine="420"/>
        <w:jc w:val="left"/>
        <w:rPr>
          <w:rFonts w:ascii="宋体" w:hAnsi="宋体" w:cs="宋体"/>
          <w:kern w:val="0"/>
          <w:sz w:val="24"/>
          <w:u w:val="single"/>
        </w:rPr>
      </w:pPr>
      <w:r>
        <w:rPr>
          <w:rFonts w:hint="eastAsia" w:ascii="宋体" w:hAnsi="宋体" w:cs="宋体"/>
          <w:b/>
          <w:bCs/>
          <w:kern w:val="0"/>
          <w:sz w:val="32"/>
          <w:szCs w:val="32"/>
        </w:rPr>
        <w:t>联系电话：</w:t>
      </w:r>
      <w:r>
        <w:rPr>
          <w:rFonts w:ascii="宋体" w:hAnsi="宋体" w:cs="宋体"/>
          <w:b/>
          <w:bCs/>
          <w:kern w:val="0"/>
          <w:sz w:val="32"/>
          <w:szCs w:val="32"/>
          <w:u w:val="single"/>
        </w:rPr>
        <w:t>（由投标人填写</w:t>
      </w:r>
      <w:r>
        <w:rPr>
          <w:rFonts w:hint="eastAsia" w:ascii="宋体" w:hAnsi="宋体" w:cs="宋体"/>
          <w:b/>
          <w:bCs/>
          <w:kern w:val="0"/>
          <w:sz w:val="32"/>
          <w:szCs w:val="32"/>
          <w:u w:val="single"/>
        </w:rPr>
        <w:t>）</w:t>
      </w:r>
    </w:p>
    <w:p>
      <w:pPr>
        <w:widowControl/>
        <w:spacing w:before="100" w:beforeAutospacing="1" w:after="100" w:afterAutospacing="1" w:line="360" w:lineRule="auto"/>
        <w:jc w:val="center"/>
        <w:rPr>
          <w:rFonts w:ascii="宋体" w:hAnsi="宋体" w:cs="宋体"/>
          <w:kern w:val="0"/>
          <w:sz w:val="24"/>
        </w:rPr>
      </w:pPr>
      <w:r>
        <w:rPr>
          <w:rFonts w:ascii="宋体" w:hAnsi="宋体" w:cs="宋体"/>
          <w:b/>
          <w:bCs/>
          <w:kern w:val="0"/>
          <w:sz w:val="32"/>
          <w:szCs w:val="32"/>
          <w:u w:val="single"/>
        </w:rPr>
        <w:t>（由投标人填写）</w:t>
      </w:r>
      <w:r>
        <w:rPr>
          <w:rFonts w:ascii="宋体" w:hAnsi="宋体" w:cs="宋体"/>
          <w:b/>
          <w:bCs/>
          <w:kern w:val="0"/>
          <w:sz w:val="32"/>
          <w:szCs w:val="32"/>
        </w:rPr>
        <w:t>年</w:t>
      </w:r>
      <w:r>
        <w:rPr>
          <w:rFonts w:ascii="宋体" w:hAnsi="宋体" w:cs="宋体"/>
          <w:b/>
          <w:bCs/>
          <w:kern w:val="0"/>
          <w:sz w:val="32"/>
          <w:szCs w:val="32"/>
          <w:u w:val="single"/>
        </w:rPr>
        <w:t>（由投标人填写）</w:t>
      </w:r>
      <w:r>
        <w:rPr>
          <w:rFonts w:ascii="宋体" w:hAnsi="宋体" w:cs="宋体"/>
          <w:b/>
          <w:bCs/>
          <w:kern w:val="0"/>
          <w:sz w:val="32"/>
          <w:szCs w:val="32"/>
        </w:rPr>
        <w:t>月</w:t>
      </w:r>
    </w:p>
    <w:bookmarkEnd w:id="3"/>
    <w:bookmarkEnd w:id="4"/>
    <w:bookmarkEnd w:id="5"/>
    <w:p>
      <w:pPr>
        <w:pageBreakBefore/>
        <w:spacing w:line="360" w:lineRule="auto"/>
        <w:rPr>
          <w:rFonts w:ascii="宋体" w:hAnsi="宋体"/>
          <w:sz w:val="24"/>
        </w:rPr>
      </w:pPr>
      <w:bookmarkStart w:id="7" w:name="_Toc229301225"/>
      <w:r>
        <w:rPr>
          <w:rFonts w:hint="eastAsia" w:ascii="宋体" w:hAnsi="宋体"/>
          <w:sz w:val="24"/>
        </w:rPr>
        <w:t>附件</w:t>
      </w:r>
      <w:bookmarkEnd w:id="7"/>
      <w:bookmarkStart w:id="8" w:name="_Toc229301226"/>
      <w:r>
        <w:rPr>
          <w:rFonts w:hint="eastAsia" w:ascii="宋体" w:hAnsi="宋体"/>
          <w:sz w:val="24"/>
        </w:rPr>
        <w:t>一：</w:t>
      </w:r>
      <w:bookmarkEnd w:id="8"/>
      <w:bookmarkStart w:id="9" w:name="_Toc60869441"/>
      <w:bookmarkStart w:id="10" w:name="_Toc229301227"/>
      <w:bookmarkStart w:id="11" w:name="_Toc60898069"/>
      <w:bookmarkStart w:id="12" w:name="_Toc60898654"/>
      <w:bookmarkStart w:id="13" w:name="_Toc60901987"/>
      <w:bookmarkStart w:id="14" w:name="_Toc228353441"/>
      <w:r>
        <w:rPr>
          <w:rFonts w:hint="eastAsia" w:ascii="宋体" w:hAnsi="宋体"/>
          <w:sz w:val="24"/>
        </w:rPr>
        <w:t>投标单位关于资格的声明函</w:t>
      </w:r>
      <w:bookmarkEnd w:id="9"/>
      <w:bookmarkEnd w:id="10"/>
      <w:bookmarkEnd w:id="11"/>
      <w:bookmarkEnd w:id="12"/>
      <w:bookmarkEnd w:id="13"/>
    </w:p>
    <w:p>
      <w:pPr>
        <w:spacing w:line="360" w:lineRule="auto"/>
        <w:rPr>
          <w:rFonts w:ascii="宋体" w:hAnsi="宋体"/>
          <w:sz w:val="24"/>
        </w:rPr>
      </w:pPr>
    </w:p>
    <w:p>
      <w:pPr>
        <w:spacing w:line="360" w:lineRule="auto"/>
        <w:jc w:val="center"/>
        <w:rPr>
          <w:rFonts w:ascii="宋体" w:hAnsi="宋体"/>
          <w:b/>
          <w:sz w:val="24"/>
        </w:rPr>
      </w:pPr>
      <w:r>
        <w:rPr>
          <w:rFonts w:hint="eastAsia" w:ascii="宋体" w:hAnsi="宋体"/>
          <w:b/>
          <w:sz w:val="24"/>
        </w:rPr>
        <w:t>投标单位关于资格的声明函</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__（招标单位）：</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我们___________________________（投标单位）愿意对</w:t>
      </w:r>
      <w:r>
        <w:rPr>
          <w:rFonts w:hint="eastAsia" w:ascii="宋体" w:hAnsi="宋体"/>
          <w:sz w:val="24"/>
          <w:u w:val="single"/>
        </w:rPr>
        <w:t>国贸中心设施设备第三方</w:t>
      </w:r>
      <w:r>
        <w:rPr>
          <w:rFonts w:ascii="宋体" w:hAnsi="宋体"/>
          <w:sz w:val="24"/>
          <w:u w:val="single"/>
        </w:rPr>
        <w:t>机构</w:t>
      </w:r>
      <w:r>
        <w:rPr>
          <w:rFonts w:hint="eastAsia" w:ascii="宋体" w:hAnsi="宋体"/>
          <w:sz w:val="24"/>
          <w:u w:val="single"/>
        </w:rPr>
        <w:t>评估服务</w:t>
      </w:r>
      <w:r>
        <w:rPr>
          <w:rFonts w:ascii="宋体" w:hAnsi="宋体"/>
          <w:sz w:val="24"/>
          <w:u w:val="single"/>
        </w:rPr>
        <w:t>招标</w:t>
      </w:r>
      <w:r>
        <w:rPr>
          <w:rFonts w:hint="eastAsia" w:ascii="宋体" w:hAnsi="宋体"/>
          <w:sz w:val="24"/>
          <w:u w:val="single"/>
        </w:rPr>
        <w:t>项目</w:t>
      </w:r>
      <w:r>
        <w:rPr>
          <w:rFonts w:hint="eastAsia" w:ascii="宋体" w:hAnsi="宋体"/>
          <w:sz w:val="24"/>
        </w:rPr>
        <w:t>进行投标。并在此声明，投标文件材料中所有关于资格的文件材料、证明、陈述均是真实、准确的。如果发现此类文件材料、证明、陈述与事实不符，我方将承担由此而产生的一切后果。</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     标     人：_____________________（全称、盖章）</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法定或授权代表人：_____________________（签字）</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日          期：_____________________ </w:t>
      </w:r>
    </w:p>
    <w:p>
      <w:pPr>
        <w:spacing w:line="360" w:lineRule="auto"/>
        <w:rPr>
          <w:rFonts w:ascii="宋体" w:hAnsi="宋体"/>
          <w:sz w:val="24"/>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pageBreakBefore/>
        <w:spacing w:line="360" w:lineRule="auto"/>
        <w:rPr>
          <w:rFonts w:ascii="宋体" w:hAnsi="宋体"/>
          <w:szCs w:val="21"/>
        </w:rPr>
      </w:pPr>
      <w:bookmarkStart w:id="15" w:name="_Toc229301228"/>
      <w:r>
        <w:rPr>
          <w:rFonts w:hint="eastAsia" w:ascii="宋体" w:hAnsi="宋体"/>
          <w:szCs w:val="21"/>
        </w:rPr>
        <w:t>附件二：法定代表人证明书</w:t>
      </w:r>
      <w:bookmarkEnd w:id="14"/>
      <w:bookmarkEnd w:id="15"/>
    </w:p>
    <w:p>
      <w:pPr>
        <w:spacing w:line="360" w:lineRule="auto"/>
        <w:rPr>
          <w:rFonts w:ascii="宋体" w:hAnsi="宋体"/>
          <w:szCs w:val="21"/>
        </w:rPr>
      </w:pPr>
    </w:p>
    <w:p>
      <w:pPr>
        <w:spacing w:line="360" w:lineRule="auto"/>
        <w:jc w:val="center"/>
        <w:rPr>
          <w:rFonts w:ascii="宋体" w:hAnsi="宋体"/>
          <w:b/>
          <w:szCs w:val="21"/>
        </w:rPr>
      </w:pPr>
      <w:r>
        <w:rPr>
          <w:rFonts w:hint="eastAsia" w:ascii="宋体" w:hAnsi="宋体"/>
          <w:b/>
          <w:szCs w:val="21"/>
        </w:rPr>
        <w:t>法定代表人证明书</w:t>
      </w:r>
    </w:p>
    <w:p>
      <w:pPr>
        <w:spacing w:line="360" w:lineRule="auto"/>
        <w:rPr>
          <w:rFonts w:ascii="宋体" w:hAnsi="宋体"/>
          <w:szCs w:val="21"/>
        </w:rPr>
      </w:pPr>
    </w:p>
    <w:p>
      <w:pPr>
        <w:spacing w:line="360" w:lineRule="auto"/>
        <w:rPr>
          <w:rFonts w:ascii="宋体" w:hAnsi="宋体"/>
          <w:szCs w:val="21"/>
        </w:rPr>
      </w:pPr>
      <w:r>
        <w:rPr>
          <w:rFonts w:ascii="宋体" w:hAnsi="宋体"/>
          <w:szCs w:val="21"/>
        </w:rPr>
        <w:pict>
          <v:shape id="_x0000_s1026" o:spid="_x0000_s1026" o:spt="202" type="#_x0000_t202" style="position:absolute;left:0pt;margin-left:0pt;margin-top:0pt;height:202.8pt;width:456.75pt;z-index:251658240;mso-width-relative:page;mso-height-relative:page;" coordsize="21600,21600">
            <v:path/>
            <v:fill focussize="0,0"/>
            <v:stroke joinstyle="miter"/>
            <v:imagedata o:title=""/>
            <o:lock v:ext="edit"/>
            <v:textbox>
              <w:txbxContent>
                <w:p>
                  <w:pPr>
                    <w:spacing w:beforeLines="50"/>
                    <w:rPr>
                      <w:sz w:val="28"/>
                      <w:szCs w:val="28"/>
                    </w:rPr>
                  </w:pPr>
                  <w:r>
                    <w:rPr>
                      <w:rFonts w:hint="eastAsia"/>
                      <w:sz w:val="28"/>
                      <w:szCs w:val="28"/>
                    </w:rPr>
                    <w:t>　　</w:t>
                  </w:r>
                  <w:r>
                    <w:rPr>
                      <w:rFonts w:hint="eastAsia" w:ascii="仿宋_GB2312" w:eastAsia="仿宋_GB2312"/>
                      <w:sz w:val="24"/>
                      <w:u w:val="single"/>
                    </w:rPr>
                    <w:t>　　　　　　</w:t>
                  </w:r>
                  <w:r>
                    <w:rPr>
                      <w:rFonts w:hint="eastAsia" w:ascii="仿宋_GB2312" w:hAnsi="宋体" w:eastAsia="仿宋_GB2312"/>
                      <w:sz w:val="24"/>
                    </w:rPr>
                    <w:t>现任我单位</w:t>
                  </w:r>
                  <w:r>
                    <w:rPr>
                      <w:rFonts w:hint="eastAsia" w:ascii="仿宋_GB2312" w:eastAsia="仿宋_GB2312"/>
                      <w:sz w:val="24"/>
                      <w:u w:val="single"/>
                    </w:rPr>
                    <w:t>　　　　　</w:t>
                  </w:r>
                  <w:r>
                    <w:rPr>
                      <w:rFonts w:hint="eastAsia" w:ascii="仿宋_GB2312" w:eastAsia="仿宋_GB2312"/>
                      <w:sz w:val="24"/>
                    </w:rPr>
                    <w:t>职务，为法定代表人（负责人），特此证明。</w:t>
                  </w:r>
                </w:p>
                <w:p>
                  <w:pPr>
                    <w:snapToGrid w:val="0"/>
                    <w:spacing w:line="480" w:lineRule="atLeast"/>
                    <w:rPr>
                      <w:rFonts w:ascii="仿宋_GB2312" w:eastAsia="仿宋_GB2312"/>
                      <w:sz w:val="24"/>
                      <w:u w:val="single"/>
                    </w:rPr>
                  </w:pPr>
                  <w:r>
                    <w:rPr>
                      <w:rFonts w:hint="eastAsia" w:ascii="仿宋_GB2312" w:eastAsia="仿宋_GB2312"/>
                      <w:sz w:val="24"/>
                    </w:rPr>
                    <w:t>有效期限：</w:t>
                  </w:r>
                </w:p>
                <w:p>
                  <w:pPr>
                    <w:snapToGrid w:val="0"/>
                    <w:spacing w:line="480" w:lineRule="atLeast"/>
                    <w:rPr>
                      <w:rFonts w:ascii="仿宋_GB2312" w:eastAsia="仿宋_GB2312"/>
                      <w:sz w:val="24"/>
                      <w:u w:val="single"/>
                    </w:rPr>
                  </w:pPr>
                  <w:r>
                    <w:rPr>
                      <w:rFonts w:hint="eastAsia" w:ascii="仿宋_GB2312" w:eastAsia="仿宋_GB2312"/>
                      <w:sz w:val="24"/>
                    </w:rPr>
                    <w:t>附：法定代表人（负责人）性别：</w:t>
                  </w:r>
                  <w:r>
                    <w:rPr>
                      <w:rFonts w:hint="eastAsia" w:ascii="仿宋_GB2312" w:eastAsia="仿宋_GB2312"/>
                      <w:sz w:val="24"/>
                      <w:u w:val="single"/>
                    </w:rPr>
                    <w:t>　　</w:t>
                  </w:r>
                  <w:r>
                    <w:rPr>
                      <w:rFonts w:hint="eastAsia" w:ascii="仿宋_GB2312" w:eastAsia="仿宋_GB2312"/>
                      <w:sz w:val="24"/>
                    </w:rPr>
                    <w:t>年龄：</w:t>
                  </w:r>
                  <w:r>
                    <w:rPr>
                      <w:rFonts w:hint="eastAsia" w:ascii="仿宋_GB2312" w:eastAsia="仿宋_GB2312"/>
                      <w:sz w:val="24"/>
                      <w:u w:val="single"/>
                    </w:rPr>
                    <w:t>　　</w:t>
                  </w:r>
                  <w:r>
                    <w:rPr>
                      <w:rFonts w:hint="eastAsia" w:ascii="仿宋_GB2312" w:eastAsia="仿宋_GB2312"/>
                      <w:sz w:val="24"/>
                    </w:rPr>
                    <w:t>身份证号码：</w:t>
                  </w:r>
                </w:p>
                <w:p>
                  <w:pPr>
                    <w:snapToGrid w:val="0"/>
                    <w:spacing w:line="480" w:lineRule="atLeast"/>
                    <w:ind w:firstLine="570"/>
                    <w:rPr>
                      <w:rFonts w:ascii="仿宋_GB2312" w:eastAsia="仿宋_GB2312"/>
                      <w:sz w:val="24"/>
                      <w:u w:val="single"/>
                    </w:rPr>
                  </w:pPr>
                  <w:r>
                    <w:rPr>
                      <w:rFonts w:hint="eastAsia" w:ascii="仿宋_GB2312" w:eastAsia="仿宋_GB2312"/>
                      <w:sz w:val="24"/>
                    </w:rPr>
                    <w:t>注册号码：</w:t>
                  </w:r>
                  <w:r>
                    <w:rPr>
                      <w:rFonts w:hint="eastAsia" w:ascii="仿宋_GB2312" w:eastAsia="仿宋_GB2312"/>
                      <w:sz w:val="24"/>
                      <w:u w:val="single"/>
                    </w:rPr>
                    <w:t>　　　　　　　　　　</w:t>
                  </w:r>
                  <w:r>
                    <w:rPr>
                      <w:rFonts w:hint="eastAsia" w:ascii="仿宋_GB2312" w:eastAsia="仿宋_GB2312"/>
                      <w:sz w:val="24"/>
                    </w:rPr>
                    <w:t>企业类型：</w:t>
                  </w:r>
                </w:p>
                <w:p>
                  <w:pPr>
                    <w:snapToGrid w:val="0"/>
                    <w:spacing w:line="480" w:lineRule="atLeast"/>
                    <w:ind w:firstLine="570"/>
                    <w:rPr>
                      <w:rFonts w:ascii="仿宋_GB2312" w:eastAsia="仿宋_GB2312"/>
                      <w:sz w:val="24"/>
                      <w:u w:val="single"/>
                    </w:rPr>
                  </w:pPr>
                  <w:r>
                    <w:rPr>
                      <w:rFonts w:hint="eastAsia" w:ascii="仿宋_GB2312" w:eastAsia="仿宋_GB2312"/>
                      <w:sz w:val="24"/>
                    </w:rPr>
                    <w:t>经营范围：</w:t>
                  </w:r>
                </w:p>
                <w:p>
                  <w:pPr>
                    <w:snapToGrid w:val="0"/>
                    <w:spacing w:line="480" w:lineRule="atLeast"/>
                    <w:ind w:firstLine="570"/>
                    <w:rPr>
                      <w:rFonts w:ascii="仿宋_GB2312" w:eastAsia="仿宋_GB2312"/>
                      <w:sz w:val="24"/>
                    </w:rPr>
                  </w:pPr>
                  <w:r>
                    <w:rPr>
                      <w:rFonts w:hint="eastAsia" w:ascii="仿宋_GB2312" w:eastAsia="仿宋_GB2312"/>
                      <w:sz w:val="24"/>
                      <w:u w:val="single"/>
                    </w:rPr>
                    <w:t>　　　　　　　　　　　　　　　　</w:t>
                  </w:r>
                  <w:r>
                    <w:rPr>
                      <w:rFonts w:hint="eastAsia" w:ascii="仿宋_GB2312" w:eastAsia="仿宋_GB2312"/>
                      <w:sz w:val="24"/>
                    </w:rPr>
                    <w:t>单位：　　　 （盖章）</w:t>
                  </w:r>
                </w:p>
                <w:p>
                  <w:pPr>
                    <w:snapToGrid w:val="0"/>
                    <w:spacing w:after="100" w:afterAutospacing="1" w:line="480" w:lineRule="atLeast"/>
                    <w:ind w:firstLine="573"/>
                    <w:rPr>
                      <w:rFonts w:ascii="仿宋_GB2312" w:eastAsia="仿宋_GB2312"/>
                      <w:sz w:val="24"/>
                    </w:rPr>
                  </w:pPr>
                  <w:r>
                    <w:rPr>
                      <w:rFonts w:hint="eastAsia" w:ascii="仿宋_GB2312" w:eastAsia="仿宋_GB2312"/>
                      <w:sz w:val="24"/>
                      <w:u w:val="single"/>
                    </w:rPr>
                    <w:t>　　　　　　　　　　　　　　　　</w:t>
                  </w:r>
                  <w:r>
                    <w:rPr>
                      <w:rFonts w:hint="eastAsia" w:ascii="仿宋_GB2312" w:eastAsia="仿宋_GB2312"/>
                      <w:sz w:val="24"/>
                    </w:rPr>
                    <w:t>　　　　　    年　月　　日</w:t>
                  </w:r>
                </w:p>
              </w:txbxContent>
            </v:textbox>
          </v:shape>
        </w:pic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pageBreakBefore/>
        <w:spacing w:line="360" w:lineRule="auto"/>
        <w:rPr>
          <w:rFonts w:ascii="宋体" w:hAnsi="宋体"/>
          <w:sz w:val="24"/>
        </w:rPr>
      </w:pPr>
      <w:bookmarkStart w:id="16" w:name="_Toc229301229"/>
      <w:r>
        <w:rPr>
          <w:rFonts w:hint="eastAsia" w:ascii="宋体" w:hAnsi="宋体"/>
          <w:sz w:val="24"/>
        </w:rPr>
        <w:t>附件三：授权委托书</w:t>
      </w:r>
      <w:bookmarkEnd w:id="16"/>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b/>
          <w:sz w:val="24"/>
        </w:rPr>
      </w:pPr>
      <w:r>
        <w:rPr>
          <w:rFonts w:hint="eastAsia" w:ascii="宋体" w:hAnsi="宋体"/>
          <w:b/>
          <w:sz w:val="24"/>
        </w:rPr>
        <w:t>授权委托书</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__（招标单位）：</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兹_________（姓名）职务：________为我方的委托代理人，代表我方参与</w:t>
      </w:r>
      <w:r>
        <w:rPr>
          <w:rFonts w:hint="eastAsia" w:ascii="宋体" w:hAnsi="宋体"/>
          <w:sz w:val="24"/>
          <w:u w:val="single"/>
        </w:rPr>
        <w:t>国贸中心设施设备第三方机构评估服务招标</w:t>
      </w:r>
      <w:r>
        <w:rPr>
          <w:rFonts w:hint="eastAsia" w:ascii="宋体" w:hAnsi="宋体"/>
          <w:sz w:val="24"/>
        </w:rPr>
        <w:t>过程中的投标、谈判及签约等具体工作，并签署所有有关文件材料、协议和合同。</w:t>
      </w:r>
    </w:p>
    <w:p>
      <w:pPr>
        <w:spacing w:line="360" w:lineRule="auto"/>
        <w:ind w:firstLine="420"/>
        <w:rPr>
          <w:rFonts w:ascii="宋体" w:hAnsi="宋体"/>
          <w:sz w:val="24"/>
        </w:rPr>
      </w:pPr>
      <w:r>
        <w:rPr>
          <w:rFonts w:hint="eastAsia" w:ascii="宋体" w:hAnsi="宋体"/>
          <w:sz w:val="24"/>
        </w:rPr>
        <w:t>我方对上述被委托人的行为承担全部责任。</w:t>
      </w:r>
    </w:p>
    <w:p>
      <w:pPr>
        <w:spacing w:line="360" w:lineRule="auto"/>
        <w:ind w:firstLine="420"/>
        <w:rPr>
          <w:rFonts w:ascii="宋体" w:hAnsi="宋体"/>
          <w:sz w:val="24"/>
        </w:rPr>
      </w:pPr>
      <w:r>
        <w:rPr>
          <w:rFonts w:hint="eastAsia" w:ascii="宋体" w:hAnsi="宋体"/>
          <w:sz w:val="24"/>
        </w:rPr>
        <w:t>除非以书面形式通知你方撤消本授权，否则本授权委托书有效期将至评标结束，或如果我方被确定为中标单位，将持续到合同签订生效为止。无论本授权委托书撤消或有效期届满，均不影响被授权人在被授权期间所签订的任何文件材料的有效性。</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  标  人：__________________________________（全称、盖章）</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委托代理人：__________________________________（签字）</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职      务：__________________________________</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身份证号码：__________________________________</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联系电话：__________________________________</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日      期：__________________________________</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附件四：技术规格及商务响应表（投标人应针对下表中体现的招标要求逐条说明投标响应情况、投标响应对应的页码以及偏离说明）</w:t>
      </w:r>
    </w:p>
    <w:tbl>
      <w:tblPr>
        <w:tblStyle w:val="36"/>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851"/>
        <w:gridCol w:w="567"/>
        <w:gridCol w:w="4536"/>
        <w:gridCol w:w="709"/>
        <w:gridCol w:w="70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6527"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rPr>
            </w:pPr>
            <w:r>
              <w:rPr>
                <w:rFonts w:hint="eastAsia" w:ascii="宋体" w:hAnsi="宋体" w:cs="宋体"/>
              </w:rPr>
              <w:t>招标要求</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rPr>
            </w:pPr>
            <w:r>
              <w:rPr>
                <w:rFonts w:hint="eastAsia" w:ascii="宋体" w:hAnsi="宋体" w:cs="宋体"/>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573" w:type="dxa"/>
            <w:tcBorders>
              <w:top w:val="single" w:color="auto" w:sz="4" w:space="0"/>
              <w:left w:val="single" w:color="auto" w:sz="4" w:space="0"/>
              <w:bottom w:val="single" w:color="auto" w:sz="4" w:space="0"/>
              <w:right w:val="single" w:color="auto" w:sz="4" w:space="0"/>
            </w:tcBorders>
            <w:textDirection w:val="tbRlV"/>
            <w:vAlign w:val="center"/>
          </w:tcPr>
          <w:p>
            <w:pPr>
              <w:spacing w:line="380" w:lineRule="exact"/>
              <w:ind w:left="113" w:right="113"/>
              <w:jc w:val="center"/>
              <w:rPr>
                <w:rFonts w:ascii="宋体" w:hAnsi="宋体" w:cs="宋体"/>
                <w:szCs w:val="21"/>
              </w:rPr>
            </w:pPr>
            <w:r>
              <w:rPr>
                <w:rFonts w:hint="eastAsia" w:ascii="宋体" w:hAnsi="宋体" w:cs="宋体"/>
                <w:szCs w:val="21"/>
              </w:rPr>
              <w:t>招 标 编 号</w:t>
            </w:r>
          </w:p>
        </w:tc>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招标项目名称</w:t>
            </w:r>
          </w:p>
        </w:tc>
        <w:tc>
          <w:tcPr>
            <w:tcW w:w="567" w:type="dxa"/>
            <w:tcBorders>
              <w:top w:val="single" w:color="auto" w:sz="4" w:space="0"/>
              <w:left w:val="single" w:color="auto" w:sz="4" w:space="0"/>
              <w:bottom w:val="single" w:color="auto" w:sz="4" w:space="0"/>
              <w:right w:val="single" w:color="auto" w:sz="4" w:space="0"/>
            </w:tcBorders>
            <w:vAlign w:val="center"/>
          </w:tcPr>
          <w:p>
            <w:pPr>
              <w:spacing w:line="380" w:lineRule="exact"/>
              <w:ind w:left="113" w:right="113"/>
              <w:jc w:val="center"/>
              <w:rPr>
                <w:rFonts w:ascii="宋体" w:hAnsi="宋体" w:cs="宋体"/>
                <w:szCs w:val="21"/>
              </w:rPr>
            </w:pPr>
            <w:r>
              <w:rPr>
                <w:rFonts w:hint="eastAsia" w:ascii="宋体" w:hAnsi="宋体" w:cs="宋体"/>
                <w:szCs w:val="21"/>
              </w:rPr>
              <w:t>规格条目号</w:t>
            </w:r>
          </w:p>
        </w:tc>
        <w:tc>
          <w:tcPr>
            <w:tcW w:w="453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招标文件要求</w:t>
            </w:r>
          </w:p>
        </w:tc>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投标响应情况</w:t>
            </w:r>
          </w:p>
        </w:tc>
        <w:tc>
          <w:tcPr>
            <w:tcW w:w="70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投标响应对应的页码</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573" w:type="dxa"/>
            <w:vMerge w:val="restart"/>
            <w:tcBorders>
              <w:top w:val="single" w:color="auto" w:sz="4" w:space="0"/>
              <w:left w:val="single" w:color="auto" w:sz="4" w:space="0"/>
              <w:right w:val="single" w:color="auto" w:sz="4" w:space="0"/>
            </w:tcBorders>
            <w:vAlign w:val="center"/>
          </w:tcPr>
          <w:p>
            <w:pPr>
              <w:spacing w:line="380" w:lineRule="exact"/>
              <w:jc w:val="center"/>
              <w:rPr>
                <w:rFonts w:ascii="宋体" w:hAnsi="宋体" w:cs="宋体"/>
              </w:rPr>
            </w:pPr>
          </w:p>
        </w:tc>
        <w:tc>
          <w:tcPr>
            <w:tcW w:w="851" w:type="dxa"/>
            <w:vMerge w:val="restart"/>
            <w:tcBorders>
              <w:top w:val="single" w:color="auto" w:sz="4" w:space="0"/>
              <w:left w:val="single" w:color="auto" w:sz="4" w:space="0"/>
              <w:right w:val="single" w:color="auto" w:sz="4" w:space="0"/>
            </w:tcBorders>
            <w:vAlign w:val="center"/>
          </w:tcPr>
          <w:p>
            <w:pPr>
              <w:spacing w:line="380" w:lineRule="exact"/>
              <w:jc w:val="center"/>
              <w:rPr>
                <w:rFonts w:ascii="宋体" w:hAnsi="宋体" w:cs="宋体"/>
              </w:rPr>
            </w:pPr>
            <w:r>
              <w:rPr>
                <w:rFonts w:hint="eastAsia" w:ascii="宋体" w:hAnsi="宋体" w:cs="宋体"/>
              </w:rPr>
              <w:t>国贸中心设施设备第三方机构评估服务</w:t>
            </w:r>
          </w:p>
        </w:tc>
        <w:tc>
          <w:tcPr>
            <w:tcW w:w="56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4536" w:type="dxa"/>
            <w:tcBorders>
              <w:top w:val="single" w:color="auto" w:sz="4" w:space="0"/>
              <w:left w:val="single" w:color="auto" w:sz="4" w:space="0"/>
              <w:bottom w:val="single" w:color="auto" w:sz="4" w:space="0"/>
              <w:right w:val="single" w:color="auto" w:sz="4" w:space="0"/>
            </w:tcBorders>
            <w:vAlign w:val="center"/>
          </w:tcPr>
          <w:p>
            <w:pPr>
              <w:tabs>
                <w:tab w:val="left" w:pos="5130"/>
              </w:tabs>
              <w:spacing w:line="360" w:lineRule="auto"/>
              <w:rPr>
                <w:rFonts w:ascii="宋体" w:hAnsi="宋体" w:cs="宋体"/>
                <w:color w:val="FF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573"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851"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4536"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firstLine="0"/>
              <w:rPr>
                <w:rFonts w:ascii="宋体" w:hAnsi="宋体" w:cs="宋体"/>
                <w:spacing w:val="-6"/>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573"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851"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4536"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firstLine="0"/>
              <w:rPr>
                <w:rFonts w:ascii="宋体" w:hAnsi="宋体" w:cs="宋体"/>
                <w:spacing w:val="-6"/>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573"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851"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pacing w:val="-6"/>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573"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851"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pacing w:val="-6"/>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573"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851"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pacing w:val="-6"/>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573"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851"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pacing w:val="-6"/>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573"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851"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pacing w:val="-6"/>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573"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851"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pacing w:val="-6"/>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573"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851"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pacing w:val="-6"/>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573"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851"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pacing w:val="-6"/>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573"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851"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pacing w:val="-6"/>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573"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851"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4536"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firstLine="0"/>
              <w:rPr>
                <w:rFonts w:ascii="宋体" w:hAnsi="宋体" w:cs="宋体"/>
                <w:spacing w:val="-6"/>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573"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851" w:type="dxa"/>
            <w:vMerge w:val="continue"/>
            <w:tcBorders>
              <w:left w:val="single" w:color="auto" w:sz="4" w:space="0"/>
              <w:right w:val="single" w:color="auto" w:sz="4" w:space="0"/>
            </w:tcBorders>
            <w:vAlign w:val="center"/>
          </w:tcPr>
          <w:p>
            <w:pPr>
              <w:spacing w:line="380" w:lineRule="exact"/>
              <w:jc w:val="center"/>
              <w:rPr>
                <w:rFonts w:ascii="宋体" w:hAnsi="宋体" w:cs="宋体"/>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4536" w:type="dxa"/>
            <w:tcBorders>
              <w:top w:val="single" w:color="auto" w:sz="4" w:space="0"/>
              <w:left w:val="single" w:color="auto" w:sz="4" w:space="0"/>
              <w:bottom w:val="single" w:color="auto" w:sz="4" w:space="0"/>
              <w:right w:val="single" w:color="auto" w:sz="4" w:space="0"/>
            </w:tcBorders>
            <w:vAlign w:val="center"/>
          </w:tcPr>
          <w:p>
            <w:pPr>
              <w:tabs>
                <w:tab w:val="left" w:pos="5130"/>
              </w:tabs>
              <w:spacing w:line="360" w:lineRule="auto"/>
              <w:rPr>
                <w:rFonts w:ascii="宋体" w:hAnsi="宋体" w:cs="宋体"/>
                <w:spacing w:val="-6"/>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rPr>
            </w:pPr>
          </w:p>
        </w:tc>
      </w:tr>
    </w:tbl>
    <w:p>
      <w:pPr>
        <w:pageBreakBefore/>
        <w:spacing w:line="360" w:lineRule="auto"/>
        <w:rPr>
          <w:rFonts w:ascii="宋体" w:hAnsi="宋体"/>
          <w:sz w:val="24"/>
        </w:rPr>
      </w:pPr>
      <w:r>
        <w:rPr>
          <w:rFonts w:hint="eastAsia" w:ascii="宋体" w:hAnsi="宋体"/>
          <w:sz w:val="24"/>
        </w:rPr>
        <w:t>附件五：</w:t>
      </w:r>
      <w:bookmarkStart w:id="17" w:name="_Toc229544229"/>
      <w:r>
        <w:rPr>
          <w:rFonts w:hint="eastAsia" w:ascii="宋体" w:hAnsi="宋体"/>
          <w:sz w:val="24"/>
        </w:rPr>
        <w:t>合同内容响应表</w:t>
      </w:r>
      <w:bookmarkEnd w:id="17"/>
    </w:p>
    <w:p>
      <w:pPr>
        <w:spacing w:line="360" w:lineRule="auto"/>
        <w:jc w:val="center"/>
        <w:rPr>
          <w:rFonts w:ascii="宋体" w:hAnsi="宋体"/>
          <w:b/>
          <w:szCs w:val="21"/>
        </w:rPr>
      </w:pPr>
      <w:r>
        <w:rPr>
          <w:rFonts w:hint="eastAsia" w:ascii="宋体" w:hAnsi="宋体"/>
          <w:b/>
          <w:szCs w:val="21"/>
        </w:rPr>
        <w:t>合同内容响应表</w:t>
      </w:r>
    </w:p>
    <w:p>
      <w:pPr>
        <w:spacing w:line="360" w:lineRule="auto"/>
        <w:rPr>
          <w:rFonts w:ascii="宋体" w:hAnsi="宋体"/>
          <w:szCs w:val="21"/>
          <w:u w:val="single"/>
        </w:rPr>
      </w:pPr>
      <w:r>
        <w:rPr>
          <w:rFonts w:hint="eastAsia" w:ascii="宋体" w:hAnsi="宋体"/>
          <w:szCs w:val="21"/>
        </w:rPr>
        <w:t>项目</w:t>
      </w:r>
      <w:r>
        <w:rPr>
          <w:rFonts w:ascii="宋体" w:hAnsi="宋体"/>
          <w:szCs w:val="21"/>
        </w:rPr>
        <w:t>名称：</w:t>
      </w:r>
    </w:p>
    <w:tbl>
      <w:tblPr>
        <w:tblStyle w:val="3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253"/>
        <w:gridCol w:w="4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Align w:val="center"/>
          </w:tcPr>
          <w:p>
            <w:pPr>
              <w:spacing w:line="360" w:lineRule="auto"/>
              <w:jc w:val="center"/>
              <w:rPr>
                <w:rFonts w:ascii="宋体" w:hAnsi="宋体"/>
                <w:szCs w:val="21"/>
              </w:rPr>
            </w:pPr>
            <w:r>
              <w:rPr>
                <w:rFonts w:hint="eastAsia" w:ascii="宋体" w:hAnsi="宋体"/>
                <w:szCs w:val="21"/>
              </w:rPr>
              <w:t>序号</w:t>
            </w:r>
          </w:p>
        </w:tc>
        <w:tc>
          <w:tcPr>
            <w:tcW w:w="4253" w:type="dxa"/>
            <w:vAlign w:val="center"/>
          </w:tcPr>
          <w:p>
            <w:pPr>
              <w:spacing w:line="360" w:lineRule="auto"/>
              <w:jc w:val="center"/>
              <w:rPr>
                <w:rFonts w:ascii="宋体" w:hAnsi="宋体"/>
                <w:szCs w:val="21"/>
              </w:rPr>
            </w:pPr>
            <w:r>
              <w:rPr>
                <w:rFonts w:hint="eastAsia" w:ascii="宋体" w:hAnsi="宋体"/>
                <w:szCs w:val="21"/>
              </w:rPr>
              <w:t>招标</w:t>
            </w:r>
            <w:r>
              <w:rPr>
                <w:rFonts w:ascii="宋体" w:hAnsi="宋体"/>
                <w:szCs w:val="21"/>
              </w:rPr>
              <w:t>人</w:t>
            </w:r>
            <w:r>
              <w:rPr>
                <w:rFonts w:hint="eastAsia" w:ascii="宋体" w:hAnsi="宋体"/>
                <w:szCs w:val="21"/>
              </w:rPr>
              <w:t>合同版本</w:t>
            </w:r>
            <w:r>
              <w:rPr>
                <w:rFonts w:ascii="宋体" w:hAnsi="宋体"/>
                <w:szCs w:val="21"/>
              </w:rPr>
              <w:t>原</w:t>
            </w:r>
            <w:r>
              <w:rPr>
                <w:rFonts w:hint="eastAsia" w:ascii="宋体" w:hAnsi="宋体"/>
                <w:szCs w:val="21"/>
              </w:rPr>
              <w:t>内容</w:t>
            </w:r>
          </w:p>
        </w:tc>
        <w:tc>
          <w:tcPr>
            <w:tcW w:w="4075" w:type="dxa"/>
            <w:vAlign w:val="center"/>
          </w:tcPr>
          <w:p>
            <w:pPr>
              <w:spacing w:line="360" w:lineRule="auto"/>
              <w:jc w:val="center"/>
              <w:rPr>
                <w:rFonts w:ascii="宋体" w:hAnsi="宋体"/>
                <w:szCs w:val="21"/>
              </w:rPr>
            </w:pPr>
            <w:r>
              <w:rPr>
                <w:rFonts w:hint="eastAsia" w:ascii="宋体" w:hAnsi="宋体"/>
                <w:szCs w:val="21"/>
              </w:rPr>
              <w:t>投标</w:t>
            </w:r>
            <w:r>
              <w:rPr>
                <w:rFonts w:ascii="宋体" w:hAnsi="宋体"/>
                <w:szCs w:val="21"/>
              </w:rPr>
              <w:t>人</w:t>
            </w:r>
            <w:r>
              <w:rPr>
                <w:rFonts w:hint="eastAsia" w:ascii="宋体" w:hAnsi="宋体"/>
                <w:szCs w:val="21"/>
              </w:rPr>
              <w:t>建议修改后</w:t>
            </w:r>
            <w:r>
              <w:rPr>
                <w:rFonts w:ascii="宋体" w:hAnsi="宋体"/>
                <w:szCs w:val="21"/>
              </w:rPr>
              <w:t>的条款内容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Align w:val="center"/>
          </w:tcPr>
          <w:p>
            <w:pPr>
              <w:spacing w:line="360" w:lineRule="auto"/>
              <w:jc w:val="center"/>
              <w:rPr>
                <w:rFonts w:ascii="宋体" w:hAnsi="宋体"/>
                <w:szCs w:val="21"/>
              </w:rPr>
            </w:pPr>
          </w:p>
        </w:tc>
        <w:tc>
          <w:tcPr>
            <w:tcW w:w="4253" w:type="dxa"/>
            <w:vAlign w:val="center"/>
          </w:tcPr>
          <w:p>
            <w:pPr>
              <w:spacing w:line="360" w:lineRule="auto"/>
              <w:jc w:val="center"/>
              <w:rPr>
                <w:rFonts w:ascii="宋体" w:hAnsi="宋体"/>
                <w:szCs w:val="21"/>
              </w:rPr>
            </w:pPr>
          </w:p>
        </w:tc>
        <w:tc>
          <w:tcPr>
            <w:tcW w:w="407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Align w:val="center"/>
          </w:tcPr>
          <w:p>
            <w:pPr>
              <w:spacing w:line="360" w:lineRule="auto"/>
              <w:jc w:val="center"/>
              <w:rPr>
                <w:rFonts w:ascii="宋体" w:hAnsi="宋体"/>
                <w:szCs w:val="21"/>
              </w:rPr>
            </w:pPr>
          </w:p>
        </w:tc>
        <w:tc>
          <w:tcPr>
            <w:tcW w:w="4253" w:type="dxa"/>
            <w:vAlign w:val="center"/>
          </w:tcPr>
          <w:p>
            <w:pPr>
              <w:spacing w:line="360" w:lineRule="auto"/>
              <w:jc w:val="center"/>
              <w:rPr>
                <w:rFonts w:ascii="宋体" w:hAnsi="宋体"/>
                <w:szCs w:val="21"/>
              </w:rPr>
            </w:pPr>
          </w:p>
        </w:tc>
        <w:tc>
          <w:tcPr>
            <w:tcW w:w="407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Align w:val="center"/>
          </w:tcPr>
          <w:p>
            <w:pPr>
              <w:spacing w:line="360" w:lineRule="auto"/>
              <w:jc w:val="center"/>
              <w:rPr>
                <w:rFonts w:ascii="宋体" w:hAnsi="宋体"/>
                <w:szCs w:val="21"/>
              </w:rPr>
            </w:pPr>
          </w:p>
        </w:tc>
        <w:tc>
          <w:tcPr>
            <w:tcW w:w="4253" w:type="dxa"/>
            <w:vAlign w:val="center"/>
          </w:tcPr>
          <w:p>
            <w:pPr>
              <w:spacing w:line="360" w:lineRule="auto"/>
              <w:jc w:val="center"/>
              <w:rPr>
                <w:rFonts w:ascii="宋体" w:hAnsi="宋体"/>
                <w:szCs w:val="21"/>
              </w:rPr>
            </w:pPr>
          </w:p>
        </w:tc>
        <w:tc>
          <w:tcPr>
            <w:tcW w:w="407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Align w:val="center"/>
          </w:tcPr>
          <w:p>
            <w:pPr>
              <w:spacing w:line="360" w:lineRule="auto"/>
              <w:jc w:val="center"/>
              <w:rPr>
                <w:rFonts w:ascii="宋体" w:hAnsi="宋体"/>
                <w:szCs w:val="21"/>
              </w:rPr>
            </w:pPr>
          </w:p>
        </w:tc>
        <w:tc>
          <w:tcPr>
            <w:tcW w:w="4253" w:type="dxa"/>
            <w:vAlign w:val="center"/>
          </w:tcPr>
          <w:p>
            <w:pPr>
              <w:spacing w:line="360" w:lineRule="auto"/>
              <w:jc w:val="center"/>
              <w:rPr>
                <w:rFonts w:ascii="宋体" w:hAnsi="宋体"/>
                <w:szCs w:val="21"/>
              </w:rPr>
            </w:pPr>
          </w:p>
        </w:tc>
        <w:tc>
          <w:tcPr>
            <w:tcW w:w="407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Align w:val="center"/>
          </w:tcPr>
          <w:p>
            <w:pPr>
              <w:spacing w:line="360" w:lineRule="auto"/>
              <w:jc w:val="center"/>
              <w:rPr>
                <w:rFonts w:ascii="宋体" w:hAnsi="宋体"/>
                <w:szCs w:val="21"/>
              </w:rPr>
            </w:pPr>
          </w:p>
        </w:tc>
        <w:tc>
          <w:tcPr>
            <w:tcW w:w="4253" w:type="dxa"/>
            <w:vAlign w:val="center"/>
          </w:tcPr>
          <w:p>
            <w:pPr>
              <w:spacing w:line="360" w:lineRule="auto"/>
              <w:jc w:val="center"/>
              <w:rPr>
                <w:rFonts w:ascii="宋体" w:hAnsi="宋体"/>
                <w:szCs w:val="21"/>
              </w:rPr>
            </w:pPr>
          </w:p>
        </w:tc>
        <w:tc>
          <w:tcPr>
            <w:tcW w:w="407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Align w:val="center"/>
          </w:tcPr>
          <w:p>
            <w:pPr>
              <w:spacing w:line="360" w:lineRule="auto"/>
              <w:jc w:val="center"/>
              <w:rPr>
                <w:rFonts w:ascii="宋体" w:hAnsi="宋体"/>
                <w:szCs w:val="21"/>
              </w:rPr>
            </w:pPr>
          </w:p>
        </w:tc>
        <w:tc>
          <w:tcPr>
            <w:tcW w:w="4253" w:type="dxa"/>
            <w:vAlign w:val="center"/>
          </w:tcPr>
          <w:p>
            <w:pPr>
              <w:spacing w:line="360" w:lineRule="auto"/>
              <w:jc w:val="center"/>
              <w:rPr>
                <w:rFonts w:ascii="宋体" w:hAnsi="宋体"/>
                <w:szCs w:val="21"/>
              </w:rPr>
            </w:pPr>
          </w:p>
        </w:tc>
        <w:tc>
          <w:tcPr>
            <w:tcW w:w="407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Align w:val="center"/>
          </w:tcPr>
          <w:p>
            <w:pPr>
              <w:spacing w:line="360" w:lineRule="auto"/>
              <w:jc w:val="center"/>
              <w:rPr>
                <w:rFonts w:ascii="宋体" w:hAnsi="宋体"/>
                <w:szCs w:val="21"/>
              </w:rPr>
            </w:pPr>
          </w:p>
        </w:tc>
        <w:tc>
          <w:tcPr>
            <w:tcW w:w="4253" w:type="dxa"/>
            <w:vAlign w:val="center"/>
          </w:tcPr>
          <w:p>
            <w:pPr>
              <w:spacing w:line="360" w:lineRule="auto"/>
              <w:jc w:val="center"/>
              <w:rPr>
                <w:rFonts w:ascii="宋体" w:hAnsi="宋体"/>
                <w:szCs w:val="21"/>
              </w:rPr>
            </w:pPr>
          </w:p>
        </w:tc>
        <w:tc>
          <w:tcPr>
            <w:tcW w:w="407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Align w:val="center"/>
          </w:tcPr>
          <w:p>
            <w:pPr>
              <w:spacing w:line="360" w:lineRule="auto"/>
              <w:jc w:val="center"/>
              <w:rPr>
                <w:rFonts w:ascii="宋体" w:hAnsi="宋体"/>
                <w:szCs w:val="21"/>
              </w:rPr>
            </w:pPr>
          </w:p>
        </w:tc>
        <w:tc>
          <w:tcPr>
            <w:tcW w:w="4253" w:type="dxa"/>
            <w:vAlign w:val="center"/>
          </w:tcPr>
          <w:p>
            <w:pPr>
              <w:spacing w:line="360" w:lineRule="auto"/>
              <w:jc w:val="center"/>
              <w:rPr>
                <w:rFonts w:ascii="宋体" w:hAnsi="宋体"/>
                <w:szCs w:val="21"/>
              </w:rPr>
            </w:pPr>
          </w:p>
        </w:tc>
        <w:tc>
          <w:tcPr>
            <w:tcW w:w="407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vAlign w:val="center"/>
          </w:tcPr>
          <w:p>
            <w:pPr>
              <w:spacing w:line="360" w:lineRule="auto"/>
              <w:jc w:val="center"/>
              <w:rPr>
                <w:rFonts w:ascii="宋体" w:hAnsi="宋体"/>
                <w:szCs w:val="21"/>
              </w:rPr>
            </w:pPr>
          </w:p>
        </w:tc>
        <w:tc>
          <w:tcPr>
            <w:tcW w:w="4253" w:type="dxa"/>
            <w:vAlign w:val="center"/>
          </w:tcPr>
          <w:p>
            <w:pPr>
              <w:spacing w:line="360" w:lineRule="auto"/>
              <w:jc w:val="center"/>
              <w:rPr>
                <w:rFonts w:ascii="宋体" w:hAnsi="宋体"/>
                <w:szCs w:val="21"/>
              </w:rPr>
            </w:pPr>
          </w:p>
        </w:tc>
        <w:tc>
          <w:tcPr>
            <w:tcW w:w="4075" w:type="dxa"/>
            <w:vAlign w:val="center"/>
          </w:tcPr>
          <w:p>
            <w:pPr>
              <w:spacing w:line="360" w:lineRule="auto"/>
              <w:jc w:val="center"/>
              <w:rPr>
                <w:rFonts w:ascii="宋体" w:hAnsi="宋体"/>
                <w:szCs w:val="21"/>
              </w:rPr>
            </w:pPr>
          </w:p>
        </w:tc>
      </w:tr>
    </w:tbl>
    <w:p>
      <w:pPr>
        <w:spacing w:line="360" w:lineRule="auto"/>
        <w:rPr>
          <w:rFonts w:ascii="宋体" w:hAnsi="宋体"/>
          <w:szCs w:val="21"/>
        </w:rPr>
      </w:pPr>
    </w:p>
    <w:p>
      <w:pPr>
        <w:spacing w:line="360" w:lineRule="auto"/>
        <w:rPr>
          <w:rFonts w:ascii="宋体" w:hAnsi="宋体"/>
          <w:szCs w:val="21"/>
        </w:rPr>
      </w:pPr>
      <w:r>
        <w:rPr>
          <w:rFonts w:hint="eastAsia" w:ascii="宋体" w:hAnsi="宋体"/>
          <w:b/>
          <w:sz w:val="24"/>
        </w:rPr>
        <w:t>说明：合同内容响应表作为投标文件的一部分，投标人对合同内容的响应程度，将作为评标结果的重要参考之一，在评议标过程中，招标人将与有修改条款的投标单位进行协商，如投标单位坚持修改相关条款，招标人根据接受情况，综合考虑进行定标</w:t>
      </w:r>
      <w:r>
        <w:rPr>
          <w:rFonts w:hint="eastAsia" w:ascii="宋体" w:hAnsi="宋体"/>
          <w:sz w:val="24"/>
        </w:rPr>
        <w:t>。</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     标     人：_____________________（全称、盖章）</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法定或授权代表人：_____________________（签字）</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日            期：_____________________ </w:t>
      </w:r>
    </w:p>
    <w:p>
      <w:pPr>
        <w:spacing w:line="360" w:lineRule="auto"/>
        <w:rPr>
          <w:rFonts w:ascii="宋体" w:hAnsi="宋体"/>
          <w:szCs w:val="21"/>
        </w:rPr>
      </w:pPr>
    </w:p>
    <w:p>
      <w:pPr>
        <w:spacing w:line="360" w:lineRule="auto"/>
        <w:rPr>
          <w:rFonts w:ascii="宋体" w:hAnsi="宋体"/>
          <w:szCs w:val="21"/>
        </w:rPr>
      </w:pPr>
    </w:p>
    <w:p>
      <w:pPr>
        <w:pageBreakBefore/>
        <w:widowControl/>
        <w:spacing w:before="75" w:after="75" w:line="360" w:lineRule="auto"/>
        <w:jc w:val="center"/>
        <w:rPr>
          <w:rFonts w:ascii="宋体" w:hAnsi="宋体" w:cs="宋体"/>
          <w:kern w:val="0"/>
          <w:sz w:val="24"/>
        </w:rPr>
      </w:pPr>
      <w:r>
        <w:rPr>
          <w:rFonts w:ascii="宋体" w:hAnsi="宋体" w:cs="宋体"/>
          <w:b/>
          <w:bCs/>
          <w:kern w:val="0"/>
          <w:sz w:val="32"/>
          <w:szCs w:val="32"/>
        </w:rPr>
        <w:t>第六章   拟签合同</w:t>
      </w:r>
      <w:r>
        <w:rPr>
          <w:rFonts w:hint="eastAsia" w:ascii="宋体" w:hAnsi="宋体" w:cs="宋体"/>
          <w:b/>
          <w:bCs/>
          <w:kern w:val="0"/>
          <w:sz w:val="32"/>
          <w:szCs w:val="32"/>
        </w:rPr>
        <w:t>版本</w:t>
      </w:r>
    </w:p>
    <w:p>
      <w:pPr>
        <w:widowControl/>
        <w:spacing w:before="75" w:after="75" w:line="360" w:lineRule="auto"/>
        <w:jc w:val="left"/>
        <w:rPr>
          <w:rFonts w:ascii="宋体" w:hAnsi="宋体" w:cs="宋体"/>
          <w:kern w:val="0"/>
          <w:sz w:val="24"/>
        </w:rPr>
      </w:pPr>
    </w:p>
    <w:p>
      <w:pPr>
        <w:widowControl/>
        <w:spacing w:before="75" w:after="75" w:line="360" w:lineRule="auto"/>
        <w:jc w:val="left"/>
        <w:rPr>
          <w:rFonts w:ascii="宋体" w:hAnsi="宋体" w:cs="宋体"/>
          <w:kern w:val="0"/>
          <w:sz w:val="24"/>
        </w:rPr>
      </w:pPr>
      <w:r>
        <w:rPr>
          <w:rFonts w:ascii="宋体" w:hAnsi="宋体" w:cs="宋体"/>
          <w:kern w:val="0"/>
          <w:sz w:val="24"/>
        </w:rPr>
        <w:t>甲方：</w:t>
      </w:r>
      <w:r>
        <w:rPr>
          <w:rFonts w:ascii="宋体" w:hAnsi="宋体" w:cs="宋体"/>
          <w:kern w:val="0"/>
          <w:sz w:val="24"/>
          <w:u w:val="single"/>
        </w:rPr>
        <w:t>（填写招标单位全称）</w:t>
      </w:r>
    </w:p>
    <w:p>
      <w:pPr>
        <w:widowControl/>
        <w:spacing w:before="75" w:after="75" w:line="360" w:lineRule="auto"/>
        <w:jc w:val="left"/>
        <w:rPr>
          <w:rFonts w:ascii="宋体" w:hAnsi="宋体" w:cs="宋体"/>
          <w:kern w:val="0"/>
          <w:sz w:val="24"/>
        </w:rPr>
      </w:pPr>
      <w:r>
        <w:rPr>
          <w:rFonts w:ascii="宋体" w:hAnsi="宋体" w:cs="宋体"/>
          <w:kern w:val="0"/>
          <w:sz w:val="24"/>
        </w:rPr>
        <w:t>乙方：</w:t>
      </w:r>
      <w:r>
        <w:rPr>
          <w:rFonts w:ascii="宋体" w:hAnsi="宋体" w:cs="宋体"/>
          <w:kern w:val="0"/>
          <w:sz w:val="24"/>
          <w:u w:val="single"/>
        </w:rPr>
        <w:t>（填写中标</w:t>
      </w:r>
      <w:r>
        <w:rPr>
          <w:rFonts w:hint="eastAsia" w:ascii="宋体" w:hAnsi="宋体" w:cs="宋体"/>
          <w:kern w:val="0"/>
          <w:sz w:val="24"/>
          <w:u w:val="single"/>
        </w:rPr>
        <w:t>单位</w:t>
      </w:r>
      <w:r>
        <w:rPr>
          <w:rFonts w:ascii="宋体" w:hAnsi="宋体" w:cs="宋体"/>
          <w:kern w:val="0"/>
          <w:sz w:val="24"/>
          <w:u w:val="single"/>
        </w:rPr>
        <w:t>全称）</w:t>
      </w:r>
    </w:p>
    <w:p>
      <w:pPr>
        <w:widowControl/>
        <w:spacing w:before="75" w:after="75" w:line="360" w:lineRule="auto"/>
        <w:jc w:val="left"/>
        <w:rPr>
          <w:rFonts w:ascii="宋体" w:hAnsi="宋体" w:cs="宋体"/>
          <w:kern w:val="0"/>
          <w:sz w:val="24"/>
        </w:rPr>
      </w:pPr>
      <w:r>
        <w:rPr>
          <w:rFonts w:ascii="宋体" w:hAnsi="宋体" w:cs="宋体"/>
          <w:kern w:val="0"/>
          <w:sz w:val="24"/>
        </w:rPr>
        <w:t> </w:t>
      </w:r>
    </w:p>
    <w:p>
      <w:pPr>
        <w:widowControl/>
        <w:spacing w:before="75" w:after="75" w:line="360" w:lineRule="auto"/>
        <w:ind w:firstLine="480"/>
        <w:jc w:val="left"/>
        <w:rPr>
          <w:rFonts w:ascii="宋体" w:hAnsi="宋体" w:cs="宋体"/>
          <w:kern w:val="0"/>
          <w:sz w:val="24"/>
        </w:rPr>
      </w:pPr>
      <w:r>
        <w:rPr>
          <w:rFonts w:ascii="宋体" w:hAnsi="宋体" w:cs="宋体"/>
          <w:kern w:val="0"/>
          <w:sz w:val="24"/>
        </w:rPr>
        <w:t>根据招标编号为</w:t>
      </w:r>
      <w:r>
        <w:rPr>
          <w:rFonts w:ascii="宋体" w:hAnsi="宋体" w:cs="宋体"/>
          <w:kern w:val="0"/>
          <w:sz w:val="24"/>
          <w:u w:val="single"/>
        </w:rPr>
        <w:t>            </w:t>
      </w:r>
      <w:r>
        <w:rPr>
          <w:rFonts w:ascii="宋体" w:hAnsi="宋体" w:cs="宋体"/>
          <w:kern w:val="0"/>
          <w:sz w:val="24"/>
        </w:rPr>
        <w:t>的</w:t>
      </w:r>
      <w:r>
        <w:rPr>
          <w:rFonts w:ascii="宋体" w:hAnsi="宋体" w:cs="宋体"/>
          <w:kern w:val="0"/>
          <w:sz w:val="24"/>
          <w:u w:val="single"/>
        </w:rPr>
        <w:t>（填写“项目名称”）</w:t>
      </w:r>
      <w:r>
        <w:rPr>
          <w:rFonts w:ascii="宋体" w:hAnsi="宋体" w:cs="宋体"/>
          <w:kern w:val="0"/>
          <w:sz w:val="24"/>
        </w:rPr>
        <w:t>项目（以下简称：“本项目”）的招标结果，乙方为中标人。现经甲乙双方友好协商，就以下事项达成一致并签订本合同：</w:t>
      </w:r>
    </w:p>
    <w:p>
      <w:pPr>
        <w:widowControl/>
        <w:spacing w:before="75" w:after="75" w:line="360" w:lineRule="auto"/>
        <w:ind w:firstLine="480"/>
        <w:jc w:val="left"/>
        <w:rPr>
          <w:rFonts w:ascii="宋体" w:hAnsi="宋体" w:cs="宋体"/>
          <w:kern w:val="0"/>
          <w:sz w:val="24"/>
        </w:rPr>
      </w:pPr>
      <w:r>
        <w:rPr>
          <w:rFonts w:ascii="宋体" w:hAnsi="宋体" w:cs="宋体"/>
          <w:kern w:val="0"/>
          <w:sz w:val="24"/>
        </w:rPr>
        <w:t>1、下列合同文件是构成本合同不可分割的部分：</w:t>
      </w:r>
    </w:p>
    <w:p>
      <w:pPr>
        <w:widowControl/>
        <w:spacing w:before="75" w:after="75" w:line="360" w:lineRule="auto"/>
        <w:ind w:firstLine="480"/>
        <w:jc w:val="left"/>
        <w:rPr>
          <w:rFonts w:ascii="宋体" w:hAnsi="宋体" w:cs="宋体"/>
          <w:kern w:val="0"/>
          <w:sz w:val="24"/>
        </w:rPr>
      </w:pPr>
      <w:r>
        <w:rPr>
          <w:rFonts w:ascii="宋体" w:hAnsi="宋体" w:cs="宋体"/>
          <w:kern w:val="0"/>
          <w:sz w:val="24"/>
        </w:rPr>
        <w:t>1.1合同条款；</w:t>
      </w:r>
    </w:p>
    <w:p>
      <w:pPr>
        <w:widowControl/>
        <w:spacing w:before="75" w:after="75" w:line="360" w:lineRule="auto"/>
        <w:ind w:firstLine="480"/>
        <w:jc w:val="left"/>
        <w:rPr>
          <w:rFonts w:ascii="宋体" w:hAnsi="宋体" w:cs="宋体"/>
          <w:kern w:val="0"/>
          <w:sz w:val="24"/>
        </w:rPr>
      </w:pPr>
      <w:r>
        <w:rPr>
          <w:rFonts w:ascii="宋体" w:hAnsi="宋体" w:cs="宋体"/>
          <w:kern w:val="0"/>
          <w:sz w:val="24"/>
        </w:rPr>
        <w:t>1.2招标文件、乙方的投标文件；</w:t>
      </w:r>
    </w:p>
    <w:p>
      <w:pPr>
        <w:widowControl/>
        <w:spacing w:before="75" w:after="75" w:line="360" w:lineRule="auto"/>
        <w:ind w:firstLine="480"/>
        <w:jc w:val="left"/>
        <w:rPr>
          <w:rFonts w:ascii="宋体" w:hAnsi="宋体" w:cs="宋体"/>
          <w:kern w:val="0"/>
          <w:sz w:val="24"/>
        </w:rPr>
      </w:pPr>
      <w:r>
        <w:rPr>
          <w:rFonts w:ascii="宋体" w:hAnsi="宋体" w:cs="宋体"/>
          <w:kern w:val="0"/>
          <w:sz w:val="24"/>
        </w:rPr>
        <w:t>1.3其他文件或材料：无。</w:t>
      </w:r>
    </w:p>
    <w:p>
      <w:pPr>
        <w:widowControl/>
        <w:spacing w:before="75" w:after="75" w:line="360" w:lineRule="auto"/>
        <w:ind w:firstLine="480"/>
        <w:jc w:val="left"/>
        <w:rPr>
          <w:rFonts w:ascii="宋体" w:hAnsi="宋体" w:cs="宋体"/>
          <w:kern w:val="0"/>
          <w:sz w:val="24"/>
        </w:rPr>
      </w:pPr>
      <w:r>
        <w:rPr>
          <w:rFonts w:ascii="宋体" w:hAnsi="宋体" w:cs="宋体"/>
          <w:kern w:val="0"/>
          <w:sz w:val="24"/>
        </w:rPr>
        <w:t>2、合同标的</w:t>
      </w:r>
    </w:p>
    <w:p>
      <w:pPr>
        <w:widowControl/>
        <w:spacing w:before="75" w:after="75" w:line="360" w:lineRule="auto"/>
        <w:ind w:firstLine="480"/>
        <w:jc w:val="left"/>
        <w:rPr>
          <w:rFonts w:ascii="宋体" w:hAnsi="宋体" w:cs="宋体"/>
          <w:kern w:val="0"/>
          <w:sz w:val="24"/>
        </w:rPr>
      </w:pPr>
      <w:r>
        <w:rPr>
          <w:rFonts w:hint="eastAsia" w:ascii="宋体" w:hAnsi="宋体"/>
          <w:sz w:val="24"/>
        </w:rPr>
        <w:t>国贸中心工程设施设备第三方机构评估服务</w:t>
      </w:r>
      <w:r>
        <w:rPr>
          <w:rFonts w:ascii="宋体" w:hAnsi="宋体" w:cs="宋体"/>
          <w:kern w:val="0"/>
          <w:sz w:val="24"/>
        </w:rPr>
        <w:t>。</w:t>
      </w:r>
    </w:p>
    <w:p>
      <w:pPr>
        <w:widowControl/>
        <w:spacing w:before="75" w:after="75" w:line="360" w:lineRule="auto"/>
        <w:ind w:firstLine="480"/>
        <w:jc w:val="left"/>
        <w:rPr>
          <w:rFonts w:ascii="宋体" w:hAnsi="宋体" w:cs="宋体"/>
          <w:kern w:val="0"/>
          <w:sz w:val="24"/>
        </w:rPr>
      </w:pPr>
      <w:r>
        <w:rPr>
          <w:rFonts w:ascii="宋体" w:hAnsi="宋体" w:cs="宋体"/>
          <w:kern w:val="0"/>
          <w:sz w:val="24"/>
        </w:rPr>
        <w:t>3、合同总金额</w:t>
      </w:r>
    </w:p>
    <w:p>
      <w:pPr>
        <w:widowControl/>
        <w:spacing w:before="75" w:after="75" w:line="360" w:lineRule="auto"/>
        <w:ind w:firstLine="480"/>
        <w:jc w:val="left"/>
        <w:rPr>
          <w:rFonts w:ascii="宋体" w:hAnsi="宋体" w:cs="宋体"/>
          <w:kern w:val="0"/>
          <w:sz w:val="24"/>
        </w:rPr>
      </w:pPr>
      <w:r>
        <w:rPr>
          <w:rFonts w:ascii="宋体" w:hAnsi="宋体" w:cs="宋体"/>
          <w:kern w:val="0"/>
          <w:sz w:val="24"/>
        </w:rPr>
        <w:t>3.1合同总金额为人民币大写：</w:t>
      </w:r>
      <w:r>
        <w:rPr>
          <w:rFonts w:ascii="宋体" w:hAnsi="宋体" w:cs="宋体"/>
          <w:kern w:val="0"/>
          <w:sz w:val="24"/>
          <w:u w:val="single"/>
        </w:rPr>
        <w:t>              </w:t>
      </w:r>
      <w:r>
        <w:rPr>
          <w:rFonts w:ascii="宋体" w:hAnsi="宋体" w:cs="宋体"/>
          <w:kern w:val="0"/>
          <w:sz w:val="24"/>
        </w:rPr>
        <w:t>元（¥</w:t>
      </w:r>
      <w:r>
        <w:rPr>
          <w:rFonts w:ascii="宋体" w:hAnsi="宋体" w:cs="宋体"/>
          <w:kern w:val="0"/>
          <w:sz w:val="24"/>
          <w:u w:val="single"/>
        </w:rPr>
        <w:t>              </w:t>
      </w:r>
      <w:r>
        <w:rPr>
          <w:rFonts w:ascii="宋体" w:hAnsi="宋体" w:cs="宋体"/>
          <w:kern w:val="0"/>
          <w:sz w:val="24"/>
        </w:rPr>
        <w:t>）。</w:t>
      </w:r>
    </w:p>
    <w:p>
      <w:pPr>
        <w:widowControl/>
        <w:spacing w:before="75" w:after="75" w:line="360" w:lineRule="auto"/>
        <w:ind w:firstLine="480"/>
        <w:jc w:val="left"/>
        <w:rPr>
          <w:rFonts w:ascii="宋体" w:hAnsi="宋体" w:cs="宋体"/>
          <w:kern w:val="0"/>
          <w:sz w:val="24"/>
        </w:rPr>
      </w:pPr>
      <w:r>
        <w:rPr>
          <w:rFonts w:hint="eastAsia" w:ascii="宋体" w:hAnsi="宋体" w:cs="宋体"/>
          <w:kern w:val="0"/>
          <w:sz w:val="24"/>
        </w:rPr>
        <w:t>4、</w:t>
      </w:r>
      <w:r>
        <w:rPr>
          <w:rFonts w:ascii="宋体" w:hAnsi="宋体" w:cs="宋体"/>
          <w:kern w:val="0"/>
          <w:sz w:val="24"/>
        </w:rPr>
        <w:t>合同</w:t>
      </w:r>
      <w:r>
        <w:rPr>
          <w:rFonts w:hint="eastAsia" w:ascii="宋体" w:hAnsi="宋体" w:cs="宋体"/>
          <w:kern w:val="0"/>
          <w:sz w:val="24"/>
        </w:rPr>
        <w:t>付款方式</w:t>
      </w:r>
    </w:p>
    <w:p>
      <w:pPr>
        <w:widowControl/>
        <w:spacing w:before="75" w:after="75" w:line="360" w:lineRule="auto"/>
        <w:ind w:firstLine="480"/>
        <w:jc w:val="left"/>
        <w:rPr>
          <w:rFonts w:ascii="宋体" w:hAnsi="宋体" w:cs="宋体"/>
          <w:color w:val="000000" w:themeColor="text1"/>
          <w:kern w:val="0"/>
          <w:sz w:val="24"/>
        </w:rPr>
      </w:pPr>
      <w:r>
        <w:rPr>
          <w:rFonts w:hint="eastAsia" w:ascii="宋体" w:hAnsi="宋体" w:cs="宋体"/>
          <w:color w:val="000000" w:themeColor="text1"/>
          <w:kern w:val="0"/>
          <w:sz w:val="24"/>
        </w:rPr>
        <w:t>4.1第一阶段问题查摆完成，相应检查记录、检查结果提报甲方评审通过后，30个日历日内一次性付款50%，即</w:t>
      </w:r>
      <w:r>
        <w:rPr>
          <w:rFonts w:ascii="宋体" w:hAnsi="宋体" w:cs="宋体"/>
          <w:color w:val="000000" w:themeColor="text1"/>
          <w:kern w:val="0"/>
          <w:sz w:val="24"/>
        </w:rPr>
        <w:t>为人民币大写：</w:t>
      </w:r>
      <w:r>
        <w:rPr>
          <w:rFonts w:ascii="宋体" w:hAnsi="宋体" w:cs="宋体"/>
          <w:color w:val="000000" w:themeColor="text1"/>
          <w:kern w:val="0"/>
          <w:sz w:val="24"/>
          <w:u w:val="single"/>
        </w:rPr>
        <w:t>              </w:t>
      </w:r>
      <w:r>
        <w:rPr>
          <w:rFonts w:ascii="宋体" w:hAnsi="宋体" w:cs="宋体"/>
          <w:color w:val="000000" w:themeColor="text1"/>
          <w:kern w:val="0"/>
          <w:sz w:val="24"/>
        </w:rPr>
        <w:t>元（¥</w:t>
      </w:r>
      <w:r>
        <w:rPr>
          <w:rFonts w:ascii="宋体" w:hAnsi="宋体" w:cs="宋体"/>
          <w:color w:val="000000" w:themeColor="text1"/>
          <w:kern w:val="0"/>
          <w:sz w:val="24"/>
          <w:u w:val="single"/>
        </w:rPr>
        <w:t>              </w:t>
      </w:r>
      <w:r>
        <w:rPr>
          <w:rFonts w:ascii="宋体" w:hAnsi="宋体" w:cs="宋体"/>
          <w:color w:val="000000" w:themeColor="text1"/>
          <w:kern w:val="0"/>
          <w:sz w:val="24"/>
        </w:rPr>
        <w:t>）</w:t>
      </w:r>
      <w:r>
        <w:rPr>
          <w:rFonts w:hint="eastAsia" w:ascii="宋体" w:hAnsi="宋体" w:cs="宋体"/>
          <w:color w:val="000000" w:themeColor="text1"/>
          <w:kern w:val="0"/>
          <w:sz w:val="24"/>
        </w:rPr>
        <w:t>；</w:t>
      </w:r>
    </w:p>
    <w:p>
      <w:pPr>
        <w:widowControl/>
        <w:spacing w:before="75" w:after="75" w:line="360" w:lineRule="auto"/>
        <w:ind w:firstLine="480"/>
        <w:jc w:val="left"/>
        <w:rPr>
          <w:rFonts w:ascii="宋体" w:hAnsi="宋体" w:cs="宋体"/>
          <w:color w:val="000000"/>
          <w:kern w:val="0"/>
          <w:sz w:val="24"/>
        </w:rPr>
      </w:pPr>
      <w:r>
        <w:rPr>
          <w:rFonts w:hint="eastAsia" w:ascii="宋体" w:hAnsi="宋体" w:cs="宋体"/>
          <w:color w:val="000000" w:themeColor="text1"/>
          <w:kern w:val="0"/>
          <w:sz w:val="24"/>
        </w:rPr>
        <w:t>4.2第二阶段改进、提升建议与方案提报甲方验收通过后，30个日历日内一次性付款40%，即</w:t>
      </w:r>
      <w:r>
        <w:rPr>
          <w:rFonts w:ascii="宋体" w:hAnsi="宋体" w:cs="宋体"/>
          <w:color w:val="000000" w:themeColor="text1"/>
          <w:kern w:val="0"/>
          <w:sz w:val="24"/>
        </w:rPr>
        <w:t>为人民币大写：</w:t>
      </w:r>
      <w:r>
        <w:rPr>
          <w:rFonts w:ascii="宋体" w:hAnsi="宋体" w:cs="宋体"/>
          <w:color w:val="000000" w:themeColor="text1"/>
          <w:kern w:val="0"/>
          <w:sz w:val="24"/>
          <w:u w:val="single"/>
        </w:rPr>
        <w:t>              </w:t>
      </w:r>
      <w:r>
        <w:rPr>
          <w:rFonts w:ascii="宋体" w:hAnsi="宋体" w:cs="宋体"/>
          <w:color w:val="000000" w:themeColor="text1"/>
          <w:kern w:val="0"/>
          <w:sz w:val="24"/>
        </w:rPr>
        <w:t>元</w:t>
      </w:r>
      <w:r>
        <w:rPr>
          <w:rFonts w:ascii="宋体" w:hAnsi="宋体" w:cs="宋体"/>
          <w:color w:val="000000"/>
          <w:kern w:val="0"/>
          <w:sz w:val="24"/>
        </w:rPr>
        <w:t>（¥</w:t>
      </w:r>
      <w:r>
        <w:rPr>
          <w:rFonts w:ascii="宋体" w:hAnsi="宋体" w:cs="宋体"/>
          <w:color w:val="000000"/>
          <w:kern w:val="0"/>
          <w:sz w:val="24"/>
          <w:u w:val="single"/>
        </w:rPr>
        <w:t>              </w:t>
      </w:r>
      <w:r>
        <w:rPr>
          <w:rFonts w:ascii="宋体" w:hAnsi="宋体" w:cs="宋体"/>
          <w:color w:val="000000"/>
          <w:kern w:val="0"/>
          <w:sz w:val="24"/>
        </w:rPr>
        <w:t>）</w:t>
      </w:r>
      <w:r>
        <w:rPr>
          <w:rFonts w:hint="eastAsia" w:ascii="宋体" w:hAnsi="宋体" w:cs="宋体"/>
          <w:color w:val="000000"/>
          <w:kern w:val="0"/>
          <w:sz w:val="24"/>
        </w:rPr>
        <w:t>；</w:t>
      </w:r>
    </w:p>
    <w:p>
      <w:pPr>
        <w:widowControl/>
        <w:spacing w:before="75" w:after="75" w:line="360" w:lineRule="auto"/>
        <w:ind w:firstLine="480"/>
        <w:jc w:val="left"/>
        <w:rPr>
          <w:rFonts w:ascii="宋体" w:hAnsi="宋体" w:cs="宋体"/>
          <w:color w:val="000000"/>
          <w:kern w:val="0"/>
          <w:sz w:val="24"/>
        </w:rPr>
      </w:pPr>
      <w:r>
        <w:rPr>
          <w:rFonts w:hint="eastAsia" w:ascii="宋体" w:hAnsi="宋体" w:cs="宋体"/>
          <w:color w:val="000000"/>
          <w:kern w:val="0"/>
          <w:sz w:val="24"/>
        </w:rPr>
        <w:t>4.3合同尾款支付方式：</w:t>
      </w:r>
    </w:p>
    <w:p>
      <w:pPr>
        <w:widowControl/>
        <w:spacing w:before="75" w:after="75" w:line="360" w:lineRule="auto"/>
        <w:ind w:firstLine="480"/>
        <w:jc w:val="left"/>
        <w:rPr>
          <w:rFonts w:ascii="宋体" w:hAnsi="宋体" w:cs="宋体"/>
          <w:color w:val="000000"/>
          <w:kern w:val="0"/>
          <w:sz w:val="24"/>
        </w:rPr>
      </w:pPr>
      <w:r>
        <w:rPr>
          <w:rFonts w:hint="eastAsia" w:ascii="宋体" w:hAnsi="宋体" w:cs="宋体"/>
          <w:color w:val="000000"/>
          <w:kern w:val="0"/>
          <w:sz w:val="24"/>
        </w:rPr>
        <w:t>4.3.1自第二阶段完成付款之日起一年内，甲方有实施</w:t>
      </w:r>
      <w:r>
        <w:rPr>
          <w:rFonts w:ascii="宋体" w:hAnsi="宋体" w:cs="宋体"/>
          <w:color w:val="000000"/>
          <w:kern w:val="0"/>
          <w:sz w:val="24"/>
        </w:rPr>
        <w:t>整改施工</w:t>
      </w:r>
      <w:r>
        <w:rPr>
          <w:rFonts w:hint="eastAsia" w:ascii="宋体" w:hAnsi="宋体" w:cs="宋体"/>
          <w:color w:val="000000"/>
          <w:kern w:val="0"/>
          <w:sz w:val="24"/>
        </w:rPr>
        <w:t>的乙方应派</w:t>
      </w:r>
      <w:r>
        <w:rPr>
          <w:rFonts w:ascii="宋体" w:hAnsi="宋体" w:cs="宋体"/>
          <w:color w:val="000000"/>
          <w:kern w:val="0"/>
          <w:sz w:val="24"/>
        </w:rPr>
        <w:t>专人全程跟进</w:t>
      </w:r>
      <w:r>
        <w:rPr>
          <w:rFonts w:hint="eastAsia" w:ascii="宋体" w:hAnsi="宋体" w:cs="宋体"/>
          <w:color w:val="000000"/>
          <w:kern w:val="0"/>
          <w:sz w:val="24"/>
        </w:rPr>
        <w:t>，</w:t>
      </w:r>
      <w:r>
        <w:rPr>
          <w:rFonts w:ascii="宋体" w:hAnsi="宋体" w:cs="宋体"/>
          <w:color w:val="000000"/>
          <w:kern w:val="0"/>
          <w:sz w:val="24"/>
        </w:rPr>
        <w:t>并提供技术支持服务</w:t>
      </w:r>
      <w:r>
        <w:rPr>
          <w:rFonts w:hint="eastAsia" w:ascii="宋体" w:hAnsi="宋体" w:cs="宋体"/>
          <w:color w:val="000000"/>
          <w:kern w:val="0"/>
          <w:sz w:val="24"/>
        </w:rPr>
        <w:t>，待整改竣工完成后，一次性付清尾款10%。</w:t>
      </w:r>
    </w:p>
    <w:p>
      <w:pPr>
        <w:widowControl/>
        <w:spacing w:before="75" w:after="75" w:line="360" w:lineRule="auto"/>
        <w:ind w:firstLine="480"/>
        <w:jc w:val="left"/>
        <w:rPr>
          <w:rFonts w:ascii="宋体" w:hAnsi="宋体" w:cs="宋体"/>
          <w:color w:val="000000"/>
          <w:kern w:val="0"/>
          <w:sz w:val="24"/>
        </w:rPr>
      </w:pPr>
      <w:r>
        <w:rPr>
          <w:rFonts w:hint="eastAsia" w:ascii="宋体" w:hAnsi="宋体" w:cs="宋体"/>
          <w:color w:val="000000"/>
          <w:kern w:val="0"/>
          <w:sz w:val="24"/>
        </w:rPr>
        <w:t>4.3.2自第二阶段完成付款之日起一年内，甲方整改措施未安排实施，一次性付清尾款10%，即</w:t>
      </w:r>
      <w:r>
        <w:rPr>
          <w:rFonts w:ascii="宋体" w:hAnsi="宋体" w:cs="宋体"/>
          <w:color w:val="000000"/>
          <w:kern w:val="0"/>
          <w:sz w:val="24"/>
        </w:rPr>
        <w:t>为人民币大写：</w:t>
      </w:r>
      <w:r>
        <w:rPr>
          <w:rFonts w:ascii="宋体" w:hAnsi="宋体" w:cs="宋体"/>
          <w:color w:val="000000"/>
          <w:kern w:val="0"/>
          <w:sz w:val="24"/>
          <w:u w:val="single"/>
        </w:rPr>
        <w:t>              </w:t>
      </w:r>
      <w:r>
        <w:rPr>
          <w:rFonts w:ascii="宋体" w:hAnsi="宋体" w:cs="宋体"/>
          <w:color w:val="000000"/>
          <w:kern w:val="0"/>
          <w:sz w:val="24"/>
        </w:rPr>
        <w:t>元（¥</w:t>
      </w:r>
      <w:r>
        <w:rPr>
          <w:rFonts w:ascii="宋体" w:hAnsi="宋体" w:cs="宋体"/>
          <w:color w:val="000000"/>
          <w:kern w:val="0"/>
          <w:sz w:val="24"/>
          <w:u w:val="single"/>
        </w:rPr>
        <w:t>              </w:t>
      </w:r>
      <w:r>
        <w:rPr>
          <w:rFonts w:ascii="宋体" w:hAnsi="宋体" w:cs="宋体"/>
          <w:color w:val="000000"/>
          <w:kern w:val="0"/>
          <w:sz w:val="24"/>
        </w:rPr>
        <w:t>）</w:t>
      </w:r>
      <w:r>
        <w:rPr>
          <w:rFonts w:hint="eastAsia" w:ascii="宋体" w:hAnsi="宋体" w:cs="宋体"/>
          <w:color w:val="000000"/>
          <w:kern w:val="0"/>
          <w:sz w:val="24"/>
        </w:rPr>
        <w:t>；</w:t>
      </w:r>
    </w:p>
    <w:p>
      <w:pPr>
        <w:widowControl/>
        <w:spacing w:before="75" w:after="75" w:line="360" w:lineRule="auto"/>
        <w:ind w:firstLine="480"/>
        <w:jc w:val="left"/>
        <w:rPr>
          <w:rFonts w:ascii="宋体" w:hAnsi="宋体" w:cs="宋体"/>
          <w:color w:val="000000" w:themeColor="text1"/>
          <w:kern w:val="0"/>
          <w:sz w:val="24"/>
        </w:rPr>
      </w:pPr>
      <w:r>
        <w:rPr>
          <w:rFonts w:hint="eastAsia" w:ascii="宋体" w:hAnsi="宋体" w:cs="宋体"/>
          <w:color w:val="000000" w:themeColor="text1"/>
          <w:kern w:val="0"/>
          <w:sz w:val="24"/>
        </w:rPr>
        <w:t>5、履约保证金</w:t>
      </w:r>
    </w:p>
    <w:p>
      <w:pPr>
        <w:widowControl/>
        <w:spacing w:before="75" w:after="75" w:line="360" w:lineRule="auto"/>
        <w:ind w:firstLine="480"/>
        <w:jc w:val="left"/>
        <w:rPr>
          <w:rFonts w:ascii="宋体" w:hAnsi="宋体"/>
          <w:color w:val="000000" w:themeColor="text1"/>
          <w:sz w:val="24"/>
        </w:rPr>
      </w:pPr>
      <w:r>
        <w:rPr>
          <w:rFonts w:ascii="宋体" w:hAnsi="宋体"/>
          <w:color w:val="000000" w:themeColor="text1"/>
          <w:sz w:val="24"/>
        </w:rPr>
        <w:t>5.1</w:t>
      </w:r>
      <w:r>
        <w:rPr>
          <w:rFonts w:hint="eastAsia" w:ascii="宋体" w:hAnsi="宋体"/>
          <w:color w:val="000000" w:themeColor="text1"/>
          <w:sz w:val="24"/>
        </w:rPr>
        <w:t>中标供应商在签订合同前，应向招标人缴纳履约保证金。</w:t>
      </w:r>
    </w:p>
    <w:p>
      <w:pPr>
        <w:widowControl/>
        <w:spacing w:before="75" w:after="75" w:line="360" w:lineRule="auto"/>
        <w:ind w:firstLine="480"/>
        <w:jc w:val="left"/>
        <w:rPr>
          <w:rFonts w:ascii="宋体" w:hAnsi="宋体"/>
          <w:color w:val="000000" w:themeColor="text1"/>
          <w:sz w:val="24"/>
        </w:rPr>
      </w:pPr>
      <w:r>
        <w:rPr>
          <w:rFonts w:ascii="宋体" w:hAnsi="宋体"/>
          <w:color w:val="000000" w:themeColor="text1"/>
          <w:sz w:val="24"/>
        </w:rPr>
        <w:t>5.2履约保证金数额：</w:t>
      </w:r>
      <w:r>
        <w:rPr>
          <w:rFonts w:hint="eastAsia" w:ascii="宋体" w:hAnsi="宋体"/>
          <w:color w:val="000000" w:themeColor="text1"/>
          <w:sz w:val="24"/>
        </w:rPr>
        <w:t>伍万元整（</w:t>
      </w:r>
      <w:r>
        <w:rPr>
          <w:rFonts w:ascii="宋体" w:hAnsi="宋体" w:cs="宋体"/>
          <w:color w:val="000000" w:themeColor="text1"/>
          <w:kern w:val="0"/>
          <w:sz w:val="24"/>
        </w:rPr>
        <w:t>¥</w:t>
      </w:r>
      <w:r>
        <w:rPr>
          <w:rFonts w:hint="eastAsia" w:ascii="宋体" w:hAnsi="宋体" w:cs="宋体"/>
          <w:color w:val="000000" w:themeColor="text1"/>
          <w:kern w:val="0"/>
          <w:sz w:val="24"/>
        </w:rPr>
        <w:t>50,000</w:t>
      </w:r>
      <w:r>
        <w:rPr>
          <w:rFonts w:hint="eastAsia" w:ascii="宋体" w:hAnsi="宋体"/>
          <w:color w:val="000000" w:themeColor="text1"/>
          <w:sz w:val="24"/>
        </w:rPr>
        <w:t>）。</w:t>
      </w:r>
    </w:p>
    <w:p>
      <w:pPr>
        <w:widowControl/>
        <w:spacing w:before="75" w:after="75" w:line="360" w:lineRule="auto"/>
        <w:ind w:firstLine="480"/>
        <w:jc w:val="left"/>
        <w:rPr>
          <w:rFonts w:ascii="宋体" w:hAnsi="宋体"/>
          <w:color w:val="000000" w:themeColor="text1"/>
          <w:sz w:val="24"/>
        </w:rPr>
      </w:pPr>
      <w:r>
        <w:rPr>
          <w:rFonts w:ascii="宋体" w:hAnsi="宋体"/>
          <w:color w:val="000000" w:themeColor="text1"/>
          <w:sz w:val="24"/>
        </w:rPr>
        <w:t>5.3履约保证金形式：转账。</w:t>
      </w:r>
    </w:p>
    <w:p>
      <w:pPr>
        <w:widowControl/>
        <w:spacing w:before="75" w:after="75" w:line="360" w:lineRule="auto"/>
        <w:ind w:firstLine="480"/>
        <w:jc w:val="left"/>
        <w:rPr>
          <w:rFonts w:ascii="宋体" w:hAnsi="宋体"/>
          <w:color w:val="000000" w:themeColor="text1"/>
          <w:sz w:val="24"/>
        </w:rPr>
      </w:pPr>
      <w:r>
        <w:rPr>
          <w:rFonts w:ascii="宋体" w:hAnsi="宋体"/>
          <w:color w:val="000000" w:themeColor="text1"/>
          <w:sz w:val="24"/>
        </w:rPr>
        <w:t>5.4中标人在收到中标通知书后签定采购合同，原投标保证金直接作为合同履约保证金。履约保证金在双方合同终止、交接清楚、质保期（或保修期）结束和债权债务等关系理顺后30日历天内无息返还。</w:t>
      </w:r>
    </w:p>
    <w:p>
      <w:pPr>
        <w:widowControl/>
        <w:spacing w:before="75" w:after="75" w:line="360" w:lineRule="auto"/>
        <w:ind w:firstLine="480"/>
        <w:jc w:val="left"/>
        <w:rPr>
          <w:rFonts w:ascii="宋体" w:hAnsi="宋体"/>
          <w:color w:val="000000" w:themeColor="text1"/>
          <w:sz w:val="24"/>
        </w:rPr>
      </w:pPr>
      <w:r>
        <w:rPr>
          <w:rFonts w:ascii="宋体" w:hAnsi="宋体"/>
          <w:color w:val="000000" w:themeColor="text1"/>
          <w:sz w:val="24"/>
        </w:rPr>
        <w:t>5.5中标人如在服务期限内不能完成招投标文件和采购合同约定，招标人有权解除合同，履约保证金不予退还。</w:t>
      </w:r>
    </w:p>
    <w:p>
      <w:pPr>
        <w:widowControl/>
        <w:spacing w:before="75" w:after="75" w:line="360" w:lineRule="auto"/>
        <w:ind w:firstLine="480"/>
        <w:jc w:val="left"/>
        <w:rPr>
          <w:rFonts w:ascii="宋体" w:hAnsi="宋体" w:cs="宋体"/>
          <w:color w:val="000000" w:themeColor="text1"/>
          <w:kern w:val="0"/>
          <w:sz w:val="24"/>
        </w:rPr>
      </w:pPr>
      <w:r>
        <w:rPr>
          <w:rFonts w:hint="eastAsia" w:ascii="宋体" w:hAnsi="宋体" w:cs="宋体"/>
          <w:color w:val="000000" w:themeColor="text1"/>
          <w:kern w:val="0"/>
          <w:sz w:val="24"/>
        </w:rPr>
        <w:t>6、合同条款</w:t>
      </w:r>
    </w:p>
    <w:p>
      <w:pPr>
        <w:widowControl/>
        <w:spacing w:before="75" w:after="75" w:line="360" w:lineRule="auto"/>
        <w:ind w:firstLine="480"/>
        <w:jc w:val="left"/>
        <w:rPr>
          <w:rFonts w:ascii="宋体" w:hAnsi="宋体" w:cs="宋体"/>
          <w:kern w:val="0"/>
          <w:sz w:val="24"/>
        </w:rPr>
      </w:pPr>
      <w:r>
        <w:rPr>
          <w:rFonts w:ascii="宋体" w:hAnsi="宋体" w:cs="宋体"/>
          <w:kern w:val="0"/>
          <w:sz w:val="24"/>
        </w:rPr>
        <w:t>6</w:t>
      </w:r>
      <w:r>
        <w:rPr>
          <w:rFonts w:hint="eastAsia" w:ascii="宋体" w:hAnsi="宋体" w:cs="宋体"/>
          <w:kern w:val="0"/>
          <w:sz w:val="24"/>
        </w:rPr>
        <w:t>.1</w:t>
      </w:r>
      <w:r>
        <w:rPr>
          <w:rFonts w:ascii="宋体" w:hAnsi="宋体" w:cs="宋体"/>
          <w:kern w:val="0"/>
          <w:sz w:val="24"/>
        </w:rPr>
        <w:t>验收</w:t>
      </w:r>
      <w:r>
        <w:rPr>
          <w:rFonts w:hint="eastAsia" w:ascii="宋体" w:hAnsi="宋体" w:cs="宋体"/>
          <w:kern w:val="0"/>
          <w:sz w:val="24"/>
        </w:rPr>
        <w:t>：</w:t>
      </w:r>
    </w:p>
    <w:p>
      <w:pPr>
        <w:widowControl/>
        <w:spacing w:before="75" w:after="75" w:line="360" w:lineRule="auto"/>
        <w:ind w:firstLine="480"/>
        <w:jc w:val="left"/>
        <w:rPr>
          <w:rFonts w:ascii="宋体" w:hAnsi="宋体" w:cs="宋体"/>
          <w:kern w:val="0"/>
          <w:sz w:val="24"/>
        </w:rPr>
      </w:pPr>
      <w:r>
        <w:rPr>
          <w:rFonts w:hint="eastAsia" w:ascii="宋体" w:hAnsi="宋体" w:cs="宋体"/>
          <w:kern w:val="0"/>
          <w:sz w:val="24"/>
        </w:rPr>
        <w:t>6.1.1</w:t>
      </w:r>
      <w:r>
        <w:rPr>
          <w:rFonts w:ascii="宋体" w:hAnsi="宋体" w:cs="宋体"/>
          <w:kern w:val="0"/>
          <w:sz w:val="24"/>
        </w:rPr>
        <w:t>验收应按照招标文件、乙方投标文件的规定或约定进行，具体如下：</w:t>
      </w:r>
    </w:p>
    <w:p>
      <w:pPr>
        <w:pStyle w:val="58"/>
        <w:spacing w:line="360" w:lineRule="auto"/>
        <w:ind w:left="420" w:leftChars="200" w:firstLineChars="0"/>
        <w:rPr>
          <w:rFonts w:ascii="宋体" w:hAnsi="宋体"/>
          <w:sz w:val="24"/>
        </w:rPr>
      </w:pPr>
      <w:r>
        <w:rPr>
          <w:rFonts w:hint="eastAsia" w:ascii="宋体" w:hAnsi="宋体"/>
          <w:sz w:val="24"/>
        </w:rPr>
        <w:t>（1）国贸中心工程设施设备六大系统内的所有服务细项执行方案与实施计划书，以及与此相关的突发事件应急处置预案完善；</w:t>
      </w:r>
    </w:p>
    <w:p>
      <w:pPr>
        <w:pStyle w:val="58"/>
        <w:spacing w:before="75" w:after="75" w:line="360" w:lineRule="auto"/>
        <w:ind w:left="420" w:leftChars="200" w:firstLineChars="0"/>
        <w:rPr>
          <w:rFonts w:ascii="宋体" w:hAnsi="宋体"/>
          <w:sz w:val="24"/>
        </w:rPr>
      </w:pPr>
      <w:r>
        <w:rPr>
          <w:rFonts w:hint="eastAsia" w:ascii="宋体" w:hAnsi="宋体"/>
          <w:sz w:val="24"/>
        </w:rPr>
        <w:t>（2）检查、评估过程中，突发状况发生时，能依据应急响应流程处置有序处理；</w:t>
      </w:r>
    </w:p>
    <w:p>
      <w:pPr>
        <w:pStyle w:val="58"/>
        <w:spacing w:before="75" w:after="75" w:line="360" w:lineRule="auto"/>
        <w:ind w:left="420" w:leftChars="200" w:firstLineChars="0"/>
        <w:rPr>
          <w:rFonts w:ascii="宋体" w:hAnsi="宋体"/>
          <w:sz w:val="24"/>
        </w:rPr>
      </w:pPr>
      <w:r>
        <w:rPr>
          <w:rFonts w:hint="eastAsia" w:ascii="宋体" w:hAnsi="宋体"/>
          <w:sz w:val="24"/>
        </w:rPr>
        <w:t>（3）所有本次评估过程中的工程设施设备检测、评估记录，包含检测报告、评估报告完整、有效，符合招标需求；</w:t>
      </w:r>
    </w:p>
    <w:p>
      <w:pPr>
        <w:pStyle w:val="58"/>
        <w:spacing w:before="75" w:after="75" w:line="360" w:lineRule="auto"/>
        <w:ind w:left="420" w:leftChars="200" w:firstLineChars="0"/>
        <w:rPr>
          <w:rFonts w:ascii="宋体" w:hAnsi="宋体"/>
          <w:sz w:val="24"/>
        </w:rPr>
      </w:pPr>
      <w:r>
        <w:rPr>
          <w:rFonts w:hint="eastAsia" w:ascii="宋体" w:hAnsi="宋体"/>
          <w:sz w:val="24"/>
        </w:rPr>
        <w:t>（4）所提供的针对本次评估结果的改进、提升实施方案与建议合理；</w:t>
      </w:r>
    </w:p>
    <w:p>
      <w:pPr>
        <w:pStyle w:val="58"/>
        <w:spacing w:line="360" w:lineRule="auto"/>
        <w:ind w:left="420" w:firstLineChars="0"/>
        <w:rPr>
          <w:rFonts w:ascii="宋体" w:hAnsi="宋体"/>
          <w:sz w:val="24"/>
        </w:rPr>
      </w:pPr>
      <w:r>
        <w:rPr>
          <w:rFonts w:hint="eastAsia" w:ascii="宋体" w:hAnsi="宋体"/>
          <w:sz w:val="24"/>
        </w:rPr>
        <w:t>（5）根据整改建议、方案进行改进、提升过程中，乙方能及时根据甲方提出的不超出本标的范围的需求给予支持与解决。</w:t>
      </w:r>
    </w:p>
    <w:p>
      <w:pPr>
        <w:pStyle w:val="58"/>
        <w:spacing w:line="360" w:lineRule="auto"/>
        <w:ind w:firstLineChars="0"/>
        <w:rPr>
          <w:rFonts w:ascii="宋体" w:hAnsi="宋体" w:cs="宋体"/>
          <w:kern w:val="0"/>
          <w:sz w:val="24"/>
        </w:rPr>
      </w:pPr>
      <w:r>
        <w:rPr>
          <w:rFonts w:hint="eastAsia" w:ascii="宋体" w:hAnsi="宋体" w:cs="宋体"/>
          <w:kern w:val="0"/>
          <w:sz w:val="24"/>
        </w:rPr>
        <w:t>6.1.2本项目不邀请其他投标人参与验收。</w:t>
      </w:r>
    </w:p>
    <w:p>
      <w:pPr>
        <w:widowControl/>
        <w:spacing w:before="75" w:after="75" w:line="360" w:lineRule="auto"/>
        <w:ind w:firstLine="480"/>
        <w:jc w:val="left"/>
        <w:rPr>
          <w:rFonts w:ascii="宋体" w:hAnsi="宋体" w:cs="宋体"/>
          <w:kern w:val="0"/>
          <w:sz w:val="24"/>
        </w:rPr>
      </w:pPr>
      <w:r>
        <w:rPr>
          <w:rFonts w:hint="eastAsia" w:ascii="宋体" w:hAnsi="宋体" w:cs="宋体"/>
          <w:kern w:val="0"/>
          <w:sz w:val="24"/>
        </w:rPr>
        <w:t>6.2</w:t>
      </w:r>
      <w:r>
        <w:rPr>
          <w:rFonts w:ascii="宋体" w:hAnsi="宋体" w:cs="宋体"/>
          <w:kern w:val="0"/>
          <w:sz w:val="24"/>
        </w:rPr>
        <w:t>知识产权</w:t>
      </w:r>
    </w:p>
    <w:p>
      <w:pPr>
        <w:widowControl/>
        <w:spacing w:before="75" w:after="75" w:line="360" w:lineRule="auto"/>
        <w:ind w:firstLine="480"/>
        <w:jc w:val="left"/>
        <w:rPr>
          <w:rFonts w:ascii="宋体" w:hAnsi="宋体" w:cs="宋体"/>
          <w:kern w:val="0"/>
          <w:sz w:val="24"/>
        </w:rPr>
      </w:pPr>
      <w:r>
        <w:rPr>
          <w:rFonts w:hint="eastAsia" w:ascii="宋体" w:hAnsi="宋体" w:cs="宋体"/>
          <w:kern w:val="0"/>
          <w:sz w:val="24"/>
        </w:rPr>
        <w:t>6.2.1</w:t>
      </w:r>
      <w:r>
        <w:rPr>
          <w:rFonts w:ascii="宋体" w:hAnsi="宋体" w:cs="宋体"/>
          <w:kern w:val="0"/>
          <w:sz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pacing w:before="75" w:after="75" w:line="360" w:lineRule="auto"/>
        <w:ind w:firstLine="480"/>
        <w:jc w:val="left"/>
        <w:rPr>
          <w:rFonts w:ascii="宋体" w:hAnsi="宋体" w:cs="宋体"/>
          <w:kern w:val="0"/>
          <w:sz w:val="24"/>
        </w:rPr>
      </w:pPr>
      <w:r>
        <w:rPr>
          <w:rFonts w:hint="eastAsia" w:ascii="宋体" w:hAnsi="宋体" w:cs="宋体"/>
          <w:kern w:val="0"/>
          <w:sz w:val="24"/>
        </w:rPr>
        <w:t>6.2.2</w:t>
      </w:r>
      <w:r>
        <w:rPr>
          <w:rFonts w:ascii="宋体" w:hAnsi="宋体" w:cs="宋体"/>
          <w:kern w:val="0"/>
          <w:sz w:val="24"/>
        </w:rPr>
        <w:t>若乙方提供的采购标的不符合国家知识产权法律、法规的规定或被有关主管机关认定为假冒伪劣品，则乙方中标资格将被取消；甲方还将按照有关法律、法规和规章的规定进行处理。</w:t>
      </w:r>
    </w:p>
    <w:p>
      <w:pPr>
        <w:widowControl/>
        <w:spacing w:before="75" w:after="75" w:line="360" w:lineRule="auto"/>
        <w:ind w:firstLine="480"/>
        <w:jc w:val="left"/>
        <w:rPr>
          <w:rFonts w:ascii="宋体" w:hAnsi="宋体" w:cs="宋体"/>
          <w:kern w:val="0"/>
          <w:sz w:val="24"/>
        </w:rPr>
      </w:pPr>
      <w:r>
        <w:rPr>
          <w:rFonts w:hint="eastAsia" w:ascii="宋体" w:hAnsi="宋体" w:cs="宋体"/>
          <w:kern w:val="0"/>
          <w:sz w:val="24"/>
        </w:rPr>
        <w:t>6.3保密条款</w:t>
      </w:r>
    </w:p>
    <w:p>
      <w:pPr>
        <w:widowControl/>
        <w:spacing w:before="75" w:after="75" w:line="360" w:lineRule="auto"/>
        <w:ind w:firstLine="480"/>
        <w:jc w:val="left"/>
        <w:rPr>
          <w:rFonts w:ascii="宋体" w:hAnsi="宋体" w:cs="宋体"/>
          <w:kern w:val="0"/>
          <w:sz w:val="24"/>
        </w:rPr>
      </w:pPr>
      <w:r>
        <w:rPr>
          <w:rFonts w:hint="eastAsia" w:ascii="宋体" w:hAnsi="宋体" w:cs="宋体"/>
          <w:kern w:val="0"/>
          <w:sz w:val="24"/>
        </w:rPr>
        <w:t>6.3.1在此合同有效期内，双方同意不向任何第三方泄露有关此合同中危害到双方利益的信息和文件。</w:t>
      </w:r>
    </w:p>
    <w:p>
      <w:pPr>
        <w:widowControl/>
        <w:spacing w:before="75" w:after="75" w:line="360" w:lineRule="auto"/>
        <w:ind w:firstLine="480"/>
        <w:jc w:val="left"/>
        <w:rPr>
          <w:rFonts w:ascii="宋体" w:hAnsi="宋体" w:cs="宋体"/>
          <w:kern w:val="0"/>
          <w:sz w:val="24"/>
        </w:rPr>
      </w:pPr>
      <w:r>
        <w:rPr>
          <w:rFonts w:hint="eastAsia" w:ascii="宋体" w:hAnsi="宋体" w:cs="宋体"/>
          <w:kern w:val="0"/>
          <w:sz w:val="24"/>
        </w:rPr>
        <w:t xml:space="preserve">6.3.2信息：指双方交换的所有非公开信息，包括但不限于数据、专业技术、设计、草图、照片、设计图、制图、说明书、版面设计、创意、概念、 报告、指南、原型、商业秘密、商标、公司标志、源代码及结果代码、商业及市场信息，以及书面或口头形式的所有私人信息。 </w:t>
      </w:r>
    </w:p>
    <w:p>
      <w:pPr>
        <w:widowControl/>
        <w:spacing w:before="75" w:after="75" w:line="360" w:lineRule="auto"/>
        <w:ind w:firstLine="480"/>
        <w:jc w:val="left"/>
        <w:rPr>
          <w:rFonts w:ascii="宋体" w:hAnsi="宋体" w:cs="宋体"/>
          <w:kern w:val="0"/>
          <w:sz w:val="24"/>
        </w:rPr>
      </w:pPr>
      <w:r>
        <w:rPr>
          <w:rFonts w:hint="eastAsia" w:ascii="宋体" w:hAnsi="宋体" w:cs="宋体"/>
          <w:kern w:val="0"/>
          <w:sz w:val="24"/>
        </w:rPr>
        <w:t>6.3.3文件：包括且不限于任何书面文件、任何检验单、报告、证明书、证明、标志、印章、说明书、代码、制图、地图、计划、图表、设计、照片或其他图像、录音带、磁盘或其他装置或任何形式的收录信息，包括以计算机或电子形式。</w:t>
      </w:r>
    </w:p>
    <w:p>
      <w:pPr>
        <w:widowControl/>
        <w:spacing w:before="75" w:after="75" w:line="360" w:lineRule="auto"/>
        <w:ind w:firstLine="480"/>
        <w:jc w:val="left"/>
        <w:rPr>
          <w:rFonts w:ascii="宋体" w:hAnsi="宋体" w:cs="宋体"/>
          <w:color w:val="000000" w:themeColor="text1"/>
          <w:kern w:val="0"/>
          <w:sz w:val="24"/>
        </w:rPr>
      </w:pPr>
      <w:r>
        <w:rPr>
          <w:rFonts w:hint="eastAsia" w:ascii="宋体" w:hAnsi="宋体" w:cs="宋体"/>
          <w:color w:val="000000" w:themeColor="text1"/>
          <w:kern w:val="0"/>
          <w:sz w:val="24"/>
        </w:rPr>
        <w:t>7</w:t>
      </w:r>
      <w:r>
        <w:rPr>
          <w:rFonts w:ascii="宋体" w:hAnsi="宋体" w:cs="宋体"/>
          <w:color w:val="000000" w:themeColor="text1"/>
          <w:kern w:val="0"/>
          <w:sz w:val="24"/>
        </w:rPr>
        <w:t>、合同有效期</w:t>
      </w:r>
    </w:p>
    <w:p>
      <w:pPr>
        <w:widowControl/>
        <w:spacing w:before="75" w:after="75" w:line="360" w:lineRule="auto"/>
        <w:ind w:firstLine="480"/>
        <w:jc w:val="left"/>
        <w:rPr>
          <w:rFonts w:ascii="宋体" w:hAnsi="宋体" w:cs="宋体"/>
          <w:color w:val="000000" w:themeColor="text1"/>
          <w:kern w:val="0"/>
          <w:sz w:val="24"/>
        </w:rPr>
      </w:pPr>
      <w:r>
        <w:rPr>
          <w:rFonts w:ascii="宋体" w:hAnsi="宋体" w:cs="宋体"/>
          <w:color w:val="000000" w:themeColor="text1"/>
          <w:kern w:val="0"/>
          <w:sz w:val="24"/>
        </w:rPr>
        <w:t>自</w:t>
      </w:r>
      <w:r>
        <w:rPr>
          <w:rFonts w:hint="eastAsia" w:ascii="宋体" w:hAnsi="宋体" w:cs="宋体"/>
          <w:color w:val="000000" w:themeColor="text1"/>
          <w:kern w:val="0"/>
          <w:sz w:val="24"/>
        </w:rPr>
        <w:t>年月日起至年月日止</w:t>
      </w:r>
      <w:r>
        <w:rPr>
          <w:rFonts w:ascii="宋体" w:hAnsi="宋体" w:cs="宋体"/>
          <w:color w:val="000000" w:themeColor="text1"/>
          <w:kern w:val="0"/>
          <w:sz w:val="24"/>
        </w:rPr>
        <w:t>。</w:t>
      </w:r>
    </w:p>
    <w:p>
      <w:pPr>
        <w:widowControl/>
        <w:spacing w:before="75" w:after="75" w:line="360" w:lineRule="auto"/>
        <w:ind w:firstLine="480"/>
        <w:jc w:val="left"/>
        <w:rPr>
          <w:rFonts w:ascii="宋体" w:hAnsi="宋体" w:cs="宋体"/>
          <w:kern w:val="0"/>
          <w:sz w:val="24"/>
        </w:rPr>
      </w:pPr>
      <w:r>
        <w:rPr>
          <w:rFonts w:hint="eastAsia" w:ascii="宋体" w:hAnsi="宋体" w:cs="宋体"/>
          <w:kern w:val="0"/>
          <w:sz w:val="24"/>
        </w:rPr>
        <w:t>8</w:t>
      </w:r>
      <w:r>
        <w:rPr>
          <w:rFonts w:ascii="宋体" w:hAnsi="宋体" w:cs="宋体"/>
          <w:kern w:val="0"/>
          <w:sz w:val="24"/>
        </w:rPr>
        <w:t>、违约责任</w:t>
      </w:r>
    </w:p>
    <w:p>
      <w:pPr>
        <w:tabs>
          <w:tab w:val="left" w:pos="1050"/>
        </w:tabs>
        <w:adjustRightInd w:val="0"/>
        <w:snapToGrid w:val="0"/>
        <w:spacing w:line="355" w:lineRule="auto"/>
        <w:ind w:firstLine="480" w:firstLineChars="200"/>
        <w:rPr>
          <w:rFonts w:ascii="宋体" w:hAnsi="宋体"/>
          <w:sz w:val="24"/>
        </w:rPr>
      </w:pPr>
      <w:r>
        <w:rPr>
          <w:rFonts w:hint="eastAsia" w:ascii="宋体" w:hAnsi="宋体"/>
          <w:sz w:val="24"/>
        </w:rPr>
        <w:t>8.1甲方未按约定及时足额支付费用的，每逾期一日按本期未支付费用的万分之</w:t>
      </w:r>
      <w:r>
        <w:rPr>
          <w:rFonts w:hint="eastAsia" w:ascii="宋体" w:hAnsi="宋体"/>
          <w:sz w:val="24"/>
          <w:u w:val="single"/>
        </w:rPr>
        <w:t>/</w:t>
      </w:r>
      <w:r>
        <w:rPr>
          <w:rFonts w:hint="eastAsia" w:ascii="宋体" w:hAnsi="宋体"/>
          <w:sz w:val="24"/>
        </w:rPr>
        <w:t>的标准支付乙方违约金。</w:t>
      </w:r>
    </w:p>
    <w:p>
      <w:pPr>
        <w:tabs>
          <w:tab w:val="left" w:pos="1050"/>
        </w:tabs>
        <w:adjustRightInd w:val="0"/>
        <w:snapToGrid w:val="0"/>
        <w:spacing w:line="355" w:lineRule="auto"/>
        <w:ind w:firstLine="480" w:firstLineChars="200"/>
        <w:rPr>
          <w:rFonts w:ascii="宋体" w:hAnsi="宋体"/>
          <w:sz w:val="24"/>
        </w:rPr>
      </w:pPr>
      <w:r>
        <w:rPr>
          <w:rFonts w:hint="eastAsia" w:ascii="宋体" w:hAnsi="宋体"/>
          <w:sz w:val="24"/>
        </w:rPr>
        <w:t>8.2 乙方不得将本合同的内容转让及委托给第三方，否则甲方有权解除合同，履约保证金不予退还，乙方除应向甲方支付合同总金额%违约金外，还应赔偿给甲方造成的经济损失。</w:t>
      </w:r>
    </w:p>
    <w:p>
      <w:pPr>
        <w:tabs>
          <w:tab w:val="left" w:pos="1050"/>
        </w:tabs>
        <w:adjustRightInd w:val="0"/>
        <w:snapToGrid w:val="0"/>
        <w:spacing w:line="355" w:lineRule="auto"/>
        <w:ind w:firstLine="480" w:firstLineChars="200"/>
        <w:rPr>
          <w:rFonts w:ascii="宋体" w:hAnsi="宋体"/>
          <w:sz w:val="24"/>
        </w:rPr>
      </w:pPr>
      <w:r>
        <w:rPr>
          <w:rFonts w:hint="eastAsia" w:ascii="宋体" w:hAnsi="宋体"/>
          <w:sz w:val="24"/>
        </w:rPr>
        <w:t>8.3由于乙方原因造成责任事故，给甲方或第三方造成损失的，乙方应承担赔偿损失并承担有关责任。情节严重的，甲方有权解除合同，履约保证金不予返还，并可要求乙方赔偿相应损失。</w:t>
      </w:r>
    </w:p>
    <w:p>
      <w:pPr>
        <w:tabs>
          <w:tab w:val="left" w:pos="1050"/>
        </w:tabs>
        <w:adjustRightInd w:val="0"/>
        <w:snapToGrid w:val="0"/>
        <w:spacing w:line="355" w:lineRule="auto"/>
        <w:ind w:firstLine="480" w:firstLineChars="200"/>
        <w:rPr>
          <w:rFonts w:ascii="宋体" w:hAnsi="宋体" w:cs="宋体"/>
          <w:kern w:val="0"/>
          <w:sz w:val="24"/>
        </w:rPr>
      </w:pPr>
      <w:r>
        <w:rPr>
          <w:rFonts w:hint="eastAsia" w:ascii="宋体" w:hAnsi="宋体"/>
          <w:sz w:val="24"/>
        </w:rPr>
        <w:t>8.4</w:t>
      </w:r>
      <w:r>
        <w:rPr>
          <w:rFonts w:ascii="宋体" w:hAnsi="宋体" w:cs="宋体"/>
          <w:kern w:val="0"/>
          <w:sz w:val="24"/>
        </w:rPr>
        <w:t>因不可抗力造成违约的，遭受不可抗力一方应及时向对方通报不能履行或不能完全履行的理由，并在随后取得有关主管机关证明后的</w:t>
      </w:r>
      <w:r>
        <w:rPr>
          <w:rFonts w:cs="Calibri"/>
          <w:kern w:val="0"/>
          <w:sz w:val="24"/>
        </w:rPr>
        <w:t>15</w:t>
      </w:r>
      <w:r>
        <w:rPr>
          <w:rFonts w:ascii="宋体" w:hAnsi="宋体" w:cs="宋体"/>
          <w:kern w:val="0"/>
          <w:sz w:val="24"/>
        </w:rPr>
        <w:t>日内向另一方提供不可抗力发生及持续期间的充分证据。基于以上行为，允许遭受不可抗力一方延期履行、部分履行或不履行合同，并根据情况可部分或全部免于承担违约责任。</w:t>
      </w:r>
    </w:p>
    <w:p>
      <w:pPr>
        <w:tabs>
          <w:tab w:val="left" w:pos="1050"/>
        </w:tabs>
        <w:adjustRightInd w:val="0"/>
        <w:snapToGrid w:val="0"/>
        <w:spacing w:line="355" w:lineRule="auto"/>
        <w:ind w:firstLine="480" w:firstLineChars="200"/>
        <w:rPr>
          <w:rFonts w:ascii="宋体" w:hAnsi="宋体"/>
          <w:sz w:val="24"/>
        </w:rPr>
      </w:pPr>
      <w:r>
        <w:rPr>
          <w:rFonts w:hint="eastAsia" w:ascii="宋体" w:hAnsi="宋体" w:cs="宋体"/>
          <w:kern w:val="0"/>
          <w:sz w:val="24"/>
        </w:rPr>
        <w:t>8.4.1</w:t>
      </w:r>
      <w:r>
        <w:rPr>
          <w:rFonts w:ascii="宋体" w:hAnsi="宋体" w:cs="宋体"/>
          <w:kern w:val="0"/>
          <w:sz w:val="24"/>
        </w:rPr>
        <w:t>本合同中的不可抗力指不能预见、不能避免、不能克服的客观情况，包括但不限于：自然灾害如地震、台风、洪水、火灾及行为、法律规定或其适用的变化或其他任何无法预见、避免或控制的事件。</w:t>
      </w:r>
    </w:p>
    <w:p>
      <w:pPr>
        <w:tabs>
          <w:tab w:val="left" w:pos="1050"/>
        </w:tabs>
        <w:adjustRightInd w:val="0"/>
        <w:snapToGrid w:val="0"/>
        <w:spacing w:line="355" w:lineRule="auto"/>
        <w:ind w:firstLine="480" w:firstLineChars="200"/>
        <w:rPr>
          <w:rFonts w:ascii="宋体" w:hAnsi="宋体"/>
          <w:sz w:val="24"/>
        </w:rPr>
      </w:pPr>
      <w:r>
        <w:rPr>
          <w:rFonts w:hint="eastAsia" w:ascii="宋体" w:hAnsi="宋体"/>
          <w:sz w:val="24"/>
        </w:rPr>
        <w:t>8.5 甲乙双方中任何一方无正当理由提前解除合同的，应按本合同总金额的%的标准向对方支付违约金；给对方造成的经济损失的，还应赔偿损失。乙方在本合同解除或终止后拒不撤出本项目区域的，或不配合甲方办理交接手续的，甲方可不支付费，且乙方应当按照本合同服务费用总额的%的标准向甲方支付违约金；给甲方造成损失的，乙方还应当承担相应的赔偿责任。</w:t>
      </w:r>
    </w:p>
    <w:p>
      <w:pPr>
        <w:tabs>
          <w:tab w:val="left" w:pos="1050"/>
        </w:tabs>
        <w:adjustRightInd w:val="0"/>
        <w:snapToGrid w:val="0"/>
        <w:spacing w:line="355" w:lineRule="auto"/>
        <w:ind w:firstLine="480" w:firstLineChars="200"/>
        <w:rPr>
          <w:rFonts w:ascii="宋体" w:hAnsi="宋体"/>
          <w:sz w:val="24"/>
        </w:rPr>
      </w:pPr>
      <w:r>
        <w:rPr>
          <w:rFonts w:hint="eastAsia" w:ascii="宋体" w:hAnsi="宋体"/>
          <w:sz w:val="24"/>
        </w:rPr>
        <w:t>8.6 甲乙双方根据本合同约定行使合同解除权的，应及时书面通知对方，本合同自书面通知到达对方时即行解除，并在二十日内做好交接和善后工作。</w:t>
      </w:r>
    </w:p>
    <w:p>
      <w:pPr>
        <w:widowControl/>
        <w:spacing w:before="75" w:after="75" w:line="360" w:lineRule="auto"/>
        <w:ind w:firstLine="480"/>
        <w:jc w:val="left"/>
        <w:rPr>
          <w:rFonts w:ascii="宋体" w:hAnsi="宋体" w:cs="宋体"/>
          <w:kern w:val="0"/>
          <w:sz w:val="24"/>
        </w:rPr>
      </w:pPr>
      <w:r>
        <w:rPr>
          <w:rFonts w:hint="eastAsia" w:ascii="宋体" w:hAnsi="宋体" w:cs="宋体"/>
          <w:kern w:val="0"/>
          <w:sz w:val="24"/>
        </w:rPr>
        <w:t>9</w:t>
      </w:r>
      <w:r>
        <w:rPr>
          <w:rFonts w:ascii="宋体" w:hAnsi="宋体" w:cs="宋体"/>
          <w:kern w:val="0"/>
          <w:sz w:val="24"/>
        </w:rPr>
        <w:t>、解决争议的方法</w:t>
      </w:r>
    </w:p>
    <w:p>
      <w:pPr>
        <w:widowControl/>
        <w:spacing w:before="75" w:after="75" w:line="360" w:lineRule="auto"/>
        <w:ind w:firstLine="480"/>
        <w:jc w:val="left"/>
        <w:rPr>
          <w:rFonts w:ascii="宋体" w:hAnsi="宋体" w:cs="宋体"/>
          <w:kern w:val="0"/>
          <w:sz w:val="24"/>
        </w:rPr>
      </w:pPr>
      <w:r>
        <w:rPr>
          <w:rFonts w:hint="eastAsia" w:ascii="宋体" w:hAnsi="宋体" w:cs="宋体"/>
          <w:kern w:val="0"/>
          <w:sz w:val="24"/>
        </w:rPr>
        <w:t>9</w:t>
      </w:r>
      <w:r>
        <w:rPr>
          <w:rFonts w:ascii="宋体" w:hAnsi="宋体" w:cs="宋体"/>
          <w:kern w:val="0"/>
          <w:sz w:val="24"/>
        </w:rPr>
        <w:t>.1甲、乙双方协商解决。</w:t>
      </w:r>
    </w:p>
    <w:p>
      <w:pPr>
        <w:widowControl/>
        <w:spacing w:before="75" w:after="75" w:line="360" w:lineRule="auto"/>
        <w:ind w:firstLine="480"/>
        <w:jc w:val="left"/>
        <w:rPr>
          <w:rFonts w:ascii="宋体" w:hAnsi="宋体" w:cs="宋体"/>
          <w:kern w:val="0"/>
          <w:sz w:val="24"/>
        </w:rPr>
      </w:pPr>
      <w:r>
        <w:rPr>
          <w:rFonts w:hint="eastAsia" w:ascii="宋体" w:hAnsi="宋体" w:cs="宋体"/>
          <w:kern w:val="0"/>
          <w:sz w:val="24"/>
        </w:rPr>
        <w:t>9</w:t>
      </w:r>
      <w:r>
        <w:rPr>
          <w:rFonts w:ascii="宋体" w:hAnsi="宋体" w:cs="宋体"/>
          <w:kern w:val="0"/>
          <w:sz w:val="24"/>
        </w:rPr>
        <w:t>.2若协商解决不成，则向</w:t>
      </w:r>
      <w:r>
        <w:rPr>
          <w:rFonts w:hint="eastAsia" w:ascii="宋体" w:hAnsi="宋体" w:cs="宋体"/>
          <w:kern w:val="0"/>
          <w:sz w:val="24"/>
        </w:rPr>
        <w:t>甲方住所地</w:t>
      </w:r>
      <w:r>
        <w:rPr>
          <w:rFonts w:ascii="宋体" w:hAnsi="宋体" w:cs="宋体"/>
          <w:kern w:val="0"/>
          <w:sz w:val="24"/>
        </w:rPr>
        <w:t>人民法院提起诉讼解决</w:t>
      </w:r>
      <w:r>
        <w:rPr>
          <w:rFonts w:hint="eastAsia" w:ascii="宋体" w:hAnsi="宋体" w:cs="宋体"/>
          <w:kern w:val="0"/>
          <w:sz w:val="24"/>
        </w:rPr>
        <w:t>。</w:t>
      </w:r>
    </w:p>
    <w:p>
      <w:pPr>
        <w:widowControl/>
        <w:spacing w:before="75" w:after="75" w:line="360" w:lineRule="auto"/>
        <w:ind w:firstLine="480"/>
        <w:jc w:val="left"/>
        <w:rPr>
          <w:rFonts w:ascii="宋体" w:hAnsi="宋体" w:cs="宋体"/>
          <w:kern w:val="0"/>
          <w:sz w:val="24"/>
        </w:rPr>
      </w:pPr>
      <w:r>
        <w:rPr>
          <w:rFonts w:hint="eastAsia" w:ascii="宋体" w:hAnsi="宋体" w:cs="宋体"/>
          <w:kern w:val="0"/>
          <w:sz w:val="24"/>
        </w:rPr>
        <w:t>10</w:t>
      </w:r>
      <w:r>
        <w:rPr>
          <w:rFonts w:ascii="宋体" w:hAnsi="宋体" w:cs="宋体"/>
          <w:kern w:val="0"/>
          <w:sz w:val="24"/>
        </w:rPr>
        <w:t>、其他约定</w:t>
      </w:r>
    </w:p>
    <w:p>
      <w:pPr>
        <w:widowControl/>
        <w:spacing w:before="75" w:after="75" w:line="360" w:lineRule="auto"/>
        <w:ind w:firstLine="48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.1合同文件与本合同具有同等法律效力。</w:t>
      </w:r>
    </w:p>
    <w:p>
      <w:pPr>
        <w:widowControl/>
        <w:spacing w:before="75" w:after="75" w:line="360" w:lineRule="auto"/>
        <w:ind w:firstLine="48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.2本合同未尽事宜，双方可另行补充。</w:t>
      </w:r>
    </w:p>
    <w:p>
      <w:pPr>
        <w:widowControl/>
        <w:spacing w:before="75" w:after="75" w:line="360" w:lineRule="auto"/>
        <w:ind w:firstLine="48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.3合同生效：自签订之日起生效。</w:t>
      </w:r>
    </w:p>
    <w:p>
      <w:pPr>
        <w:widowControl/>
        <w:spacing w:before="75" w:after="75" w:line="360" w:lineRule="auto"/>
        <w:ind w:firstLine="48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.4本合同一式份，经双方授权代表签字并盖章后生效。甲方、乙方各执份，具有同等效力。</w:t>
      </w:r>
    </w:p>
    <w:p>
      <w:pPr>
        <w:widowControl/>
        <w:spacing w:before="75" w:after="75" w:line="360" w:lineRule="auto"/>
        <w:ind w:firstLine="48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.5其他：</w:t>
      </w:r>
    </w:p>
    <w:p>
      <w:pPr>
        <w:widowControl/>
        <w:spacing w:before="75" w:after="75" w:line="360" w:lineRule="auto"/>
        <w:ind w:firstLine="480"/>
        <w:jc w:val="left"/>
        <w:rPr>
          <w:rFonts w:ascii="宋体" w:hAnsi="宋体" w:cs="宋体"/>
          <w:color w:val="000000"/>
          <w:kern w:val="0"/>
          <w:sz w:val="24"/>
        </w:rPr>
      </w:pPr>
      <w:r>
        <w:rPr>
          <w:rFonts w:ascii="宋体" w:hAnsi="宋体" w:cs="宋体"/>
          <w:color w:val="000000"/>
          <w:kern w:val="0"/>
          <w:sz w:val="24"/>
        </w:rPr>
        <w:t>附整改施工阶段的技术支持服务承诺</w:t>
      </w:r>
      <w:r>
        <w:rPr>
          <w:rFonts w:hint="eastAsia" w:ascii="宋体" w:hAnsi="宋体" w:cs="宋体"/>
          <w:color w:val="000000"/>
          <w:kern w:val="0"/>
          <w:sz w:val="24"/>
        </w:rPr>
        <w:t>书。</w:t>
      </w:r>
    </w:p>
    <w:p>
      <w:pPr>
        <w:widowControl/>
        <w:spacing w:before="75" w:after="75" w:line="360" w:lineRule="auto"/>
        <w:jc w:val="center"/>
        <w:rPr>
          <w:rFonts w:ascii="宋体" w:hAnsi="宋体" w:cs="宋体"/>
          <w:kern w:val="0"/>
          <w:sz w:val="24"/>
        </w:rPr>
      </w:pPr>
      <w:r>
        <w:rPr>
          <w:rFonts w:ascii="宋体" w:hAnsi="宋体" w:cs="宋体"/>
          <w:kern w:val="0"/>
          <w:sz w:val="24"/>
        </w:rPr>
        <w:t>（以下无正文）</w:t>
      </w:r>
    </w:p>
    <w:p>
      <w:pPr>
        <w:widowControl/>
        <w:spacing w:before="75" w:after="75" w:line="360" w:lineRule="auto"/>
        <w:jc w:val="left"/>
        <w:rPr>
          <w:rFonts w:ascii="宋体" w:hAnsi="宋体" w:cs="宋体"/>
          <w:kern w:val="0"/>
          <w:sz w:val="24"/>
        </w:rPr>
      </w:pPr>
      <w:r>
        <w:rPr>
          <w:rFonts w:ascii="宋体" w:hAnsi="宋体" w:cs="宋体"/>
          <w:kern w:val="0"/>
          <w:sz w:val="24"/>
        </w:rPr>
        <w:t> </w:t>
      </w:r>
    </w:p>
    <w:p>
      <w:pPr>
        <w:widowControl/>
        <w:spacing w:before="75" w:after="75" w:line="360" w:lineRule="auto"/>
        <w:jc w:val="left"/>
        <w:rPr>
          <w:rFonts w:ascii="宋体" w:hAnsi="宋体" w:cs="宋体"/>
          <w:kern w:val="0"/>
          <w:sz w:val="24"/>
        </w:rPr>
      </w:pPr>
      <w:r>
        <w:rPr>
          <w:rFonts w:ascii="宋体" w:hAnsi="宋体" w:cs="宋体"/>
          <w:kern w:val="0"/>
          <w:sz w:val="24"/>
        </w:rPr>
        <w:t> </w:t>
      </w:r>
    </w:p>
    <w:p>
      <w:pPr>
        <w:widowControl/>
        <w:spacing w:before="75" w:after="75" w:line="360" w:lineRule="auto"/>
        <w:jc w:val="left"/>
        <w:rPr>
          <w:rFonts w:ascii="宋体" w:hAnsi="宋体" w:cs="宋体"/>
          <w:kern w:val="0"/>
          <w:sz w:val="24"/>
        </w:rPr>
      </w:pPr>
      <w:r>
        <w:rPr>
          <w:rFonts w:ascii="宋体" w:hAnsi="宋体" w:cs="宋体"/>
          <w:kern w:val="0"/>
          <w:sz w:val="24"/>
        </w:rPr>
        <w:t>甲方：                 乙方：</w:t>
      </w:r>
    </w:p>
    <w:p>
      <w:pPr>
        <w:widowControl/>
        <w:spacing w:before="75" w:after="75" w:line="360" w:lineRule="auto"/>
        <w:jc w:val="left"/>
        <w:rPr>
          <w:rFonts w:ascii="宋体" w:hAnsi="宋体" w:cs="宋体"/>
          <w:kern w:val="0"/>
          <w:sz w:val="24"/>
        </w:rPr>
      </w:pPr>
      <w:r>
        <w:rPr>
          <w:rFonts w:ascii="宋体" w:hAnsi="宋体" w:cs="宋体"/>
          <w:kern w:val="0"/>
          <w:sz w:val="24"/>
        </w:rPr>
        <w:t>住所：                 住所：</w:t>
      </w:r>
    </w:p>
    <w:p>
      <w:pPr>
        <w:widowControl/>
        <w:spacing w:before="75" w:after="75" w:line="360" w:lineRule="auto"/>
        <w:jc w:val="left"/>
        <w:rPr>
          <w:rFonts w:ascii="宋体" w:hAnsi="宋体" w:cs="宋体"/>
          <w:kern w:val="0"/>
          <w:sz w:val="24"/>
        </w:rPr>
      </w:pPr>
      <w:r>
        <w:rPr>
          <w:rFonts w:ascii="宋体" w:hAnsi="宋体" w:cs="宋体"/>
          <w:kern w:val="0"/>
          <w:sz w:val="24"/>
        </w:rPr>
        <w:t>单位负责人：              单位负责人：</w:t>
      </w:r>
    </w:p>
    <w:p>
      <w:pPr>
        <w:widowControl/>
        <w:spacing w:before="75" w:after="75" w:line="360" w:lineRule="auto"/>
        <w:jc w:val="left"/>
        <w:rPr>
          <w:rFonts w:ascii="宋体" w:hAnsi="宋体" w:cs="宋体"/>
          <w:kern w:val="0"/>
          <w:sz w:val="24"/>
        </w:rPr>
      </w:pPr>
      <w:r>
        <w:rPr>
          <w:rFonts w:ascii="宋体" w:hAnsi="宋体" w:cs="宋体"/>
          <w:kern w:val="0"/>
          <w:sz w:val="24"/>
        </w:rPr>
        <w:t> </w:t>
      </w:r>
    </w:p>
    <w:p>
      <w:pPr>
        <w:widowControl/>
        <w:spacing w:before="75" w:after="75" w:line="360" w:lineRule="auto"/>
        <w:jc w:val="left"/>
        <w:rPr>
          <w:rFonts w:ascii="宋体" w:hAnsi="宋体" w:cs="宋体"/>
          <w:kern w:val="0"/>
          <w:sz w:val="24"/>
        </w:rPr>
      </w:pPr>
      <w:r>
        <w:rPr>
          <w:rFonts w:ascii="宋体" w:hAnsi="宋体" w:cs="宋体"/>
          <w:kern w:val="0"/>
          <w:sz w:val="24"/>
        </w:rPr>
        <w:t>委托代理人：              委托代理人：</w:t>
      </w:r>
    </w:p>
    <w:p>
      <w:pPr>
        <w:widowControl/>
        <w:spacing w:before="75" w:after="75" w:line="360" w:lineRule="auto"/>
        <w:jc w:val="left"/>
        <w:rPr>
          <w:rFonts w:ascii="宋体" w:hAnsi="宋体" w:cs="宋体"/>
          <w:kern w:val="0"/>
          <w:sz w:val="24"/>
        </w:rPr>
      </w:pPr>
      <w:r>
        <w:rPr>
          <w:rFonts w:ascii="宋体" w:hAnsi="宋体" w:cs="宋体"/>
          <w:kern w:val="0"/>
          <w:sz w:val="24"/>
        </w:rPr>
        <w:t> </w:t>
      </w:r>
    </w:p>
    <w:p>
      <w:pPr>
        <w:widowControl/>
        <w:spacing w:before="75" w:after="75" w:line="360" w:lineRule="auto"/>
        <w:jc w:val="left"/>
        <w:rPr>
          <w:rFonts w:ascii="宋体" w:hAnsi="宋体" w:cs="宋体"/>
          <w:kern w:val="0"/>
          <w:sz w:val="24"/>
        </w:rPr>
      </w:pPr>
      <w:r>
        <w:rPr>
          <w:rFonts w:ascii="宋体" w:hAnsi="宋体" w:cs="宋体"/>
          <w:kern w:val="0"/>
          <w:sz w:val="24"/>
        </w:rPr>
        <w:t>联系方法：               联系方法：</w:t>
      </w:r>
    </w:p>
    <w:p>
      <w:pPr>
        <w:widowControl/>
        <w:spacing w:before="75" w:after="75" w:line="360" w:lineRule="auto"/>
        <w:jc w:val="left"/>
        <w:rPr>
          <w:rFonts w:ascii="宋体" w:hAnsi="宋体" w:cs="宋体"/>
          <w:kern w:val="0"/>
          <w:sz w:val="24"/>
        </w:rPr>
      </w:pPr>
      <w:r>
        <w:rPr>
          <w:rFonts w:ascii="宋体" w:hAnsi="宋体" w:cs="宋体"/>
          <w:kern w:val="0"/>
          <w:sz w:val="24"/>
        </w:rPr>
        <w:t>开户银行：               开户银行：</w:t>
      </w:r>
    </w:p>
    <w:p>
      <w:pPr>
        <w:widowControl/>
        <w:spacing w:before="75" w:after="75" w:line="360" w:lineRule="auto"/>
        <w:jc w:val="left"/>
        <w:rPr>
          <w:rFonts w:ascii="宋体" w:hAnsi="宋体" w:cs="宋体"/>
          <w:kern w:val="0"/>
          <w:sz w:val="24"/>
        </w:rPr>
      </w:pPr>
      <w:r>
        <w:rPr>
          <w:rFonts w:ascii="宋体" w:hAnsi="宋体" w:cs="宋体"/>
          <w:kern w:val="0"/>
          <w:sz w:val="24"/>
        </w:rPr>
        <w:t>账号：                 账号：</w:t>
      </w:r>
    </w:p>
    <w:p>
      <w:pPr>
        <w:widowControl/>
        <w:spacing w:before="75" w:after="75" w:line="360" w:lineRule="auto"/>
        <w:jc w:val="left"/>
        <w:rPr>
          <w:rFonts w:ascii="宋体" w:hAnsi="宋体" w:cs="宋体"/>
          <w:kern w:val="0"/>
          <w:sz w:val="24"/>
        </w:rPr>
      </w:pPr>
      <w:r>
        <w:rPr>
          <w:rFonts w:ascii="宋体" w:hAnsi="宋体" w:cs="宋体"/>
          <w:kern w:val="0"/>
          <w:sz w:val="24"/>
        </w:rPr>
        <w:t> </w:t>
      </w:r>
    </w:p>
    <w:p>
      <w:pPr>
        <w:widowControl/>
        <w:spacing w:before="75" w:after="75" w:line="360" w:lineRule="auto"/>
        <w:jc w:val="left"/>
        <w:rPr>
          <w:rFonts w:ascii="宋体" w:hAnsi="宋体" w:cs="宋体"/>
          <w:kern w:val="0"/>
          <w:sz w:val="24"/>
        </w:rPr>
      </w:pPr>
      <w:r>
        <w:rPr>
          <w:rFonts w:ascii="宋体" w:hAnsi="宋体" w:cs="宋体"/>
          <w:kern w:val="0"/>
          <w:sz w:val="24"/>
        </w:rPr>
        <w:t> </w:t>
      </w:r>
    </w:p>
    <w:p>
      <w:pPr>
        <w:widowControl/>
        <w:spacing w:before="75" w:after="75" w:line="360" w:lineRule="auto"/>
        <w:jc w:val="left"/>
        <w:rPr>
          <w:rFonts w:ascii="宋体" w:hAnsi="宋体" w:cs="宋体"/>
          <w:kern w:val="0"/>
          <w:sz w:val="24"/>
        </w:rPr>
      </w:pPr>
      <w:r>
        <w:rPr>
          <w:rFonts w:ascii="宋体" w:hAnsi="宋体" w:cs="宋体"/>
          <w:kern w:val="0"/>
          <w:sz w:val="24"/>
        </w:rPr>
        <w:t>签订地点：</w:t>
      </w:r>
      <w:r>
        <w:rPr>
          <w:rFonts w:ascii="宋体" w:hAnsi="宋体" w:cs="宋体"/>
          <w:kern w:val="0"/>
          <w:sz w:val="24"/>
          <w:u w:val="single"/>
        </w:rPr>
        <w:t>                </w:t>
      </w:r>
    </w:p>
    <w:p>
      <w:pPr>
        <w:widowControl/>
        <w:spacing w:before="75" w:after="75" w:line="360" w:lineRule="auto"/>
        <w:jc w:val="left"/>
        <w:rPr>
          <w:rFonts w:ascii="宋体" w:hAnsi="宋体" w:cs="宋体"/>
          <w:kern w:val="0"/>
          <w:sz w:val="24"/>
        </w:rPr>
      </w:pPr>
      <w:r>
        <w:rPr>
          <w:rFonts w:ascii="宋体" w:hAnsi="宋体" w:cs="宋体"/>
          <w:kern w:val="0"/>
          <w:sz w:val="24"/>
        </w:rPr>
        <w:t>签订日期：</w:t>
      </w:r>
      <w:r>
        <w:rPr>
          <w:rFonts w:ascii="宋体" w:hAnsi="宋体" w:cs="宋体"/>
          <w:kern w:val="0"/>
          <w:sz w:val="24"/>
          <w:u w:val="single"/>
        </w:rPr>
        <w:t>    </w:t>
      </w:r>
      <w:r>
        <w:rPr>
          <w:rFonts w:ascii="宋体" w:hAnsi="宋体" w:cs="宋体"/>
          <w:kern w:val="0"/>
          <w:sz w:val="24"/>
        </w:rPr>
        <w:t>年</w:t>
      </w:r>
      <w:r>
        <w:rPr>
          <w:rFonts w:ascii="宋体" w:hAnsi="宋体" w:cs="宋体"/>
          <w:kern w:val="0"/>
          <w:sz w:val="24"/>
          <w:u w:val="single"/>
        </w:rPr>
        <w:t>   </w:t>
      </w:r>
      <w:r>
        <w:rPr>
          <w:rFonts w:ascii="宋体" w:hAnsi="宋体" w:cs="宋体"/>
          <w:kern w:val="0"/>
          <w:sz w:val="24"/>
        </w:rPr>
        <w:t>月</w:t>
      </w:r>
      <w:r>
        <w:rPr>
          <w:rFonts w:ascii="宋体" w:hAnsi="宋体" w:cs="宋体"/>
          <w:kern w:val="0"/>
          <w:sz w:val="24"/>
          <w:u w:val="single"/>
        </w:rPr>
        <w:t>   </w:t>
      </w:r>
      <w:r>
        <w:rPr>
          <w:rFonts w:ascii="宋体" w:hAnsi="宋体" w:cs="宋体"/>
          <w:kern w:val="0"/>
          <w:sz w:val="24"/>
        </w:rPr>
        <w:t>日</w:t>
      </w:r>
    </w:p>
    <w:p>
      <w:pPr>
        <w:widowControl/>
        <w:spacing w:before="75" w:after="75" w:line="360" w:lineRule="auto"/>
        <w:jc w:val="center"/>
        <w:rPr>
          <w:rFonts w:ascii="宋体" w:hAnsi="宋体" w:cs="宋体"/>
          <w:kern w:val="0"/>
          <w:sz w:val="24"/>
        </w:rPr>
      </w:pPr>
      <w:r>
        <w:rPr>
          <w:rFonts w:ascii="宋体" w:hAnsi="宋体" w:cs="宋体"/>
          <w:kern w:val="0"/>
          <w:sz w:val="24"/>
        </w:rPr>
        <w:t> </w:t>
      </w:r>
    </w:p>
    <w:p>
      <w:pPr>
        <w:widowControl/>
        <w:spacing w:before="75" w:after="75" w:line="360" w:lineRule="auto"/>
        <w:jc w:val="left"/>
        <w:rPr>
          <w:rFonts w:ascii="宋体" w:hAnsi="宋体" w:cs="宋体"/>
          <w:kern w:val="0"/>
          <w:sz w:val="24"/>
        </w:rPr>
      </w:pPr>
    </w:p>
    <w:p>
      <w:pPr>
        <w:widowControl/>
        <w:spacing w:before="75" w:after="75" w:line="360" w:lineRule="auto"/>
        <w:jc w:val="left"/>
        <w:rPr>
          <w:rFonts w:ascii="宋体" w:hAnsi="宋体" w:cs="宋体"/>
          <w:color w:val="000000"/>
          <w:kern w:val="0"/>
          <w:sz w:val="24"/>
        </w:rPr>
      </w:pPr>
      <w:r>
        <w:rPr>
          <w:rFonts w:hint="eastAsia" w:ascii="宋体" w:hAnsi="宋体" w:cs="宋体"/>
          <w:kern w:val="0"/>
          <w:sz w:val="24"/>
        </w:rPr>
        <w:t xml:space="preserve">附件  </w:t>
      </w:r>
      <w:r>
        <w:rPr>
          <w:rFonts w:ascii="宋体" w:hAnsi="宋体" w:cs="宋体"/>
          <w:color w:val="000000"/>
          <w:kern w:val="0"/>
          <w:sz w:val="24"/>
        </w:rPr>
        <w:t>整改施工阶段的技术支持服务承诺</w:t>
      </w:r>
      <w:r>
        <w:rPr>
          <w:rFonts w:hint="eastAsia" w:ascii="宋体" w:hAnsi="宋体" w:cs="宋体"/>
          <w:color w:val="000000"/>
          <w:kern w:val="0"/>
          <w:sz w:val="24"/>
        </w:rPr>
        <w:t>书</w:t>
      </w:r>
    </w:p>
    <w:p>
      <w:pPr>
        <w:widowControl/>
        <w:spacing w:before="75" w:after="75" w:line="360" w:lineRule="auto"/>
        <w:jc w:val="left"/>
        <w:rPr>
          <w:rFonts w:ascii="宋体" w:hAnsi="宋体" w:cs="宋体"/>
          <w:kern w:val="0"/>
          <w:sz w:val="24"/>
        </w:rPr>
      </w:pPr>
      <w:r>
        <w:rPr>
          <w:rFonts w:hint="eastAsia" w:ascii="宋体" w:hAnsi="宋体" w:cs="宋体"/>
          <w:color w:val="000000"/>
          <w:kern w:val="0"/>
          <w:sz w:val="24"/>
        </w:rPr>
        <w:tab/>
      </w:r>
      <w:r>
        <w:rPr>
          <w:rFonts w:hint="eastAsia" w:ascii="宋体" w:hAnsi="宋体" w:cs="宋体"/>
          <w:color w:val="000000"/>
          <w:kern w:val="0"/>
          <w:sz w:val="24"/>
        </w:rPr>
        <w:t xml:space="preserve">   </w:t>
      </w:r>
      <w:r>
        <w:rPr>
          <w:rFonts w:ascii="宋体" w:hAnsi="宋体" w:cs="宋体"/>
          <w:color w:val="000000"/>
          <w:kern w:val="0"/>
          <w:sz w:val="24"/>
        </w:rPr>
        <w:t>整改施工阶段的技术支持服务承诺</w:t>
      </w:r>
      <w:r>
        <w:rPr>
          <w:rFonts w:hint="eastAsia" w:ascii="宋体" w:hAnsi="宋体" w:cs="宋体"/>
          <w:color w:val="000000"/>
          <w:kern w:val="0"/>
          <w:sz w:val="24"/>
        </w:rPr>
        <w:t>书</w:t>
      </w:r>
    </w:p>
    <w:sectPr>
      <w:footerReference r:id="rId3" w:type="default"/>
      <w:pgSz w:w="11906" w:h="16838"/>
      <w:pgMar w:top="1418" w:right="1418" w:bottom="851"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全真中明體">
    <w:altName w:val="MingLiU-ExtB"/>
    <w:panose1 w:val="00000000000000000000"/>
    <w:charset w:val="88"/>
    <w:family w:val="modern"/>
    <w:pitch w:val="default"/>
    <w:sig w:usb0="00000000" w:usb1="00000000" w:usb2="00000010" w:usb3="00000000" w:csb0="00100000"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fldChar w:fldCharType="begin"/>
    </w:r>
    <w:r>
      <w:rPr>
        <w:lang w:val="zh-CN"/>
      </w:rPr>
      <w:instrText xml:space="preserve"> PAGE   \* MERGEFORMAT </w:instrText>
    </w:r>
    <w:r>
      <w:rPr>
        <w:lang w:val="zh-CN"/>
      </w:rPr>
      <w:fldChar w:fldCharType="separate"/>
    </w:r>
    <w:r>
      <w:rPr>
        <w:lang w:val="zh-CN"/>
      </w:rPr>
      <w:t>36</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1F44"/>
    <w:multiLevelType w:val="multilevel"/>
    <w:tmpl w:val="07AD1F44"/>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9216E10"/>
    <w:multiLevelType w:val="multilevel"/>
    <w:tmpl w:val="09216E1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E9F1D32"/>
    <w:multiLevelType w:val="multilevel"/>
    <w:tmpl w:val="0E9F1D3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DB428EE"/>
    <w:multiLevelType w:val="multilevel"/>
    <w:tmpl w:val="1DB428E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DB851DE"/>
    <w:multiLevelType w:val="multilevel"/>
    <w:tmpl w:val="1DB851DE"/>
    <w:lvl w:ilvl="0" w:tentative="0">
      <w:start w:val="1"/>
      <w:numFmt w:val="lowerLetter"/>
      <w:lvlText w:val="%1."/>
      <w:lvlJc w:val="left"/>
      <w:pPr>
        <w:ind w:left="1051" w:hanging="360"/>
      </w:pPr>
      <w:rPr>
        <w:rFonts w:hint="default"/>
      </w:rPr>
    </w:lvl>
    <w:lvl w:ilvl="1" w:tentative="0">
      <w:start w:val="1"/>
      <w:numFmt w:val="lowerLetter"/>
      <w:lvlText w:val="%2)"/>
      <w:lvlJc w:val="left"/>
      <w:pPr>
        <w:ind w:left="1531" w:hanging="420"/>
      </w:pPr>
    </w:lvl>
    <w:lvl w:ilvl="2" w:tentative="0">
      <w:start w:val="1"/>
      <w:numFmt w:val="lowerRoman"/>
      <w:lvlText w:val="%3."/>
      <w:lvlJc w:val="right"/>
      <w:pPr>
        <w:ind w:left="1951" w:hanging="420"/>
      </w:pPr>
    </w:lvl>
    <w:lvl w:ilvl="3" w:tentative="0">
      <w:start w:val="1"/>
      <w:numFmt w:val="decimal"/>
      <w:lvlText w:val="%4."/>
      <w:lvlJc w:val="left"/>
      <w:pPr>
        <w:ind w:left="2371" w:hanging="420"/>
      </w:pPr>
    </w:lvl>
    <w:lvl w:ilvl="4" w:tentative="0">
      <w:start w:val="1"/>
      <w:numFmt w:val="lowerLetter"/>
      <w:lvlText w:val="%5)"/>
      <w:lvlJc w:val="left"/>
      <w:pPr>
        <w:ind w:left="2791" w:hanging="420"/>
      </w:pPr>
    </w:lvl>
    <w:lvl w:ilvl="5" w:tentative="0">
      <w:start w:val="1"/>
      <w:numFmt w:val="lowerRoman"/>
      <w:lvlText w:val="%6."/>
      <w:lvlJc w:val="right"/>
      <w:pPr>
        <w:ind w:left="3211" w:hanging="420"/>
      </w:pPr>
    </w:lvl>
    <w:lvl w:ilvl="6" w:tentative="0">
      <w:start w:val="1"/>
      <w:numFmt w:val="decimal"/>
      <w:lvlText w:val="%7."/>
      <w:lvlJc w:val="left"/>
      <w:pPr>
        <w:ind w:left="3631" w:hanging="420"/>
      </w:pPr>
    </w:lvl>
    <w:lvl w:ilvl="7" w:tentative="0">
      <w:start w:val="1"/>
      <w:numFmt w:val="lowerLetter"/>
      <w:lvlText w:val="%8)"/>
      <w:lvlJc w:val="left"/>
      <w:pPr>
        <w:ind w:left="4051" w:hanging="420"/>
      </w:pPr>
    </w:lvl>
    <w:lvl w:ilvl="8" w:tentative="0">
      <w:start w:val="1"/>
      <w:numFmt w:val="lowerRoman"/>
      <w:lvlText w:val="%9."/>
      <w:lvlJc w:val="right"/>
      <w:pPr>
        <w:ind w:left="4471" w:hanging="420"/>
      </w:pPr>
    </w:lvl>
  </w:abstractNum>
  <w:abstractNum w:abstractNumId="5">
    <w:nsid w:val="268D1E3D"/>
    <w:multiLevelType w:val="multilevel"/>
    <w:tmpl w:val="268D1E3D"/>
    <w:lvl w:ilvl="0" w:tentative="0">
      <w:start w:val="1"/>
      <w:numFmt w:val="decimal"/>
      <w:lvlText w:val="（%1）"/>
      <w:lvlJc w:val="left"/>
      <w:pPr>
        <w:tabs>
          <w:tab w:val="left" w:pos="180"/>
        </w:tabs>
        <w:ind w:left="180" w:hanging="720"/>
      </w:pPr>
      <w:rPr>
        <w:rFonts w:hint="eastAsia"/>
      </w:rPr>
    </w:lvl>
    <w:lvl w:ilvl="1" w:tentative="0">
      <w:start w:val="1"/>
      <w:numFmt w:val="upperLetter"/>
      <w:pStyle w:val="5"/>
      <w:lvlText w:val="%2."/>
      <w:lvlJc w:val="left"/>
      <w:pPr>
        <w:tabs>
          <w:tab w:val="left" w:pos="300"/>
        </w:tabs>
        <w:ind w:left="300" w:hanging="420"/>
      </w:pPr>
    </w:lvl>
    <w:lvl w:ilvl="2" w:tentative="0">
      <w:start w:val="1"/>
      <w:numFmt w:val="lowerRoman"/>
      <w:lvlText w:val="%3."/>
      <w:lvlJc w:val="right"/>
      <w:pPr>
        <w:tabs>
          <w:tab w:val="left" w:pos="720"/>
        </w:tabs>
        <w:ind w:left="720" w:hanging="420"/>
      </w:pPr>
    </w:lvl>
    <w:lvl w:ilvl="3" w:tentative="0">
      <w:start w:val="1"/>
      <w:numFmt w:val="decimal"/>
      <w:lvlText w:val="%4."/>
      <w:lvlJc w:val="left"/>
      <w:pPr>
        <w:tabs>
          <w:tab w:val="left" w:pos="1140"/>
        </w:tabs>
        <w:ind w:left="1140" w:hanging="420"/>
      </w:pPr>
    </w:lvl>
    <w:lvl w:ilvl="4" w:tentative="0">
      <w:start w:val="1"/>
      <w:numFmt w:val="lowerLetter"/>
      <w:lvlText w:val="%5)"/>
      <w:lvlJc w:val="left"/>
      <w:pPr>
        <w:tabs>
          <w:tab w:val="left" w:pos="1560"/>
        </w:tabs>
        <w:ind w:left="1560" w:hanging="420"/>
      </w:pPr>
    </w:lvl>
    <w:lvl w:ilvl="5" w:tentative="0">
      <w:start w:val="1"/>
      <w:numFmt w:val="lowerRoman"/>
      <w:lvlText w:val="%6."/>
      <w:lvlJc w:val="right"/>
      <w:pPr>
        <w:tabs>
          <w:tab w:val="left" w:pos="1980"/>
        </w:tabs>
        <w:ind w:left="1980" w:hanging="420"/>
      </w:pPr>
    </w:lvl>
    <w:lvl w:ilvl="6" w:tentative="0">
      <w:start w:val="1"/>
      <w:numFmt w:val="decimal"/>
      <w:lvlText w:val="%7."/>
      <w:lvlJc w:val="left"/>
      <w:pPr>
        <w:tabs>
          <w:tab w:val="left" w:pos="2400"/>
        </w:tabs>
        <w:ind w:left="2400" w:hanging="420"/>
      </w:pPr>
    </w:lvl>
    <w:lvl w:ilvl="7" w:tentative="0">
      <w:start w:val="1"/>
      <w:numFmt w:val="lowerLetter"/>
      <w:lvlText w:val="%8)"/>
      <w:lvlJc w:val="left"/>
      <w:pPr>
        <w:tabs>
          <w:tab w:val="left" w:pos="2820"/>
        </w:tabs>
        <w:ind w:left="2820" w:hanging="420"/>
      </w:pPr>
    </w:lvl>
    <w:lvl w:ilvl="8" w:tentative="0">
      <w:start w:val="1"/>
      <w:numFmt w:val="lowerRoman"/>
      <w:lvlText w:val="%9."/>
      <w:lvlJc w:val="right"/>
      <w:pPr>
        <w:tabs>
          <w:tab w:val="left" w:pos="3240"/>
        </w:tabs>
        <w:ind w:left="3240" w:hanging="420"/>
      </w:pPr>
    </w:lvl>
  </w:abstractNum>
  <w:abstractNum w:abstractNumId="6">
    <w:nsid w:val="29FB4CD3"/>
    <w:multiLevelType w:val="multilevel"/>
    <w:tmpl w:val="29FB4CD3"/>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A9A1AD4"/>
    <w:multiLevelType w:val="multilevel"/>
    <w:tmpl w:val="2A9A1AD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3309236A"/>
    <w:multiLevelType w:val="multilevel"/>
    <w:tmpl w:val="3309236A"/>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3C75FB6"/>
    <w:multiLevelType w:val="multilevel"/>
    <w:tmpl w:val="43C75FB6"/>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4BA120BD"/>
    <w:multiLevelType w:val="multilevel"/>
    <w:tmpl w:val="4BA120BD"/>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5133526C"/>
    <w:multiLevelType w:val="multilevel"/>
    <w:tmpl w:val="5133526C"/>
    <w:lvl w:ilvl="0" w:tentative="0">
      <w:start w:val="1"/>
      <w:numFmt w:val="upperLetter"/>
      <w:lvlText w:val="%1."/>
      <w:lvlJc w:val="left"/>
      <w:pPr>
        <w:ind w:left="1110" w:hanging="420"/>
      </w:pPr>
    </w:lvl>
    <w:lvl w:ilvl="1" w:tentative="0">
      <w:start w:val="1"/>
      <w:numFmt w:val="lowerLetter"/>
      <w:lvlText w:val="%2)"/>
      <w:lvlJc w:val="left"/>
      <w:pPr>
        <w:ind w:left="1530" w:hanging="420"/>
      </w:pPr>
    </w:lvl>
    <w:lvl w:ilvl="2" w:tentative="0">
      <w:start w:val="1"/>
      <w:numFmt w:val="lowerRoman"/>
      <w:lvlText w:val="%3."/>
      <w:lvlJc w:val="right"/>
      <w:pPr>
        <w:ind w:left="1950" w:hanging="420"/>
      </w:pPr>
    </w:lvl>
    <w:lvl w:ilvl="3" w:tentative="0">
      <w:start w:val="1"/>
      <w:numFmt w:val="decimal"/>
      <w:lvlText w:val="%4."/>
      <w:lvlJc w:val="left"/>
      <w:pPr>
        <w:ind w:left="2370" w:hanging="420"/>
      </w:pPr>
    </w:lvl>
    <w:lvl w:ilvl="4" w:tentative="0">
      <w:start w:val="1"/>
      <w:numFmt w:val="lowerLetter"/>
      <w:lvlText w:val="%5)"/>
      <w:lvlJc w:val="left"/>
      <w:pPr>
        <w:ind w:left="2790" w:hanging="420"/>
      </w:pPr>
    </w:lvl>
    <w:lvl w:ilvl="5" w:tentative="0">
      <w:start w:val="1"/>
      <w:numFmt w:val="lowerRoman"/>
      <w:lvlText w:val="%6."/>
      <w:lvlJc w:val="right"/>
      <w:pPr>
        <w:ind w:left="3210" w:hanging="420"/>
      </w:pPr>
    </w:lvl>
    <w:lvl w:ilvl="6" w:tentative="0">
      <w:start w:val="1"/>
      <w:numFmt w:val="decimal"/>
      <w:lvlText w:val="%7."/>
      <w:lvlJc w:val="left"/>
      <w:pPr>
        <w:ind w:left="3630" w:hanging="420"/>
      </w:pPr>
    </w:lvl>
    <w:lvl w:ilvl="7" w:tentative="0">
      <w:start w:val="1"/>
      <w:numFmt w:val="lowerLetter"/>
      <w:lvlText w:val="%8)"/>
      <w:lvlJc w:val="left"/>
      <w:pPr>
        <w:ind w:left="4050" w:hanging="420"/>
      </w:pPr>
    </w:lvl>
    <w:lvl w:ilvl="8" w:tentative="0">
      <w:start w:val="1"/>
      <w:numFmt w:val="lowerRoman"/>
      <w:lvlText w:val="%9."/>
      <w:lvlJc w:val="right"/>
      <w:pPr>
        <w:ind w:left="4470" w:hanging="420"/>
      </w:pPr>
    </w:lvl>
  </w:abstractNum>
  <w:abstractNum w:abstractNumId="12">
    <w:nsid w:val="628B3CF6"/>
    <w:multiLevelType w:val="multilevel"/>
    <w:tmpl w:val="628B3CF6"/>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45C6262"/>
    <w:multiLevelType w:val="multilevel"/>
    <w:tmpl w:val="645C6262"/>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C8B6E3F"/>
    <w:multiLevelType w:val="multilevel"/>
    <w:tmpl w:val="6C8B6E3F"/>
    <w:lvl w:ilvl="0" w:tentative="0">
      <w:start w:val="1"/>
      <w:numFmt w:val="japaneseCounting"/>
      <w:lvlText w:val="第%1章"/>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BE71952"/>
    <w:multiLevelType w:val="multilevel"/>
    <w:tmpl w:val="7BE7195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EE310ED"/>
    <w:multiLevelType w:val="multilevel"/>
    <w:tmpl w:val="7EE310ED"/>
    <w:lvl w:ilvl="0" w:tentative="0">
      <w:start w:val="1"/>
      <w:numFmt w:val="chineseCountingThousand"/>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num w:numId="1">
    <w:abstractNumId w:val="5"/>
  </w:num>
  <w:num w:numId="2">
    <w:abstractNumId w:val="14"/>
  </w:num>
  <w:num w:numId="3">
    <w:abstractNumId w:val="16"/>
  </w:num>
  <w:num w:numId="4">
    <w:abstractNumId w:val="0"/>
  </w:num>
  <w:num w:numId="5">
    <w:abstractNumId w:val="1"/>
  </w:num>
  <w:num w:numId="6">
    <w:abstractNumId w:val="15"/>
  </w:num>
  <w:num w:numId="7">
    <w:abstractNumId w:val="2"/>
  </w:num>
  <w:num w:numId="8">
    <w:abstractNumId w:val="12"/>
  </w:num>
  <w:num w:numId="9">
    <w:abstractNumId w:val="9"/>
  </w:num>
  <w:num w:numId="10">
    <w:abstractNumId w:val="11"/>
  </w:num>
  <w:num w:numId="11">
    <w:abstractNumId w:val="4"/>
  </w:num>
  <w:num w:numId="12">
    <w:abstractNumId w:val="7"/>
  </w:num>
  <w:num w:numId="13">
    <w:abstractNumId w:val="8"/>
  </w:num>
  <w:num w:numId="14">
    <w:abstractNumId w:val="6"/>
  </w:num>
  <w:num w:numId="15">
    <w:abstractNumId w:val="10"/>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hideSpellingError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2F99"/>
    <w:rsid w:val="00001004"/>
    <w:rsid w:val="00004466"/>
    <w:rsid w:val="000049E8"/>
    <w:rsid w:val="00004E55"/>
    <w:rsid w:val="00006179"/>
    <w:rsid w:val="00007B78"/>
    <w:rsid w:val="000116CC"/>
    <w:rsid w:val="00011ADB"/>
    <w:rsid w:val="0001417B"/>
    <w:rsid w:val="0001454C"/>
    <w:rsid w:val="00016BAD"/>
    <w:rsid w:val="00020E96"/>
    <w:rsid w:val="000249D8"/>
    <w:rsid w:val="00025887"/>
    <w:rsid w:val="000308EB"/>
    <w:rsid w:val="00033F41"/>
    <w:rsid w:val="000350FB"/>
    <w:rsid w:val="00036CD9"/>
    <w:rsid w:val="000378EE"/>
    <w:rsid w:val="00040186"/>
    <w:rsid w:val="00040337"/>
    <w:rsid w:val="000429D6"/>
    <w:rsid w:val="00044A92"/>
    <w:rsid w:val="000453F5"/>
    <w:rsid w:val="00047076"/>
    <w:rsid w:val="00047E74"/>
    <w:rsid w:val="00050F07"/>
    <w:rsid w:val="00052788"/>
    <w:rsid w:val="00053291"/>
    <w:rsid w:val="00053D73"/>
    <w:rsid w:val="000555B5"/>
    <w:rsid w:val="00056819"/>
    <w:rsid w:val="0005750B"/>
    <w:rsid w:val="000575D1"/>
    <w:rsid w:val="00057B55"/>
    <w:rsid w:val="000613B7"/>
    <w:rsid w:val="000635C5"/>
    <w:rsid w:val="000639E9"/>
    <w:rsid w:val="000666E5"/>
    <w:rsid w:val="000676CA"/>
    <w:rsid w:val="0007394E"/>
    <w:rsid w:val="00073DFC"/>
    <w:rsid w:val="00075C6F"/>
    <w:rsid w:val="00076B9A"/>
    <w:rsid w:val="000779E6"/>
    <w:rsid w:val="00086999"/>
    <w:rsid w:val="00086FE3"/>
    <w:rsid w:val="00087CEB"/>
    <w:rsid w:val="000901E8"/>
    <w:rsid w:val="00090240"/>
    <w:rsid w:val="000909C3"/>
    <w:rsid w:val="00093E57"/>
    <w:rsid w:val="00094008"/>
    <w:rsid w:val="00094E54"/>
    <w:rsid w:val="000A1CCF"/>
    <w:rsid w:val="000A3312"/>
    <w:rsid w:val="000A3472"/>
    <w:rsid w:val="000A448C"/>
    <w:rsid w:val="000A60EC"/>
    <w:rsid w:val="000A7307"/>
    <w:rsid w:val="000A7333"/>
    <w:rsid w:val="000A7A36"/>
    <w:rsid w:val="000B0F41"/>
    <w:rsid w:val="000B132E"/>
    <w:rsid w:val="000B4033"/>
    <w:rsid w:val="000B4A23"/>
    <w:rsid w:val="000B71D5"/>
    <w:rsid w:val="000B77D5"/>
    <w:rsid w:val="000C25AB"/>
    <w:rsid w:val="000C2ADC"/>
    <w:rsid w:val="000C367F"/>
    <w:rsid w:val="000C373A"/>
    <w:rsid w:val="000C379B"/>
    <w:rsid w:val="000C5E1C"/>
    <w:rsid w:val="000C6D6F"/>
    <w:rsid w:val="000D2FF4"/>
    <w:rsid w:val="000D340B"/>
    <w:rsid w:val="000D50E5"/>
    <w:rsid w:val="000D581C"/>
    <w:rsid w:val="000D5F20"/>
    <w:rsid w:val="000D685A"/>
    <w:rsid w:val="000D7489"/>
    <w:rsid w:val="000E43FB"/>
    <w:rsid w:val="000E4798"/>
    <w:rsid w:val="000E4BBB"/>
    <w:rsid w:val="000F3A11"/>
    <w:rsid w:val="000F52B2"/>
    <w:rsid w:val="000F75A5"/>
    <w:rsid w:val="000F7764"/>
    <w:rsid w:val="000F7C6C"/>
    <w:rsid w:val="0010127B"/>
    <w:rsid w:val="00101EB3"/>
    <w:rsid w:val="00102057"/>
    <w:rsid w:val="00102B5F"/>
    <w:rsid w:val="00102E1D"/>
    <w:rsid w:val="001036CF"/>
    <w:rsid w:val="0010510E"/>
    <w:rsid w:val="00105866"/>
    <w:rsid w:val="00107A7E"/>
    <w:rsid w:val="00110DBC"/>
    <w:rsid w:val="00112D18"/>
    <w:rsid w:val="00114081"/>
    <w:rsid w:val="00115935"/>
    <w:rsid w:val="00115CFC"/>
    <w:rsid w:val="00115EC9"/>
    <w:rsid w:val="001173B8"/>
    <w:rsid w:val="00120171"/>
    <w:rsid w:val="00122BC0"/>
    <w:rsid w:val="00123577"/>
    <w:rsid w:val="001242B5"/>
    <w:rsid w:val="00126A3B"/>
    <w:rsid w:val="001271FC"/>
    <w:rsid w:val="00131F6A"/>
    <w:rsid w:val="001329A5"/>
    <w:rsid w:val="00132E32"/>
    <w:rsid w:val="00134AE5"/>
    <w:rsid w:val="00135C36"/>
    <w:rsid w:val="00136C55"/>
    <w:rsid w:val="00142BBF"/>
    <w:rsid w:val="00145DB4"/>
    <w:rsid w:val="001501B6"/>
    <w:rsid w:val="00150D03"/>
    <w:rsid w:val="00150F8B"/>
    <w:rsid w:val="0015471E"/>
    <w:rsid w:val="0015530E"/>
    <w:rsid w:val="001578DA"/>
    <w:rsid w:val="00157D17"/>
    <w:rsid w:val="00161E02"/>
    <w:rsid w:val="00161FBB"/>
    <w:rsid w:val="0016255F"/>
    <w:rsid w:val="00162E1B"/>
    <w:rsid w:val="00164215"/>
    <w:rsid w:val="00165E23"/>
    <w:rsid w:val="00167133"/>
    <w:rsid w:val="00170E48"/>
    <w:rsid w:val="0017155A"/>
    <w:rsid w:val="001715F5"/>
    <w:rsid w:val="0017266F"/>
    <w:rsid w:val="001746CD"/>
    <w:rsid w:val="00176FDB"/>
    <w:rsid w:val="00177036"/>
    <w:rsid w:val="001770DB"/>
    <w:rsid w:val="001804B8"/>
    <w:rsid w:val="00182C8E"/>
    <w:rsid w:val="00183600"/>
    <w:rsid w:val="00186536"/>
    <w:rsid w:val="00186AFD"/>
    <w:rsid w:val="0019003B"/>
    <w:rsid w:val="00191C53"/>
    <w:rsid w:val="00191C5E"/>
    <w:rsid w:val="00191CD2"/>
    <w:rsid w:val="00192459"/>
    <w:rsid w:val="00192B1D"/>
    <w:rsid w:val="00192CC3"/>
    <w:rsid w:val="00193A13"/>
    <w:rsid w:val="00193DA3"/>
    <w:rsid w:val="00197D31"/>
    <w:rsid w:val="001A1DE6"/>
    <w:rsid w:val="001A26B7"/>
    <w:rsid w:val="001A376A"/>
    <w:rsid w:val="001A5267"/>
    <w:rsid w:val="001A7009"/>
    <w:rsid w:val="001A7436"/>
    <w:rsid w:val="001A7A60"/>
    <w:rsid w:val="001B0F6F"/>
    <w:rsid w:val="001B11B9"/>
    <w:rsid w:val="001B14CF"/>
    <w:rsid w:val="001B15BF"/>
    <w:rsid w:val="001B6CBC"/>
    <w:rsid w:val="001C11D0"/>
    <w:rsid w:val="001C22B5"/>
    <w:rsid w:val="001C3D5B"/>
    <w:rsid w:val="001C4A96"/>
    <w:rsid w:val="001D0309"/>
    <w:rsid w:val="001D0A9E"/>
    <w:rsid w:val="001D52BB"/>
    <w:rsid w:val="001D7006"/>
    <w:rsid w:val="001D7E28"/>
    <w:rsid w:val="001D7F65"/>
    <w:rsid w:val="001E0AEF"/>
    <w:rsid w:val="001E1650"/>
    <w:rsid w:val="001E1982"/>
    <w:rsid w:val="001E1F4C"/>
    <w:rsid w:val="001E32F9"/>
    <w:rsid w:val="001E36CE"/>
    <w:rsid w:val="001E7A5A"/>
    <w:rsid w:val="001F1096"/>
    <w:rsid w:val="00200367"/>
    <w:rsid w:val="00204694"/>
    <w:rsid w:val="002049EE"/>
    <w:rsid w:val="00205215"/>
    <w:rsid w:val="002068C2"/>
    <w:rsid w:val="00211BEB"/>
    <w:rsid w:val="00211D82"/>
    <w:rsid w:val="00214C9A"/>
    <w:rsid w:val="002159B6"/>
    <w:rsid w:val="00217292"/>
    <w:rsid w:val="002200A1"/>
    <w:rsid w:val="00221585"/>
    <w:rsid w:val="00223E07"/>
    <w:rsid w:val="00223F0D"/>
    <w:rsid w:val="00223F8F"/>
    <w:rsid w:val="00224222"/>
    <w:rsid w:val="00224681"/>
    <w:rsid w:val="00224FE9"/>
    <w:rsid w:val="00225CC2"/>
    <w:rsid w:val="0022604C"/>
    <w:rsid w:val="002273BB"/>
    <w:rsid w:val="002310D2"/>
    <w:rsid w:val="002326DC"/>
    <w:rsid w:val="002370F6"/>
    <w:rsid w:val="002420E6"/>
    <w:rsid w:val="00242AB6"/>
    <w:rsid w:val="0024331F"/>
    <w:rsid w:val="0024392F"/>
    <w:rsid w:val="00243CF3"/>
    <w:rsid w:val="00244ADA"/>
    <w:rsid w:val="002462F7"/>
    <w:rsid w:val="00257197"/>
    <w:rsid w:val="00257CB8"/>
    <w:rsid w:val="00257DD5"/>
    <w:rsid w:val="002637B9"/>
    <w:rsid w:val="0026658D"/>
    <w:rsid w:val="002672A4"/>
    <w:rsid w:val="00270645"/>
    <w:rsid w:val="0027195F"/>
    <w:rsid w:val="00271D0E"/>
    <w:rsid w:val="0027598C"/>
    <w:rsid w:val="0028253B"/>
    <w:rsid w:val="00286363"/>
    <w:rsid w:val="0028698F"/>
    <w:rsid w:val="002877C0"/>
    <w:rsid w:val="00291206"/>
    <w:rsid w:val="002915D2"/>
    <w:rsid w:val="0029293C"/>
    <w:rsid w:val="002946C2"/>
    <w:rsid w:val="002970B2"/>
    <w:rsid w:val="00297CC7"/>
    <w:rsid w:val="002A0A66"/>
    <w:rsid w:val="002A3919"/>
    <w:rsid w:val="002A3B17"/>
    <w:rsid w:val="002A4E25"/>
    <w:rsid w:val="002A54E9"/>
    <w:rsid w:val="002A612D"/>
    <w:rsid w:val="002A7A3F"/>
    <w:rsid w:val="002B0641"/>
    <w:rsid w:val="002B1579"/>
    <w:rsid w:val="002B217B"/>
    <w:rsid w:val="002B3302"/>
    <w:rsid w:val="002B4CB2"/>
    <w:rsid w:val="002B7273"/>
    <w:rsid w:val="002B737B"/>
    <w:rsid w:val="002B7F59"/>
    <w:rsid w:val="002C1063"/>
    <w:rsid w:val="002C44C5"/>
    <w:rsid w:val="002C4572"/>
    <w:rsid w:val="002C711E"/>
    <w:rsid w:val="002D1431"/>
    <w:rsid w:val="002D1844"/>
    <w:rsid w:val="002D329C"/>
    <w:rsid w:val="002D4AB1"/>
    <w:rsid w:val="002D6EA7"/>
    <w:rsid w:val="002E1915"/>
    <w:rsid w:val="002E210D"/>
    <w:rsid w:val="002E40FF"/>
    <w:rsid w:val="002E4B0E"/>
    <w:rsid w:val="002E6B53"/>
    <w:rsid w:val="002E749A"/>
    <w:rsid w:val="002F4E8D"/>
    <w:rsid w:val="002F4F59"/>
    <w:rsid w:val="002F6AB5"/>
    <w:rsid w:val="002F6F02"/>
    <w:rsid w:val="002F75D3"/>
    <w:rsid w:val="00302BD0"/>
    <w:rsid w:val="003033DA"/>
    <w:rsid w:val="003046FF"/>
    <w:rsid w:val="00305AD7"/>
    <w:rsid w:val="00305C06"/>
    <w:rsid w:val="00306ED5"/>
    <w:rsid w:val="00310702"/>
    <w:rsid w:val="00311065"/>
    <w:rsid w:val="00311DE6"/>
    <w:rsid w:val="00312EA3"/>
    <w:rsid w:val="00313195"/>
    <w:rsid w:val="00313CE9"/>
    <w:rsid w:val="00313D1F"/>
    <w:rsid w:val="003174DE"/>
    <w:rsid w:val="00320151"/>
    <w:rsid w:val="003203CC"/>
    <w:rsid w:val="00322ADD"/>
    <w:rsid w:val="00324B00"/>
    <w:rsid w:val="00326508"/>
    <w:rsid w:val="00326685"/>
    <w:rsid w:val="00326D6C"/>
    <w:rsid w:val="00332804"/>
    <w:rsid w:val="00332E27"/>
    <w:rsid w:val="00333B34"/>
    <w:rsid w:val="00337230"/>
    <w:rsid w:val="00340C44"/>
    <w:rsid w:val="003412E9"/>
    <w:rsid w:val="00341687"/>
    <w:rsid w:val="00342D4F"/>
    <w:rsid w:val="003432AB"/>
    <w:rsid w:val="0034616A"/>
    <w:rsid w:val="00347DA3"/>
    <w:rsid w:val="00350174"/>
    <w:rsid w:val="0035279A"/>
    <w:rsid w:val="003530DA"/>
    <w:rsid w:val="00353CFF"/>
    <w:rsid w:val="003570B3"/>
    <w:rsid w:val="00360070"/>
    <w:rsid w:val="003612E9"/>
    <w:rsid w:val="00361E4E"/>
    <w:rsid w:val="003627DA"/>
    <w:rsid w:val="0036316F"/>
    <w:rsid w:val="00366A55"/>
    <w:rsid w:val="00371CC5"/>
    <w:rsid w:val="003757D7"/>
    <w:rsid w:val="0037584E"/>
    <w:rsid w:val="00375A28"/>
    <w:rsid w:val="003763D9"/>
    <w:rsid w:val="00377E91"/>
    <w:rsid w:val="003802E1"/>
    <w:rsid w:val="00380419"/>
    <w:rsid w:val="0038106C"/>
    <w:rsid w:val="00381885"/>
    <w:rsid w:val="0038362A"/>
    <w:rsid w:val="00384890"/>
    <w:rsid w:val="00385639"/>
    <w:rsid w:val="00385ECC"/>
    <w:rsid w:val="003867E6"/>
    <w:rsid w:val="0039196C"/>
    <w:rsid w:val="00391AD5"/>
    <w:rsid w:val="00395D79"/>
    <w:rsid w:val="00397058"/>
    <w:rsid w:val="003A0554"/>
    <w:rsid w:val="003A16B6"/>
    <w:rsid w:val="003A2893"/>
    <w:rsid w:val="003A3CF9"/>
    <w:rsid w:val="003B027A"/>
    <w:rsid w:val="003B484A"/>
    <w:rsid w:val="003B4F18"/>
    <w:rsid w:val="003C32B8"/>
    <w:rsid w:val="003C4E90"/>
    <w:rsid w:val="003C517F"/>
    <w:rsid w:val="003C74FA"/>
    <w:rsid w:val="003D01AF"/>
    <w:rsid w:val="003D3D55"/>
    <w:rsid w:val="003D4163"/>
    <w:rsid w:val="003D5617"/>
    <w:rsid w:val="003D5E7F"/>
    <w:rsid w:val="003E20F2"/>
    <w:rsid w:val="003E43B5"/>
    <w:rsid w:val="003E4F99"/>
    <w:rsid w:val="003E5222"/>
    <w:rsid w:val="003E5616"/>
    <w:rsid w:val="003E6668"/>
    <w:rsid w:val="003E73F6"/>
    <w:rsid w:val="003F483C"/>
    <w:rsid w:val="003F5029"/>
    <w:rsid w:val="003F538B"/>
    <w:rsid w:val="003F6CF5"/>
    <w:rsid w:val="00400697"/>
    <w:rsid w:val="00402E5B"/>
    <w:rsid w:val="004036D5"/>
    <w:rsid w:val="00404205"/>
    <w:rsid w:val="004064EE"/>
    <w:rsid w:val="00406D79"/>
    <w:rsid w:val="00410680"/>
    <w:rsid w:val="004128DA"/>
    <w:rsid w:val="00415590"/>
    <w:rsid w:val="004172CD"/>
    <w:rsid w:val="00417435"/>
    <w:rsid w:val="00420A70"/>
    <w:rsid w:val="00420ECE"/>
    <w:rsid w:val="00422666"/>
    <w:rsid w:val="004304F8"/>
    <w:rsid w:val="00430AA6"/>
    <w:rsid w:val="00430BA7"/>
    <w:rsid w:val="00431557"/>
    <w:rsid w:val="00431838"/>
    <w:rsid w:val="0043329E"/>
    <w:rsid w:val="00434511"/>
    <w:rsid w:val="00435429"/>
    <w:rsid w:val="00436FE3"/>
    <w:rsid w:val="00442EB5"/>
    <w:rsid w:val="00443367"/>
    <w:rsid w:val="00444614"/>
    <w:rsid w:val="00447ECC"/>
    <w:rsid w:val="00451EDF"/>
    <w:rsid w:val="00452472"/>
    <w:rsid w:val="004537E2"/>
    <w:rsid w:val="004551D3"/>
    <w:rsid w:val="00455E0F"/>
    <w:rsid w:val="00457F41"/>
    <w:rsid w:val="00460F64"/>
    <w:rsid w:val="004642E4"/>
    <w:rsid w:val="0047138E"/>
    <w:rsid w:val="0047379A"/>
    <w:rsid w:val="00475300"/>
    <w:rsid w:val="00481F48"/>
    <w:rsid w:val="004829BB"/>
    <w:rsid w:val="00483FF7"/>
    <w:rsid w:val="004841BF"/>
    <w:rsid w:val="004849B2"/>
    <w:rsid w:val="00484CED"/>
    <w:rsid w:val="00485259"/>
    <w:rsid w:val="00486852"/>
    <w:rsid w:val="00486F08"/>
    <w:rsid w:val="00487056"/>
    <w:rsid w:val="00487E3D"/>
    <w:rsid w:val="00487FA6"/>
    <w:rsid w:val="004906CF"/>
    <w:rsid w:val="00491B29"/>
    <w:rsid w:val="00495ED4"/>
    <w:rsid w:val="00496639"/>
    <w:rsid w:val="00496811"/>
    <w:rsid w:val="00496981"/>
    <w:rsid w:val="00496BB7"/>
    <w:rsid w:val="004A569D"/>
    <w:rsid w:val="004A5A69"/>
    <w:rsid w:val="004A6796"/>
    <w:rsid w:val="004A7241"/>
    <w:rsid w:val="004B11D9"/>
    <w:rsid w:val="004B50E1"/>
    <w:rsid w:val="004B54E6"/>
    <w:rsid w:val="004B552A"/>
    <w:rsid w:val="004B5816"/>
    <w:rsid w:val="004B5B9E"/>
    <w:rsid w:val="004B658F"/>
    <w:rsid w:val="004B6F73"/>
    <w:rsid w:val="004C41E6"/>
    <w:rsid w:val="004C69FA"/>
    <w:rsid w:val="004D156D"/>
    <w:rsid w:val="004D2054"/>
    <w:rsid w:val="004D2E7B"/>
    <w:rsid w:val="004D43A6"/>
    <w:rsid w:val="004D570D"/>
    <w:rsid w:val="004D5961"/>
    <w:rsid w:val="004D7A74"/>
    <w:rsid w:val="004D7B77"/>
    <w:rsid w:val="004E15AF"/>
    <w:rsid w:val="004E286D"/>
    <w:rsid w:val="004E32FE"/>
    <w:rsid w:val="004E3B38"/>
    <w:rsid w:val="004E592A"/>
    <w:rsid w:val="004E68AF"/>
    <w:rsid w:val="004E69D1"/>
    <w:rsid w:val="004F0335"/>
    <w:rsid w:val="004F04D4"/>
    <w:rsid w:val="004F073F"/>
    <w:rsid w:val="004F26A6"/>
    <w:rsid w:val="004F5019"/>
    <w:rsid w:val="004F57E5"/>
    <w:rsid w:val="004F5E10"/>
    <w:rsid w:val="00500C92"/>
    <w:rsid w:val="005061FE"/>
    <w:rsid w:val="0050796D"/>
    <w:rsid w:val="0051523D"/>
    <w:rsid w:val="0051694A"/>
    <w:rsid w:val="0052212E"/>
    <w:rsid w:val="00523158"/>
    <w:rsid w:val="0052365C"/>
    <w:rsid w:val="00530F89"/>
    <w:rsid w:val="00531054"/>
    <w:rsid w:val="00534F6C"/>
    <w:rsid w:val="00536827"/>
    <w:rsid w:val="00536D49"/>
    <w:rsid w:val="00536F8B"/>
    <w:rsid w:val="00537C02"/>
    <w:rsid w:val="00541E17"/>
    <w:rsid w:val="0054254B"/>
    <w:rsid w:val="0054547C"/>
    <w:rsid w:val="005507AE"/>
    <w:rsid w:val="0055166A"/>
    <w:rsid w:val="005543D5"/>
    <w:rsid w:val="0055737A"/>
    <w:rsid w:val="0056004A"/>
    <w:rsid w:val="005608B5"/>
    <w:rsid w:val="00561129"/>
    <w:rsid w:val="00563AD3"/>
    <w:rsid w:val="0056538F"/>
    <w:rsid w:val="00565C9E"/>
    <w:rsid w:val="00567376"/>
    <w:rsid w:val="00567E64"/>
    <w:rsid w:val="00570C60"/>
    <w:rsid w:val="0057324E"/>
    <w:rsid w:val="00574120"/>
    <w:rsid w:val="005812FF"/>
    <w:rsid w:val="00581C54"/>
    <w:rsid w:val="005827B0"/>
    <w:rsid w:val="005844AC"/>
    <w:rsid w:val="00590E62"/>
    <w:rsid w:val="00592EB7"/>
    <w:rsid w:val="00592EE6"/>
    <w:rsid w:val="00597110"/>
    <w:rsid w:val="005A03B7"/>
    <w:rsid w:val="005A1864"/>
    <w:rsid w:val="005A1F9D"/>
    <w:rsid w:val="005A2CCA"/>
    <w:rsid w:val="005A356C"/>
    <w:rsid w:val="005B1034"/>
    <w:rsid w:val="005B1D3B"/>
    <w:rsid w:val="005B6DC8"/>
    <w:rsid w:val="005C009E"/>
    <w:rsid w:val="005C41F7"/>
    <w:rsid w:val="005C4377"/>
    <w:rsid w:val="005C4784"/>
    <w:rsid w:val="005C4FD3"/>
    <w:rsid w:val="005C55C8"/>
    <w:rsid w:val="005D2084"/>
    <w:rsid w:val="005D23A0"/>
    <w:rsid w:val="005D57EC"/>
    <w:rsid w:val="005E13D9"/>
    <w:rsid w:val="005E1D0D"/>
    <w:rsid w:val="005E2063"/>
    <w:rsid w:val="005E4AB4"/>
    <w:rsid w:val="005E693A"/>
    <w:rsid w:val="005E6AF4"/>
    <w:rsid w:val="005E745B"/>
    <w:rsid w:val="005E76A6"/>
    <w:rsid w:val="005F070F"/>
    <w:rsid w:val="005F219E"/>
    <w:rsid w:val="005F2D4E"/>
    <w:rsid w:val="005F3184"/>
    <w:rsid w:val="005F381E"/>
    <w:rsid w:val="005F5461"/>
    <w:rsid w:val="00600541"/>
    <w:rsid w:val="006007B3"/>
    <w:rsid w:val="00601996"/>
    <w:rsid w:val="006030B2"/>
    <w:rsid w:val="00606243"/>
    <w:rsid w:val="00606A30"/>
    <w:rsid w:val="00606A92"/>
    <w:rsid w:val="006111C7"/>
    <w:rsid w:val="006112D1"/>
    <w:rsid w:val="00611574"/>
    <w:rsid w:val="00615E1B"/>
    <w:rsid w:val="006160E1"/>
    <w:rsid w:val="00616989"/>
    <w:rsid w:val="00616AC3"/>
    <w:rsid w:val="00617526"/>
    <w:rsid w:val="006179B4"/>
    <w:rsid w:val="00617BA1"/>
    <w:rsid w:val="00617DE9"/>
    <w:rsid w:val="00620203"/>
    <w:rsid w:val="00620442"/>
    <w:rsid w:val="0062169D"/>
    <w:rsid w:val="00621C77"/>
    <w:rsid w:val="00622664"/>
    <w:rsid w:val="00622913"/>
    <w:rsid w:val="0063043C"/>
    <w:rsid w:val="006343DB"/>
    <w:rsid w:val="00636DA8"/>
    <w:rsid w:val="00637B34"/>
    <w:rsid w:val="006413FA"/>
    <w:rsid w:val="00641446"/>
    <w:rsid w:val="006453B9"/>
    <w:rsid w:val="006469A6"/>
    <w:rsid w:val="0064740D"/>
    <w:rsid w:val="006532FA"/>
    <w:rsid w:val="00655059"/>
    <w:rsid w:val="0065520A"/>
    <w:rsid w:val="00656717"/>
    <w:rsid w:val="00661528"/>
    <w:rsid w:val="00662E03"/>
    <w:rsid w:val="00663101"/>
    <w:rsid w:val="00663466"/>
    <w:rsid w:val="0066744E"/>
    <w:rsid w:val="006717E5"/>
    <w:rsid w:val="00671A67"/>
    <w:rsid w:val="00672EB1"/>
    <w:rsid w:val="0067341D"/>
    <w:rsid w:val="006746C8"/>
    <w:rsid w:val="0067481C"/>
    <w:rsid w:val="006749A3"/>
    <w:rsid w:val="00674AB5"/>
    <w:rsid w:val="00674C9F"/>
    <w:rsid w:val="006757A4"/>
    <w:rsid w:val="0067698C"/>
    <w:rsid w:val="0067698D"/>
    <w:rsid w:val="00681938"/>
    <w:rsid w:val="00681C17"/>
    <w:rsid w:val="006843A7"/>
    <w:rsid w:val="0068509B"/>
    <w:rsid w:val="00687B63"/>
    <w:rsid w:val="006907FC"/>
    <w:rsid w:val="0069175F"/>
    <w:rsid w:val="00691C83"/>
    <w:rsid w:val="00693AD2"/>
    <w:rsid w:val="006A0C3E"/>
    <w:rsid w:val="006A36FC"/>
    <w:rsid w:val="006A42BB"/>
    <w:rsid w:val="006A4A17"/>
    <w:rsid w:val="006A4DA4"/>
    <w:rsid w:val="006A57F3"/>
    <w:rsid w:val="006A5AA5"/>
    <w:rsid w:val="006A7ED5"/>
    <w:rsid w:val="006A7EF6"/>
    <w:rsid w:val="006B23EC"/>
    <w:rsid w:val="006B2752"/>
    <w:rsid w:val="006B5F1B"/>
    <w:rsid w:val="006B6988"/>
    <w:rsid w:val="006B75F2"/>
    <w:rsid w:val="006B7A19"/>
    <w:rsid w:val="006B7C2C"/>
    <w:rsid w:val="006C0290"/>
    <w:rsid w:val="006C23BE"/>
    <w:rsid w:val="006C611A"/>
    <w:rsid w:val="006C6637"/>
    <w:rsid w:val="006C68C5"/>
    <w:rsid w:val="006D119A"/>
    <w:rsid w:val="006D1A71"/>
    <w:rsid w:val="006D231A"/>
    <w:rsid w:val="006D38A3"/>
    <w:rsid w:val="006D64C9"/>
    <w:rsid w:val="006E2770"/>
    <w:rsid w:val="006E4E9A"/>
    <w:rsid w:val="006E5359"/>
    <w:rsid w:val="006E6E68"/>
    <w:rsid w:val="006E7200"/>
    <w:rsid w:val="006F0393"/>
    <w:rsid w:val="006F3E68"/>
    <w:rsid w:val="006F586B"/>
    <w:rsid w:val="006F599E"/>
    <w:rsid w:val="0070081B"/>
    <w:rsid w:val="007047FD"/>
    <w:rsid w:val="00704AD3"/>
    <w:rsid w:val="00705573"/>
    <w:rsid w:val="0070776A"/>
    <w:rsid w:val="007120C7"/>
    <w:rsid w:val="0071224E"/>
    <w:rsid w:val="0071338E"/>
    <w:rsid w:val="00713499"/>
    <w:rsid w:val="0071588D"/>
    <w:rsid w:val="00720B57"/>
    <w:rsid w:val="007212FA"/>
    <w:rsid w:val="00721BDE"/>
    <w:rsid w:val="00733EEC"/>
    <w:rsid w:val="00735F53"/>
    <w:rsid w:val="00737963"/>
    <w:rsid w:val="007438CE"/>
    <w:rsid w:val="007459B1"/>
    <w:rsid w:val="00753829"/>
    <w:rsid w:val="00753A05"/>
    <w:rsid w:val="00754837"/>
    <w:rsid w:val="00756E74"/>
    <w:rsid w:val="00756EE8"/>
    <w:rsid w:val="00761E5E"/>
    <w:rsid w:val="00762B2C"/>
    <w:rsid w:val="00764BBD"/>
    <w:rsid w:val="0076613E"/>
    <w:rsid w:val="007700FF"/>
    <w:rsid w:val="007704AF"/>
    <w:rsid w:val="00770FE7"/>
    <w:rsid w:val="00774697"/>
    <w:rsid w:val="00775629"/>
    <w:rsid w:val="00776A60"/>
    <w:rsid w:val="007776FA"/>
    <w:rsid w:val="007812E2"/>
    <w:rsid w:val="00784F0F"/>
    <w:rsid w:val="00786034"/>
    <w:rsid w:val="00786B2A"/>
    <w:rsid w:val="00792EEA"/>
    <w:rsid w:val="00794215"/>
    <w:rsid w:val="0079558F"/>
    <w:rsid w:val="00796AF4"/>
    <w:rsid w:val="007A21F8"/>
    <w:rsid w:val="007A27AD"/>
    <w:rsid w:val="007A5CB8"/>
    <w:rsid w:val="007A6CDB"/>
    <w:rsid w:val="007B08E8"/>
    <w:rsid w:val="007B0E18"/>
    <w:rsid w:val="007B0F5F"/>
    <w:rsid w:val="007B27F2"/>
    <w:rsid w:val="007B4F62"/>
    <w:rsid w:val="007B773B"/>
    <w:rsid w:val="007C1344"/>
    <w:rsid w:val="007C1B59"/>
    <w:rsid w:val="007C1EF2"/>
    <w:rsid w:val="007C28C8"/>
    <w:rsid w:val="007C649C"/>
    <w:rsid w:val="007C693C"/>
    <w:rsid w:val="007D0CA2"/>
    <w:rsid w:val="007D196C"/>
    <w:rsid w:val="007D21CE"/>
    <w:rsid w:val="007D51AC"/>
    <w:rsid w:val="007D58C9"/>
    <w:rsid w:val="007E0F5A"/>
    <w:rsid w:val="007E27AD"/>
    <w:rsid w:val="007E31B5"/>
    <w:rsid w:val="007E6BED"/>
    <w:rsid w:val="007E7252"/>
    <w:rsid w:val="007F1373"/>
    <w:rsid w:val="007F7ACE"/>
    <w:rsid w:val="007F7C26"/>
    <w:rsid w:val="00802EA7"/>
    <w:rsid w:val="008050A6"/>
    <w:rsid w:val="00811F33"/>
    <w:rsid w:val="00812AAA"/>
    <w:rsid w:val="00816A46"/>
    <w:rsid w:val="0082193D"/>
    <w:rsid w:val="0082351F"/>
    <w:rsid w:val="008238B7"/>
    <w:rsid w:val="00826CD7"/>
    <w:rsid w:val="008272B5"/>
    <w:rsid w:val="00827FD3"/>
    <w:rsid w:val="00830C1B"/>
    <w:rsid w:val="00830C95"/>
    <w:rsid w:val="00833E31"/>
    <w:rsid w:val="00834524"/>
    <w:rsid w:val="00837B6E"/>
    <w:rsid w:val="008462F4"/>
    <w:rsid w:val="008469E8"/>
    <w:rsid w:val="00847417"/>
    <w:rsid w:val="00851CB1"/>
    <w:rsid w:val="00852E88"/>
    <w:rsid w:val="00853898"/>
    <w:rsid w:val="008560C9"/>
    <w:rsid w:val="0085744C"/>
    <w:rsid w:val="00861DA4"/>
    <w:rsid w:val="0086332C"/>
    <w:rsid w:val="008647C1"/>
    <w:rsid w:val="00864943"/>
    <w:rsid w:val="00864B49"/>
    <w:rsid w:val="00864D1A"/>
    <w:rsid w:val="008654B8"/>
    <w:rsid w:val="008700DC"/>
    <w:rsid w:val="0087047D"/>
    <w:rsid w:val="00870BE6"/>
    <w:rsid w:val="00870D32"/>
    <w:rsid w:val="00872023"/>
    <w:rsid w:val="00874ADE"/>
    <w:rsid w:val="0087708E"/>
    <w:rsid w:val="00877880"/>
    <w:rsid w:val="00877D6A"/>
    <w:rsid w:val="00881771"/>
    <w:rsid w:val="008826D2"/>
    <w:rsid w:val="00882CCF"/>
    <w:rsid w:val="00882CE5"/>
    <w:rsid w:val="00884401"/>
    <w:rsid w:val="00887CC5"/>
    <w:rsid w:val="00894D39"/>
    <w:rsid w:val="00895F6C"/>
    <w:rsid w:val="00896056"/>
    <w:rsid w:val="008961C9"/>
    <w:rsid w:val="00896546"/>
    <w:rsid w:val="008A2462"/>
    <w:rsid w:val="008A33B1"/>
    <w:rsid w:val="008A5B7E"/>
    <w:rsid w:val="008A78AB"/>
    <w:rsid w:val="008A7C56"/>
    <w:rsid w:val="008B01BE"/>
    <w:rsid w:val="008B3062"/>
    <w:rsid w:val="008B62B9"/>
    <w:rsid w:val="008B69D7"/>
    <w:rsid w:val="008B6C9A"/>
    <w:rsid w:val="008C2672"/>
    <w:rsid w:val="008C3294"/>
    <w:rsid w:val="008C79D1"/>
    <w:rsid w:val="008D1E78"/>
    <w:rsid w:val="008D35CF"/>
    <w:rsid w:val="008D3B19"/>
    <w:rsid w:val="008D4486"/>
    <w:rsid w:val="008D44C3"/>
    <w:rsid w:val="008D60ED"/>
    <w:rsid w:val="008D619B"/>
    <w:rsid w:val="008D682D"/>
    <w:rsid w:val="008D6C88"/>
    <w:rsid w:val="008D75EA"/>
    <w:rsid w:val="008E17E8"/>
    <w:rsid w:val="008E1A9C"/>
    <w:rsid w:val="008E257C"/>
    <w:rsid w:val="008E3559"/>
    <w:rsid w:val="008E3D36"/>
    <w:rsid w:val="008E5742"/>
    <w:rsid w:val="008E639C"/>
    <w:rsid w:val="008E6BFB"/>
    <w:rsid w:val="008E7832"/>
    <w:rsid w:val="008F25ED"/>
    <w:rsid w:val="008F5BBF"/>
    <w:rsid w:val="008F5DF6"/>
    <w:rsid w:val="008F6704"/>
    <w:rsid w:val="009014A2"/>
    <w:rsid w:val="00903BF7"/>
    <w:rsid w:val="0090499F"/>
    <w:rsid w:val="00904ABA"/>
    <w:rsid w:val="0090522B"/>
    <w:rsid w:val="009055D4"/>
    <w:rsid w:val="00907C09"/>
    <w:rsid w:val="0091088D"/>
    <w:rsid w:val="0091153C"/>
    <w:rsid w:val="009118ED"/>
    <w:rsid w:val="00913F77"/>
    <w:rsid w:val="009143A7"/>
    <w:rsid w:val="00914CEE"/>
    <w:rsid w:val="00915D37"/>
    <w:rsid w:val="00916DBD"/>
    <w:rsid w:val="00917905"/>
    <w:rsid w:val="00921881"/>
    <w:rsid w:val="00922D90"/>
    <w:rsid w:val="009231AF"/>
    <w:rsid w:val="00923A85"/>
    <w:rsid w:val="00923C2D"/>
    <w:rsid w:val="00923EDD"/>
    <w:rsid w:val="00924442"/>
    <w:rsid w:val="00933B68"/>
    <w:rsid w:val="00933C06"/>
    <w:rsid w:val="00934511"/>
    <w:rsid w:val="00935EDB"/>
    <w:rsid w:val="00936F61"/>
    <w:rsid w:val="00937625"/>
    <w:rsid w:val="0094594B"/>
    <w:rsid w:val="009504A6"/>
    <w:rsid w:val="009505C5"/>
    <w:rsid w:val="009509E1"/>
    <w:rsid w:val="0095153F"/>
    <w:rsid w:val="00960642"/>
    <w:rsid w:val="009626C6"/>
    <w:rsid w:val="009630B6"/>
    <w:rsid w:val="00965498"/>
    <w:rsid w:val="00967F67"/>
    <w:rsid w:val="00970886"/>
    <w:rsid w:val="00971060"/>
    <w:rsid w:val="00972B19"/>
    <w:rsid w:val="009759EB"/>
    <w:rsid w:val="00975B12"/>
    <w:rsid w:val="00976D99"/>
    <w:rsid w:val="0098079E"/>
    <w:rsid w:val="009829B5"/>
    <w:rsid w:val="00984176"/>
    <w:rsid w:val="00986959"/>
    <w:rsid w:val="009903E2"/>
    <w:rsid w:val="00992B8B"/>
    <w:rsid w:val="0099303B"/>
    <w:rsid w:val="00995625"/>
    <w:rsid w:val="00997AB9"/>
    <w:rsid w:val="009A0944"/>
    <w:rsid w:val="009A1501"/>
    <w:rsid w:val="009A1CF6"/>
    <w:rsid w:val="009A2885"/>
    <w:rsid w:val="009A3BB6"/>
    <w:rsid w:val="009A5F33"/>
    <w:rsid w:val="009A6AD6"/>
    <w:rsid w:val="009A7612"/>
    <w:rsid w:val="009B087E"/>
    <w:rsid w:val="009B0DFF"/>
    <w:rsid w:val="009B2A83"/>
    <w:rsid w:val="009B3CA2"/>
    <w:rsid w:val="009B4143"/>
    <w:rsid w:val="009C0109"/>
    <w:rsid w:val="009C0F2E"/>
    <w:rsid w:val="009C283C"/>
    <w:rsid w:val="009C29BC"/>
    <w:rsid w:val="009C358B"/>
    <w:rsid w:val="009C5597"/>
    <w:rsid w:val="009C6061"/>
    <w:rsid w:val="009C6A5D"/>
    <w:rsid w:val="009C7703"/>
    <w:rsid w:val="009C7DC0"/>
    <w:rsid w:val="009D0F74"/>
    <w:rsid w:val="009D237C"/>
    <w:rsid w:val="009D31ED"/>
    <w:rsid w:val="009D4592"/>
    <w:rsid w:val="009D4C66"/>
    <w:rsid w:val="009D5765"/>
    <w:rsid w:val="009D5C86"/>
    <w:rsid w:val="009D5D81"/>
    <w:rsid w:val="009D61E4"/>
    <w:rsid w:val="009E12ED"/>
    <w:rsid w:val="009E2844"/>
    <w:rsid w:val="009E3A7D"/>
    <w:rsid w:val="009E45BF"/>
    <w:rsid w:val="009E6AE6"/>
    <w:rsid w:val="009E6B04"/>
    <w:rsid w:val="009E73D2"/>
    <w:rsid w:val="009E74FC"/>
    <w:rsid w:val="009F06AB"/>
    <w:rsid w:val="009F4FF7"/>
    <w:rsid w:val="009F5522"/>
    <w:rsid w:val="009F57F6"/>
    <w:rsid w:val="009F6421"/>
    <w:rsid w:val="009F77DA"/>
    <w:rsid w:val="00A0044E"/>
    <w:rsid w:val="00A00C51"/>
    <w:rsid w:val="00A03E91"/>
    <w:rsid w:val="00A05655"/>
    <w:rsid w:val="00A06A76"/>
    <w:rsid w:val="00A07094"/>
    <w:rsid w:val="00A1422F"/>
    <w:rsid w:val="00A1440F"/>
    <w:rsid w:val="00A17444"/>
    <w:rsid w:val="00A174B0"/>
    <w:rsid w:val="00A21FE4"/>
    <w:rsid w:val="00A2343D"/>
    <w:rsid w:val="00A24E9E"/>
    <w:rsid w:val="00A25C0F"/>
    <w:rsid w:val="00A25C73"/>
    <w:rsid w:val="00A26CF4"/>
    <w:rsid w:val="00A26FD7"/>
    <w:rsid w:val="00A35843"/>
    <w:rsid w:val="00A35FF0"/>
    <w:rsid w:val="00A36163"/>
    <w:rsid w:val="00A361C8"/>
    <w:rsid w:val="00A375A0"/>
    <w:rsid w:val="00A431F3"/>
    <w:rsid w:val="00A44357"/>
    <w:rsid w:val="00A44591"/>
    <w:rsid w:val="00A44C58"/>
    <w:rsid w:val="00A4750F"/>
    <w:rsid w:val="00A50DD2"/>
    <w:rsid w:val="00A51FCE"/>
    <w:rsid w:val="00A52355"/>
    <w:rsid w:val="00A5448C"/>
    <w:rsid w:val="00A55484"/>
    <w:rsid w:val="00A563A5"/>
    <w:rsid w:val="00A616DE"/>
    <w:rsid w:val="00A63B91"/>
    <w:rsid w:val="00A64115"/>
    <w:rsid w:val="00A641A7"/>
    <w:rsid w:val="00A66E2C"/>
    <w:rsid w:val="00A7043D"/>
    <w:rsid w:val="00A705EA"/>
    <w:rsid w:val="00A73223"/>
    <w:rsid w:val="00A73E6E"/>
    <w:rsid w:val="00A742E2"/>
    <w:rsid w:val="00A755DB"/>
    <w:rsid w:val="00A760DA"/>
    <w:rsid w:val="00A8285E"/>
    <w:rsid w:val="00A8295B"/>
    <w:rsid w:val="00A875F6"/>
    <w:rsid w:val="00A900A5"/>
    <w:rsid w:val="00A904DE"/>
    <w:rsid w:val="00A90E36"/>
    <w:rsid w:val="00A93F11"/>
    <w:rsid w:val="00A97A6B"/>
    <w:rsid w:val="00AA12C6"/>
    <w:rsid w:val="00AA138C"/>
    <w:rsid w:val="00AA4610"/>
    <w:rsid w:val="00AA5E88"/>
    <w:rsid w:val="00AA7BC1"/>
    <w:rsid w:val="00AB097F"/>
    <w:rsid w:val="00AB2D3D"/>
    <w:rsid w:val="00AB2FD0"/>
    <w:rsid w:val="00AB4E39"/>
    <w:rsid w:val="00AB5B02"/>
    <w:rsid w:val="00AB70CD"/>
    <w:rsid w:val="00AB7C66"/>
    <w:rsid w:val="00AC1EBC"/>
    <w:rsid w:val="00AC29A2"/>
    <w:rsid w:val="00AC7121"/>
    <w:rsid w:val="00AC7AD8"/>
    <w:rsid w:val="00AD08A9"/>
    <w:rsid w:val="00AD098E"/>
    <w:rsid w:val="00AD1C80"/>
    <w:rsid w:val="00AD2E2C"/>
    <w:rsid w:val="00AD5CEA"/>
    <w:rsid w:val="00AD7CA7"/>
    <w:rsid w:val="00AE1B67"/>
    <w:rsid w:val="00AE27B4"/>
    <w:rsid w:val="00AE2E97"/>
    <w:rsid w:val="00AE4626"/>
    <w:rsid w:val="00AE5797"/>
    <w:rsid w:val="00AE6745"/>
    <w:rsid w:val="00AF0096"/>
    <w:rsid w:val="00AF0B94"/>
    <w:rsid w:val="00AF3D01"/>
    <w:rsid w:val="00AF7A71"/>
    <w:rsid w:val="00B00581"/>
    <w:rsid w:val="00B01D36"/>
    <w:rsid w:val="00B0352B"/>
    <w:rsid w:val="00B04E4A"/>
    <w:rsid w:val="00B057AF"/>
    <w:rsid w:val="00B07477"/>
    <w:rsid w:val="00B113BD"/>
    <w:rsid w:val="00B1212A"/>
    <w:rsid w:val="00B138AA"/>
    <w:rsid w:val="00B13B24"/>
    <w:rsid w:val="00B1649D"/>
    <w:rsid w:val="00B16883"/>
    <w:rsid w:val="00B22083"/>
    <w:rsid w:val="00B22B43"/>
    <w:rsid w:val="00B23077"/>
    <w:rsid w:val="00B2398E"/>
    <w:rsid w:val="00B24EB3"/>
    <w:rsid w:val="00B26DD1"/>
    <w:rsid w:val="00B2729F"/>
    <w:rsid w:val="00B278DF"/>
    <w:rsid w:val="00B305EA"/>
    <w:rsid w:val="00B3063B"/>
    <w:rsid w:val="00B35BF5"/>
    <w:rsid w:val="00B40E96"/>
    <w:rsid w:val="00B40FF1"/>
    <w:rsid w:val="00B433A8"/>
    <w:rsid w:val="00B43501"/>
    <w:rsid w:val="00B44584"/>
    <w:rsid w:val="00B45178"/>
    <w:rsid w:val="00B45426"/>
    <w:rsid w:val="00B526A7"/>
    <w:rsid w:val="00B528B6"/>
    <w:rsid w:val="00B52B5F"/>
    <w:rsid w:val="00B53AD3"/>
    <w:rsid w:val="00B60AAF"/>
    <w:rsid w:val="00B61279"/>
    <w:rsid w:val="00B618FC"/>
    <w:rsid w:val="00B61F9C"/>
    <w:rsid w:val="00B622A3"/>
    <w:rsid w:val="00B6465A"/>
    <w:rsid w:val="00B67698"/>
    <w:rsid w:val="00B738AD"/>
    <w:rsid w:val="00B739AC"/>
    <w:rsid w:val="00B74EB9"/>
    <w:rsid w:val="00B75030"/>
    <w:rsid w:val="00B8051B"/>
    <w:rsid w:val="00B81824"/>
    <w:rsid w:val="00B81E3D"/>
    <w:rsid w:val="00B82717"/>
    <w:rsid w:val="00B82A58"/>
    <w:rsid w:val="00B83D12"/>
    <w:rsid w:val="00B8455E"/>
    <w:rsid w:val="00B8636E"/>
    <w:rsid w:val="00B86538"/>
    <w:rsid w:val="00B87221"/>
    <w:rsid w:val="00B911E9"/>
    <w:rsid w:val="00B9187B"/>
    <w:rsid w:val="00B922FE"/>
    <w:rsid w:val="00B9606D"/>
    <w:rsid w:val="00B96EDC"/>
    <w:rsid w:val="00BA18FA"/>
    <w:rsid w:val="00BA25D4"/>
    <w:rsid w:val="00BA508E"/>
    <w:rsid w:val="00BA51BA"/>
    <w:rsid w:val="00BA62B7"/>
    <w:rsid w:val="00BA746C"/>
    <w:rsid w:val="00BB1F15"/>
    <w:rsid w:val="00BB3980"/>
    <w:rsid w:val="00BB7081"/>
    <w:rsid w:val="00BC0894"/>
    <w:rsid w:val="00BC1940"/>
    <w:rsid w:val="00BC1AFD"/>
    <w:rsid w:val="00BC1D93"/>
    <w:rsid w:val="00BC333B"/>
    <w:rsid w:val="00BC4009"/>
    <w:rsid w:val="00BC4A00"/>
    <w:rsid w:val="00BC53BA"/>
    <w:rsid w:val="00BC6A9A"/>
    <w:rsid w:val="00BD15DB"/>
    <w:rsid w:val="00BE4496"/>
    <w:rsid w:val="00BE51B0"/>
    <w:rsid w:val="00BE55E6"/>
    <w:rsid w:val="00BE7FC6"/>
    <w:rsid w:val="00BF1A02"/>
    <w:rsid w:val="00BF2768"/>
    <w:rsid w:val="00BF2DD2"/>
    <w:rsid w:val="00BF2F37"/>
    <w:rsid w:val="00BF57DD"/>
    <w:rsid w:val="00BF6034"/>
    <w:rsid w:val="00BF6399"/>
    <w:rsid w:val="00BF7A3A"/>
    <w:rsid w:val="00C0326B"/>
    <w:rsid w:val="00C036E5"/>
    <w:rsid w:val="00C03B48"/>
    <w:rsid w:val="00C06014"/>
    <w:rsid w:val="00C07942"/>
    <w:rsid w:val="00C10771"/>
    <w:rsid w:val="00C10C76"/>
    <w:rsid w:val="00C13319"/>
    <w:rsid w:val="00C145EA"/>
    <w:rsid w:val="00C14FFD"/>
    <w:rsid w:val="00C1716A"/>
    <w:rsid w:val="00C221A8"/>
    <w:rsid w:val="00C22DBC"/>
    <w:rsid w:val="00C2676F"/>
    <w:rsid w:val="00C31317"/>
    <w:rsid w:val="00C3295E"/>
    <w:rsid w:val="00C330E0"/>
    <w:rsid w:val="00C37889"/>
    <w:rsid w:val="00C40640"/>
    <w:rsid w:val="00C43116"/>
    <w:rsid w:val="00C432EB"/>
    <w:rsid w:val="00C438D2"/>
    <w:rsid w:val="00C43A9E"/>
    <w:rsid w:val="00C43F17"/>
    <w:rsid w:val="00C453EB"/>
    <w:rsid w:val="00C45B73"/>
    <w:rsid w:val="00C4660A"/>
    <w:rsid w:val="00C47A2A"/>
    <w:rsid w:val="00C52EF5"/>
    <w:rsid w:val="00C52FD4"/>
    <w:rsid w:val="00C546E3"/>
    <w:rsid w:val="00C57F49"/>
    <w:rsid w:val="00C61D6E"/>
    <w:rsid w:val="00C63581"/>
    <w:rsid w:val="00C6546E"/>
    <w:rsid w:val="00C65A3C"/>
    <w:rsid w:val="00C668ED"/>
    <w:rsid w:val="00C712B3"/>
    <w:rsid w:val="00C71563"/>
    <w:rsid w:val="00C72B9C"/>
    <w:rsid w:val="00C75CD8"/>
    <w:rsid w:val="00C81CE0"/>
    <w:rsid w:val="00C868B2"/>
    <w:rsid w:val="00C86A5F"/>
    <w:rsid w:val="00C87034"/>
    <w:rsid w:val="00C91EA0"/>
    <w:rsid w:val="00C9241D"/>
    <w:rsid w:val="00C9379D"/>
    <w:rsid w:val="00C93AA8"/>
    <w:rsid w:val="00C943D8"/>
    <w:rsid w:val="00C94772"/>
    <w:rsid w:val="00C95829"/>
    <w:rsid w:val="00C979A4"/>
    <w:rsid w:val="00CA0AA1"/>
    <w:rsid w:val="00CA45FA"/>
    <w:rsid w:val="00CA6009"/>
    <w:rsid w:val="00CA6D4F"/>
    <w:rsid w:val="00CB1353"/>
    <w:rsid w:val="00CB1F55"/>
    <w:rsid w:val="00CB27CD"/>
    <w:rsid w:val="00CB338A"/>
    <w:rsid w:val="00CB341E"/>
    <w:rsid w:val="00CB3F7F"/>
    <w:rsid w:val="00CB479E"/>
    <w:rsid w:val="00CB4A09"/>
    <w:rsid w:val="00CB7B6E"/>
    <w:rsid w:val="00CC170E"/>
    <w:rsid w:val="00CC362A"/>
    <w:rsid w:val="00CC46C0"/>
    <w:rsid w:val="00CC5C7C"/>
    <w:rsid w:val="00CD0EF2"/>
    <w:rsid w:val="00CD11DE"/>
    <w:rsid w:val="00CD2F99"/>
    <w:rsid w:val="00CD6804"/>
    <w:rsid w:val="00CD70A1"/>
    <w:rsid w:val="00CD71F2"/>
    <w:rsid w:val="00CD7B34"/>
    <w:rsid w:val="00CE544E"/>
    <w:rsid w:val="00CE751E"/>
    <w:rsid w:val="00CE7A2B"/>
    <w:rsid w:val="00CF0B94"/>
    <w:rsid w:val="00CF20B3"/>
    <w:rsid w:val="00CF2704"/>
    <w:rsid w:val="00CF4BF9"/>
    <w:rsid w:val="00CF4CC1"/>
    <w:rsid w:val="00CF68AC"/>
    <w:rsid w:val="00D02727"/>
    <w:rsid w:val="00D0337F"/>
    <w:rsid w:val="00D04E8D"/>
    <w:rsid w:val="00D05D9E"/>
    <w:rsid w:val="00D1526B"/>
    <w:rsid w:val="00D16664"/>
    <w:rsid w:val="00D17529"/>
    <w:rsid w:val="00D20EEA"/>
    <w:rsid w:val="00D221EA"/>
    <w:rsid w:val="00D22B65"/>
    <w:rsid w:val="00D22ED2"/>
    <w:rsid w:val="00D245CE"/>
    <w:rsid w:val="00D25334"/>
    <w:rsid w:val="00D315F1"/>
    <w:rsid w:val="00D363EE"/>
    <w:rsid w:val="00D40262"/>
    <w:rsid w:val="00D414B9"/>
    <w:rsid w:val="00D434B6"/>
    <w:rsid w:val="00D5036C"/>
    <w:rsid w:val="00D506A1"/>
    <w:rsid w:val="00D50A8B"/>
    <w:rsid w:val="00D51874"/>
    <w:rsid w:val="00D54B46"/>
    <w:rsid w:val="00D54B9F"/>
    <w:rsid w:val="00D55107"/>
    <w:rsid w:val="00D55AA3"/>
    <w:rsid w:val="00D565EC"/>
    <w:rsid w:val="00D6093E"/>
    <w:rsid w:val="00D6116A"/>
    <w:rsid w:val="00D61C30"/>
    <w:rsid w:val="00D64EBC"/>
    <w:rsid w:val="00D65202"/>
    <w:rsid w:val="00D65B91"/>
    <w:rsid w:val="00D669E1"/>
    <w:rsid w:val="00D67D5B"/>
    <w:rsid w:val="00D72977"/>
    <w:rsid w:val="00D72D00"/>
    <w:rsid w:val="00D72DE1"/>
    <w:rsid w:val="00D814CE"/>
    <w:rsid w:val="00D839E1"/>
    <w:rsid w:val="00D8602D"/>
    <w:rsid w:val="00D90CF4"/>
    <w:rsid w:val="00D913AE"/>
    <w:rsid w:val="00D914B4"/>
    <w:rsid w:val="00D9252B"/>
    <w:rsid w:val="00D92D94"/>
    <w:rsid w:val="00D94230"/>
    <w:rsid w:val="00D951AA"/>
    <w:rsid w:val="00D977CC"/>
    <w:rsid w:val="00DA1D15"/>
    <w:rsid w:val="00DA4047"/>
    <w:rsid w:val="00DA470A"/>
    <w:rsid w:val="00DA48D3"/>
    <w:rsid w:val="00DB1273"/>
    <w:rsid w:val="00DB32A4"/>
    <w:rsid w:val="00DB511A"/>
    <w:rsid w:val="00DB535A"/>
    <w:rsid w:val="00DB6C65"/>
    <w:rsid w:val="00DB77E9"/>
    <w:rsid w:val="00DB79B5"/>
    <w:rsid w:val="00DC0586"/>
    <w:rsid w:val="00DC2753"/>
    <w:rsid w:val="00DC4257"/>
    <w:rsid w:val="00DC68DD"/>
    <w:rsid w:val="00DD0DC2"/>
    <w:rsid w:val="00DD353C"/>
    <w:rsid w:val="00DD41B7"/>
    <w:rsid w:val="00DD4BBD"/>
    <w:rsid w:val="00DD57AF"/>
    <w:rsid w:val="00DD5AF4"/>
    <w:rsid w:val="00DD7F62"/>
    <w:rsid w:val="00DE05FF"/>
    <w:rsid w:val="00DE29A0"/>
    <w:rsid w:val="00DE4782"/>
    <w:rsid w:val="00DE51D5"/>
    <w:rsid w:val="00DE663C"/>
    <w:rsid w:val="00DE68B4"/>
    <w:rsid w:val="00DF0032"/>
    <w:rsid w:val="00DF17DA"/>
    <w:rsid w:val="00DF332F"/>
    <w:rsid w:val="00DF6343"/>
    <w:rsid w:val="00DF7CB5"/>
    <w:rsid w:val="00E0153D"/>
    <w:rsid w:val="00E01A2F"/>
    <w:rsid w:val="00E050B7"/>
    <w:rsid w:val="00E06343"/>
    <w:rsid w:val="00E10269"/>
    <w:rsid w:val="00E10292"/>
    <w:rsid w:val="00E1035B"/>
    <w:rsid w:val="00E11F05"/>
    <w:rsid w:val="00E124EB"/>
    <w:rsid w:val="00E13DB0"/>
    <w:rsid w:val="00E13E4D"/>
    <w:rsid w:val="00E140CC"/>
    <w:rsid w:val="00E14A78"/>
    <w:rsid w:val="00E1519E"/>
    <w:rsid w:val="00E161BB"/>
    <w:rsid w:val="00E163F5"/>
    <w:rsid w:val="00E21A70"/>
    <w:rsid w:val="00E21F8D"/>
    <w:rsid w:val="00E2402E"/>
    <w:rsid w:val="00E24ABF"/>
    <w:rsid w:val="00E26E3B"/>
    <w:rsid w:val="00E303ED"/>
    <w:rsid w:val="00E33B39"/>
    <w:rsid w:val="00E35519"/>
    <w:rsid w:val="00E36BAA"/>
    <w:rsid w:val="00E3711A"/>
    <w:rsid w:val="00E4042F"/>
    <w:rsid w:val="00E41FD1"/>
    <w:rsid w:val="00E462E6"/>
    <w:rsid w:val="00E47199"/>
    <w:rsid w:val="00E47290"/>
    <w:rsid w:val="00E504EE"/>
    <w:rsid w:val="00E506D6"/>
    <w:rsid w:val="00E506E3"/>
    <w:rsid w:val="00E535D4"/>
    <w:rsid w:val="00E53A58"/>
    <w:rsid w:val="00E53C16"/>
    <w:rsid w:val="00E54433"/>
    <w:rsid w:val="00E54E6D"/>
    <w:rsid w:val="00E550CA"/>
    <w:rsid w:val="00E550D0"/>
    <w:rsid w:val="00E55536"/>
    <w:rsid w:val="00E55C52"/>
    <w:rsid w:val="00E6257C"/>
    <w:rsid w:val="00E64A13"/>
    <w:rsid w:val="00E6587B"/>
    <w:rsid w:val="00E65FF1"/>
    <w:rsid w:val="00E71844"/>
    <w:rsid w:val="00E75AEA"/>
    <w:rsid w:val="00E75FA4"/>
    <w:rsid w:val="00E77E3F"/>
    <w:rsid w:val="00E83E77"/>
    <w:rsid w:val="00E86616"/>
    <w:rsid w:val="00E90A97"/>
    <w:rsid w:val="00E9164B"/>
    <w:rsid w:val="00E9203E"/>
    <w:rsid w:val="00E9209C"/>
    <w:rsid w:val="00E974AE"/>
    <w:rsid w:val="00E975FC"/>
    <w:rsid w:val="00EA0497"/>
    <w:rsid w:val="00EA0BD7"/>
    <w:rsid w:val="00EA3EC0"/>
    <w:rsid w:val="00EA4632"/>
    <w:rsid w:val="00EA7215"/>
    <w:rsid w:val="00EB008F"/>
    <w:rsid w:val="00EB1AAB"/>
    <w:rsid w:val="00EB21BE"/>
    <w:rsid w:val="00EB4CAD"/>
    <w:rsid w:val="00EB614E"/>
    <w:rsid w:val="00EC3BCA"/>
    <w:rsid w:val="00EC5D52"/>
    <w:rsid w:val="00EC63A8"/>
    <w:rsid w:val="00EC787F"/>
    <w:rsid w:val="00ED1BF4"/>
    <w:rsid w:val="00ED2374"/>
    <w:rsid w:val="00ED2E02"/>
    <w:rsid w:val="00ED364D"/>
    <w:rsid w:val="00ED36A3"/>
    <w:rsid w:val="00ED4B80"/>
    <w:rsid w:val="00ED4EFE"/>
    <w:rsid w:val="00ED68B2"/>
    <w:rsid w:val="00EE10BD"/>
    <w:rsid w:val="00EE2880"/>
    <w:rsid w:val="00EE3985"/>
    <w:rsid w:val="00EE4F84"/>
    <w:rsid w:val="00EE5D34"/>
    <w:rsid w:val="00EE6EB8"/>
    <w:rsid w:val="00EE7A9D"/>
    <w:rsid w:val="00EE7AA9"/>
    <w:rsid w:val="00EF0BEA"/>
    <w:rsid w:val="00EF0DE2"/>
    <w:rsid w:val="00EF4691"/>
    <w:rsid w:val="00F010FD"/>
    <w:rsid w:val="00F0114E"/>
    <w:rsid w:val="00F01BE6"/>
    <w:rsid w:val="00F04B4B"/>
    <w:rsid w:val="00F051F4"/>
    <w:rsid w:val="00F0574E"/>
    <w:rsid w:val="00F05C71"/>
    <w:rsid w:val="00F0642A"/>
    <w:rsid w:val="00F07147"/>
    <w:rsid w:val="00F11FFC"/>
    <w:rsid w:val="00F1515B"/>
    <w:rsid w:val="00F15646"/>
    <w:rsid w:val="00F20E59"/>
    <w:rsid w:val="00F21140"/>
    <w:rsid w:val="00F21190"/>
    <w:rsid w:val="00F2224D"/>
    <w:rsid w:val="00F2239C"/>
    <w:rsid w:val="00F248E3"/>
    <w:rsid w:val="00F25243"/>
    <w:rsid w:val="00F25F68"/>
    <w:rsid w:val="00F27085"/>
    <w:rsid w:val="00F30081"/>
    <w:rsid w:val="00F3079B"/>
    <w:rsid w:val="00F3143F"/>
    <w:rsid w:val="00F33D9F"/>
    <w:rsid w:val="00F36BBE"/>
    <w:rsid w:val="00F37025"/>
    <w:rsid w:val="00F37F3A"/>
    <w:rsid w:val="00F408CB"/>
    <w:rsid w:val="00F41ABA"/>
    <w:rsid w:val="00F44A35"/>
    <w:rsid w:val="00F45A85"/>
    <w:rsid w:val="00F476BD"/>
    <w:rsid w:val="00F47745"/>
    <w:rsid w:val="00F5106E"/>
    <w:rsid w:val="00F511E5"/>
    <w:rsid w:val="00F51A41"/>
    <w:rsid w:val="00F532EF"/>
    <w:rsid w:val="00F536E9"/>
    <w:rsid w:val="00F546C9"/>
    <w:rsid w:val="00F54E51"/>
    <w:rsid w:val="00F61CD7"/>
    <w:rsid w:val="00F63533"/>
    <w:rsid w:val="00F64202"/>
    <w:rsid w:val="00F6576F"/>
    <w:rsid w:val="00F67539"/>
    <w:rsid w:val="00F707C1"/>
    <w:rsid w:val="00F71C9C"/>
    <w:rsid w:val="00F7229B"/>
    <w:rsid w:val="00F725B6"/>
    <w:rsid w:val="00F72E55"/>
    <w:rsid w:val="00F76D50"/>
    <w:rsid w:val="00F77802"/>
    <w:rsid w:val="00F77C84"/>
    <w:rsid w:val="00F8271B"/>
    <w:rsid w:val="00F83BF0"/>
    <w:rsid w:val="00F8648B"/>
    <w:rsid w:val="00F87E6B"/>
    <w:rsid w:val="00F9048B"/>
    <w:rsid w:val="00F9075A"/>
    <w:rsid w:val="00F90891"/>
    <w:rsid w:val="00F90FBC"/>
    <w:rsid w:val="00F9369C"/>
    <w:rsid w:val="00F939C2"/>
    <w:rsid w:val="00F941FE"/>
    <w:rsid w:val="00F9648E"/>
    <w:rsid w:val="00F97996"/>
    <w:rsid w:val="00FA0732"/>
    <w:rsid w:val="00FA1A4E"/>
    <w:rsid w:val="00FA42A5"/>
    <w:rsid w:val="00FA789F"/>
    <w:rsid w:val="00FB36BC"/>
    <w:rsid w:val="00FB3EB0"/>
    <w:rsid w:val="00FB688A"/>
    <w:rsid w:val="00FB6919"/>
    <w:rsid w:val="00FC0138"/>
    <w:rsid w:val="00FC17ED"/>
    <w:rsid w:val="00FC2407"/>
    <w:rsid w:val="00FC2C9F"/>
    <w:rsid w:val="00FC407C"/>
    <w:rsid w:val="00FC420D"/>
    <w:rsid w:val="00FC45EA"/>
    <w:rsid w:val="00FC52E3"/>
    <w:rsid w:val="00FC54C3"/>
    <w:rsid w:val="00FC585C"/>
    <w:rsid w:val="00FC72AA"/>
    <w:rsid w:val="00FD0BFF"/>
    <w:rsid w:val="00FD1BF9"/>
    <w:rsid w:val="00FD20B5"/>
    <w:rsid w:val="00FD2574"/>
    <w:rsid w:val="00FD5BF0"/>
    <w:rsid w:val="00FD62EE"/>
    <w:rsid w:val="00FD7859"/>
    <w:rsid w:val="00FE08A6"/>
    <w:rsid w:val="00FE1108"/>
    <w:rsid w:val="00FE3846"/>
    <w:rsid w:val="00FE39E3"/>
    <w:rsid w:val="00FE5A67"/>
    <w:rsid w:val="00FF18A8"/>
    <w:rsid w:val="00FF2A82"/>
    <w:rsid w:val="00FF311D"/>
    <w:rsid w:val="00FF491B"/>
    <w:rsid w:val="00FF6AFB"/>
    <w:rsid w:val="00FF7F51"/>
    <w:rsid w:val="068F35CD"/>
    <w:rsid w:val="17350B90"/>
    <w:rsid w:val="19860997"/>
    <w:rsid w:val="312B469E"/>
    <w:rsid w:val="3665118C"/>
    <w:rsid w:val="465B2078"/>
    <w:rsid w:val="48F84901"/>
    <w:rsid w:val="5D1534C8"/>
    <w:rsid w:val="739A02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0" w:name="toc 2"/>
    <w:lsdException w:qFormat="1" w:unhideWhenUsed="0" w:uiPriority="0" w:name="toc 3"/>
    <w:lsdException w:qFormat="1"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numPr>
        <w:ilvl w:val="1"/>
        <w:numId w:val="1"/>
      </w:numPr>
      <w:outlineLvl w:val="3"/>
    </w:pPr>
    <w:rPr>
      <w:kern w:val="0"/>
      <w:sz w:val="28"/>
      <w:szCs w:val="20"/>
    </w:rPr>
  </w:style>
  <w:style w:type="character" w:default="1" w:styleId="31">
    <w:name w:val="Default Paragraph Font"/>
    <w:semiHidden/>
    <w:unhideWhenUsed/>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semiHidden/>
    <w:uiPriority w:val="0"/>
    <w:pPr>
      <w:ind w:left="1050"/>
      <w:jc w:val="left"/>
    </w:pPr>
    <w:rPr>
      <w:sz w:val="20"/>
      <w:szCs w:val="20"/>
    </w:rPr>
  </w:style>
  <w:style w:type="paragraph" w:styleId="7">
    <w:name w:val="Normal Indent"/>
    <w:basedOn w:val="1"/>
    <w:qFormat/>
    <w:uiPriority w:val="0"/>
    <w:pPr>
      <w:adjustRightInd w:val="0"/>
      <w:spacing w:line="360" w:lineRule="atLeast"/>
      <w:ind w:firstLine="420"/>
      <w:jc w:val="left"/>
      <w:textAlignment w:val="baseline"/>
    </w:pPr>
    <w:rPr>
      <w:kern w:val="0"/>
      <w:sz w:val="24"/>
      <w:szCs w:val="20"/>
    </w:rPr>
  </w:style>
  <w:style w:type="paragraph" w:styleId="8">
    <w:name w:val="caption"/>
    <w:basedOn w:val="1"/>
    <w:next w:val="1"/>
    <w:qFormat/>
    <w:uiPriority w:val="0"/>
    <w:rPr>
      <w:b/>
      <w:bCs/>
      <w:szCs w:val="20"/>
    </w:rPr>
  </w:style>
  <w:style w:type="paragraph" w:styleId="9">
    <w:name w:val="annotation text"/>
    <w:basedOn w:val="1"/>
    <w:link w:val="73"/>
    <w:semiHidden/>
    <w:unhideWhenUsed/>
    <w:qFormat/>
    <w:uiPriority w:val="99"/>
    <w:pPr>
      <w:jc w:val="left"/>
    </w:pPr>
    <w:rPr>
      <w:rFonts w:ascii="Calibri" w:hAnsi="Calibri"/>
      <w:szCs w:val="22"/>
    </w:rPr>
  </w:style>
  <w:style w:type="paragraph" w:styleId="10">
    <w:name w:val="Body Text 3"/>
    <w:basedOn w:val="1"/>
    <w:link w:val="72"/>
    <w:uiPriority w:val="0"/>
    <w:pPr>
      <w:spacing w:after="120"/>
    </w:pPr>
    <w:rPr>
      <w:sz w:val="16"/>
      <w:szCs w:val="16"/>
    </w:rPr>
  </w:style>
  <w:style w:type="paragraph" w:styleId="11">
    <w:name w:val="Body Text"/>
    <w:basedOn w:val="1"/>
    <w:link w:val="45"/>
    <w:qFormat/>
    <w:uiPriority w:val="0"/>
    <w:rPr>
      <w:b/>
      <w:bCs/>
      <w:kern w:val="0"/>
      <w:sz w:val="24"/>
    </w:rPr>
  </w:style>
  <w:style w:type="paragraph" w:styleId="12">
    <w:name w:val="Body Text Indent"/>
    <w:basedOn w:val="1"/>
    <w:link w:val="41"/>
    <w:uiPriority w:val="0"/>
    <w:pPr>
      <w:tabs>
        <w:tab w:val="left" w:pos="720"/>
        <w:tab w:val="left" w:pos="900"/>
      </w:tabs>
      <w:ind w:firstLine="420" w:firstLineChars="200"/>
    </w:pPr>
    <w:rPr>
      <w:kern w:val="0"/>
      <w:sz w:val="20"/>
    </w:rPr>
  </w:style>
  <w:style w:type="paragraph" w:styleId="13">
    <w:name w:val="toc 5"/>
    <w:basedOn w:val="1"/>
    <w:next w:val="1"/>
    <w:semiHidden/>
    <w:uiPriority w:val="0"/>
    <w:pPr>
      <w:ind w:left="630"/>
      <w:jc w:val="left"/>
    </w:pPr>
    <w:rPr>
      <w:sz w:val="20"/>
      <w:szCs w:val="20"/>
    </w:rPr>
  </w:style>
  <w:style w:type="paragraph" w:styleId="14">
    <w:name w:val="toc 3"/>
    <w:basedOn w:val="1"/>
    <w:next w:val="1"/>
    <w:semiHidden/>
    <w:qFormat/>
    <w:uiPriority w:val="0"/>
    <w:pPr>
      <w:ind w:left="210"/>
      <w:jc w:val="left"/>
    </w:pPr>
    <w:rPr>
      <w:sz w:val="20"/>
      <w:szCs w:val="20"/>
    </w:rPr>
  </w:style>
  <w:style w:type="paragraph" w:styleId="15">
    <w:name w:val="Plain Text"/>
    <w:basedOn w:val="1"/>
    <w:link w:val="43"/>
    <w:uiPriority w:val="0"/>
    <w:rPr>
      <w:rFonts w:ascii="宋体" w:hAnsi="Courier New"/>
      <w:kern w:val="0"/>
      <w:sz w:val="20"/>
      <w:szCs w:val="21"/>
    </w:rPr>
  </w:style>
  <w:style w:type="paragraph" w:styleId="16">
    <w:name w:val="toc 8"/>
    <w:basedOn w:val="1"/>
    <w:next w:val="1"/>
    <w:semiHidden/>
    <w:uiPriority w:val="0"/>
    <w:pPr>
      <w:ind w:left="1260"/>
      <w:jc w:val="left"/>
    </w:pPr>
    <w:rPr>
      <w:sz w:val="20"/>
      <w:szCs w:val="20"/>
    </w:rPr>
  </w:style>
  <w:style w:type="paragraph" w:styleId="17">
    <w:name w:val="Date"/>
    <w:basedOn w:val="1"/>
    <w:next w:val="1"/>
    <w:link w:val="48"/>
    <w:uiPriority w:val="0"/>
    <w:pPr>
      <w:ind w:left="100" w:leftChars="2500"/>
    </w:pPr>
    <w:rPr>
      <w:kern w:val="0"/>
      <w:sz w:val="20"/>
      <w:szCs w:val="21"/>
    </w:rPr>
  </w:style>
  <w:style w:type="paragraph" w:styleId="18">
    <w:name w:val="Body Text Indent 2"/>
    <w:basedOn w:val="1"/>
    <w:link w:val="47"/>
    <w:qFormat/>
    <w:uiPriority w:val="0"/>
    <w:pPr>
      <w:spacing w:line="720" w:lineRule="exact"/>
      <w:ind w:firstLine="361" w:firstLineChars="129"/>
    </w:pPr>
    <w:rPr>
      <w:kern w:val="0"/>
      <w:sz w:val="28"/>
    </w:rPr>
  </w:style>
  <w:style w:type="paragraph" w:styleId="19">
    <w:name w:val="Balloon Text"/>
    <w:basedOn w:val="1"/>
    <w:link w:val="50"/>
    <w:semiHidden/>
    <w:qFormat/>
    <w:uiPriority w:val="0"/>
    <w:rPr>
      <w:kern w:val="0"/>
      <w:sz w:val="18"/>
      <w:szCs w:val="18"/>
    </w:rPr>
  </w:style>
  <w:style w:type="paragraph" w:styleId="20">
    <w:name w:val="footer"/>
    <w:basedOn w:val="1"/>
    <w:link w:val="46"/>
    <w:qFormat/>
    <w:uiPriority w:val="99"/>
    <w:pPr>
      <w:tabs>
        <w:tab w:val="center" w:pos="4153"/>
        <w:tab w:val="right" w:pos="8306"/>
      </w:tabs>
      <w:snapToGrid w:val="0"/>
      <w:jc w:val="left"/>
    </w:pPr>
    <w:rPr>
      <w:kern w:val="0"/>
      <w:sz w:val="18"/>
      <w:szCs w:val="18"/>
    </w:rPr>
  </w:style>
  <w:style w:type="paragraph" w:styleId="21">
    <w:name w:val="header"/>
    <w:basedOn w:val="1"/>
    <w:link w:val="49"/>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iPriority w:val="39"/>
    <w:pPr>
      <w:tabs>
        <w:tab w:val="left" w:pos="936"/>
        <w:tab w:val="right" w:leader="dot" w:pos="9287"/>
      </w:tabs>
      <w:spacing w:before="360"/>
      <w:jc w:val="left"/>
    </w:pPr>
    <w:rPr>
      <w:rFonts w:ascii="Arial" w:hAnsi="Arial" w:cs="Arial"/>
      <w:b/>
      <w:bCs/>
      <w:caps/>
      <w:sz w:val="24"/>
    </w:rPr>
  </w:style>
  <w:style w:type="paragraph" w:styleId="23">
    <w:name w:val="toc 4"/>
    <w:basedOn w:val="1"/>
    <w:next w:val="1"/>
    <w:semiHidden/>
    <w:qFormat/>
    <w:uiPriority w:val="0"/>
    <w:pPr>
      <w:ind w:left="420"/>
      <w:jc w:val="left"/>
    </w:pPr>
    <w:rPr>
      <w:sz w:val="20"/>
      <w:szCs w:val="20"/>
    </w:rPr>
  </w:style>
  <w:style w:type="paragraph" w:styleId="24">
    <w:name w:val="toc 6"/>
    <w:basedOn w:val="1"/>
    <w:next w:val="1"/>
    <w:semiHidden/>
    <w:uiPriority w:val="0"/>
    <w:pPr>
      <w:ind w:left="840"/>
      <w:jc w:val="left"/>
    </w:pPr>
    <w:rPr>
      <w:sz w:val="20"/>
      <w:szCs w:val="20"/>
    </w:rPr>
  </w:style>
  <w:style w:type="paragraph" w:styleId="25">
    <w:name w:val="Body Text Indent 3"/>
    <w:basedOn w:val="1"/>
    <w:link w:val="42"/>
    <w:uiPriority w:val="0"/>
    <w:pPr>
      <w:tabs>
        <w:tab w:val="left" w:pos="600"/>
      </w:tabs>
      <w:spacing w:line="360" w:lineRule="auto"/>
      <w:ind w:left="150"/>
    </w:pPr>
    <w:rPr>
      <w:rFonts w:eastAsia="楷体_GB2312"/>
      <w:kern w:val="0"/>
      <w:sz w:val="30"/>
      <w:szCs w:val="20"/>
    </w:rPr>
  </w:style>
  <w:style w:type="paragraph" w:styleId="26">
    <w:name w:val="toc 2"/>
    <w:basedOn w:val="1"/>
    <w:next w:val="1"/>
    <w:semiHidden/>
    <w:qFormat/>
    <w:uiPriority w:val="0"/>
    <w:pPr>
      <w:spacing w:before="240"/>
      <w:jc w:val="left"/>
    </w:pPr>
    <w:rPr>
      <w:b/>
      <w:bCs/>
      <w:sz w:val="20"/>
      <w:szCs w:val="20"/>
    </w:rPr>
  </w:style>
  <w:style w:type="paragraph" w:styleId="27">
    <w:name w:val="toc 9"/>
    <w:basedOn w:val="1"/>
    <w:next w:val="1"/>
    <w:semiHidden/>
    <w:uiPriority w:val="0"/>
    <w:pPr>
      <w:ind w:left="1470"/>
      <w:jc w:val="left"/>
    </w:pPr>
    <w:rPr>
      <w:sz w:val="20"/>
      <w:szCs w:val="20"/>
    </w:rPr>
  </w:style>
  <w:style w:type="paragraph" w:styleId="28">
    <w:name w:val="Body Text 2"/>
    <w:basedOn w:val="1"/>
    <w:link w:val="51"/>
    <w:qFormat/>
    <w:uiPriority w:val="0"/>
    <w:pPr>
      <w:adjustRightInd w:val="0"/>
      <w:snapToGrid w:val="0"/>
      <w:spacing w:line="300" w:lineRule="auto"/>
      <w:textAlignment w:val="baseline"/>
    </w:pPr>
    <w:rPr>
      <w:rFonts w:ascii="宋体"/>
      <w:bCs/>
      <w:kern w:val="0"/>
      <w:sz w:val="28"/>
      <w:szCs w:val="20"/>
    </w:rPr>
  </w:style>
  <w:style w:type="paragraph" w:styleId="2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30">
    <w:name w:val="index 1"/>
    <w:basedOn w:val="1"/>
    <w:next w:val="1"/>
    <w:semiHidden/>
    <w:uiPriority w:val="0"/>
    <w:rPr>
      <w:szCs w:val="21"/>
    </w:rPr>
  </w:style>
  <w:style w:type="character" w:styleId="32">
    <w:name w:val="page number"/>
    <w:basedOn w:val="31"/>
    <w:qFormat/>
    <w:uiPriority w:val="0"/>
  </w:style>
  <w:style w:type="character" w:styleId="33">
    <w:name w:val="FollowedHyperlink"/>
    <w:qFormat/>
    <w:uiPriority w:val="0"/>
    <w:rPr>
      <w:color w:val="800080"/>
      <w:u w:val="single"/>
    </w:rPr>
  </w:style>
  <w:style w:type="character" w:styleId="34">
    <w:name w:val="Hyperlink"/>
    <w:uiPriority w:val="99"/>
    <w:rPr>
      <w:color w:val="0000FF"/>
      <w:u w:val="single"/>
    </w:rPr>
  </w:style>
  <w:style w:type="character" w:styleId="35">
    <w:name w:val="annotation reference"/>
    <w:semiHidden/>
    <w:unhideWhenUsed/>
    <w:qFormat/>
    <w:uiPriority w:val="99"/>
    <w:rPr>
      <w:sz w:val="21"/>
      <w:szCs w:val="21"/>
    </w:rPr>
  </w:style>
  <w:style w:type="table" w:styleId="37">
    <w:name w:val="Table Grid"/>
    <w:basedOn w:val="36"/>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8">
    <w:name w:val="标题 1 Char"/>
    <w:link w:val="2"/>
    <w:uiPriority w:val="0"/>
    <w:rPr>
      <w:rFonts w:ascii="Times New Roman" w:hAnsi="Times New Roman" w:eastAsia="宋体" w:cs="Times New Roman"/>
      <w:b/>
      <w:bCs/>
      <w:kern w:val="44"/>
      <w:sz w:val="44"/>
      <w:szCs w:val="44"/>
    </w:rPr>
  </w:style>
  <w:style w:type="character" w:customStyle="1" w:styleId="39">
    <w:name w:val="标题 2 Char"/>
    <w:link w:val="3"/>
    <w:uiPriority w:val="0"/>
    <w:rPr>
      <w:rFonts w:ascii="Arial" w:hAnsi="Arial" w:eastAsia="黑体" w:cs="Times New Roman"/>
      <w:b/>
      <w:bCs/>
      <w:sz w:val="32"/>
      <w:szCs w:val="32"/>
    </w:rPr>
  </w:style>
  <w:style w:type="character" w:customStyle="1" w:styleId="40">
    <w:name w:val="标题 4 Char"/>
    <w:link w:val="5"/>
    <w:uiPriority w:val="0"/>
    <w:rPr>
      <w:rFonts w:ascii="Times New Roman" w:hAnsi="Times New Roman" w:eastAsia="宋体" w:cs="Times New Roman"/>
      <w:sz w:val="28"/>
      <w:szCs w:val="20"/>
    </w:rPr>
  </w:style>
  <w:style w:type="character" w:customStyle="1" w:styleId="41">
    <w:name w:val="正文文本缩进 Char"/>
    <w:link w:val="12"/>
    <w:uiPriority w:val="0"/>
    <w:rPr>
      <w:rFonts w:ascii="Times New Roman" w:hAnsi="Times New Roman" w:eastAsia="宋体" w:cs="Times New Roman"/>
      <w:szCs w:val="24"/>
    </w:rPr>
  </w:style>
  <w:style w:type="character" w:customStyle="1" w:styleId="42">
    <w:name w:val="正文文本缩进 3 Char"/>
    <w:link w:val="25"/>
    <w:uiPriority w:val="0"/>
    <w:rPr>
      <w:rFonts w:ascii="Times New Roman" w:hAnsi="Times New Roman" w:eastAsia="楷体_GB2312" w:cs="Times New Roman"/>
      <w:kern w:val="0"/>
      <w:sz w:val="30"/>
      <w:szCs w:val="20"/>
    </w:rPr>
  </w:style>
  <w:style w:type="character" w:customStyle="1" w:styleId="43">
    <w:name w:val="纯文本 Char"/>
    <w:link w:val="15"/>
    <w:uiPriority w:val="0"/>
    <w:rPr>
      <w:rFonts w:ascii="宋体" w:hAnsi="Courier New" w:eastAsia="宋体" w:cs="Courier New"/>
      <w:szCs w:val="21"/>
    </w:rPr>
  </w:style>
  <w:style w:type="paragraph" w:customStyle="1" w:styleId="44">
    <w:name w:val="2"/>
    <w:basedOn w:val="1"/>
    <w:next w:val="12"/>
    <w:uiPriority w:val="0"/>
    <w:pPr>
      <w:ind w:left="2100" w:leftChars="1000" w:firstLine="560" w:firstLineChars="200"/>
      <w:jc w:val="left"/>
    </w:pPr>
    <w:rPr>
      <w:sz w:val="28"/>
    </w:rPr>
  </w:style>
  <w:style w:type="character" w:customStyle="1" w:styleId="45">
    <w:name w:val="正文文本 Char"/>
    <w:link w:val="11"/>
    <w:uiPriority w:val="0"/>
    <w:rPr>
      <w:rFonts w:ascii="Times New Roman" w:hAnsi="Times New Roman" w:eastAsia="宋体" w:cs="Times New Roman"/>
      <w:b/>
      <w:bCs/>
      <w:sz w:val="24"/>
      <w:szCs w:val="24"/>
    </w:rPr>
  </w:style>
  <w:style w:type="character" w:customStyle="1" w:styleId="46">
    <w:name w:val="页脚 Char"/>
    <w:link w:val="20"/>
    <w:uiPriority w:val="99"/>
    <w:rPr>
      <w:rFonts w:ascii="Times New Roman" w:hAnsi="Times New Roman" w:eastAsia="宋体" w:cs="Times New Roman"/>
      <w:sz w:val="18"/>
      <w:szCs w:val="18"/>
    </w:rPr>
  </w:style>
  <w:style w:type="character" w:customStyle="1" w:styleId="47">
    <w:name w:val="正文文本缩进 2 Char"/>
    <w:link w:val="18"/>
    <w:uiPriority w:val="0"/>
    <w:rPr>
      <w:rFonts w:ascii="Times New Roman" w:hAnsi="Times New Roman" w:eastAsia="宋体" w:cs="Times New Roman"/>
      <w:sz w:val="28"/>
      <w:szCs w:val="24"/>
    </w:rPr>
  </w:style>
  <w:style w:type="character" w:customStyle="1" w:styleId="48">
    <w:name w:val="日期 Char"/>
    <w:link w:val="17"/>
    <w:uiPriority w:val="0"/>
    <w:rPr>
      <w:rFonts w:ascii="Times New Roman" w:hAnsi="Times New Roman" w:eastAsia="宋体" w:cs="Times New Roman"/>
      <w:szCs w:val="21"/>
    </w:rPr>
  </w:style>
  <w:style w:type="character" w:customStyle="1" w:styleId="49">
    <w:name w:val="页眉 Char"/>
    <w:link w:val="21"/>
    <w:uiPriority w:val="0"/>
    <w:rPr>
      <w:rFonts w:ascii="Times New Roman" w:hAnsi="Times New Roman" w:eastAsia="宋体" w:cs="Times New Roman"/>
      <w:sz w:val="18"/>
      <w:szCs w:val="18"/>
    </w:rPr>
  </w:style>
  <w:style w:type="character" w:customStyle="1" w:styleId="50">
    <w:name w:val="批注框文本 Char"/>
    <w:link w:val="19"/>
    <w:semiHidden/>
    <w:uiPriority w:val="0"/>
    <w:rPr>
      <w:rFonts w:ascii="Times New Roman" w:hAnsi="Times New Roman" w:eastAsia="宋体" w:cs="Times New Roman"/>
      <w:sz w:val="18"/>
      <w:szCs w:val="18"/>
    </w:rPr>
  </w:style>
  <w:style w:type="character" w:customStyle="1" w:styleId="51">
    <w:name w:val="正文文本 2 Char"/>
    <w:link w:val="28"/>
    <w:qFormat/>
    <w:uiPriority w:val="0"/>
    <w:rPr>
      <w:rFonts w:ascii="宋体" w:hAnsi="Times New Roman" w:eastAsia="宋体" w:cs="Times New Roman"/>
      <w:bCs/>
      <w:kern w:val="0"/>
      <w:sz w:val="28"/>
      <w:szCs w:val="20"/>
    </w:rPr>
  </w:style>
  <w:style w:type="paragraph" w:customStyle="1" w:styleId="52">
    <w:name w:val="Char"/>
    <w:basedOn w:val="1"/>
    <w:uiPriority w:val="0"/>
    <w:rPr>
      <w:rFonts w:ascii="仿宋_GB2312" w:eastAsia="仿宋_GB2312"/>
      <w:b/>
      <w:sz w:val="32"/>
      <w:szCs w:val="32"/>
    </w:rPr>
  </w:style>
  <w:style w:type="paragraph" w:customStyle="1" w:styleId="53">
    <w:name w:val="Char11"/>
    <w:basedOn w:val="1"/>
    <w:uiPriority w:val="0"/>
    <w:rPr>
      <w:rFonts w:ascii="Arial" w:hAnsi="Arial" w:cs="Arial"/>
      <w:sz w:val="20"/>
      <w:szCs w:val="20"/>
    </w:rPr>
  </w:style>
  <w:style w:type="paragraph" w:customStyle="1" w:styleId="54">
    <w:name w:val="字元"/>
    <w:basedOn w:val="1"/>
    <w:uiPriority w:val="0"/>
    <w:rPr>
      <w:rFonts w:ascii="Tahoma" w:hAnsi="Tahoma"/>
      <w:sz w:val="24"/>
      <w:szCs w:val="20"/>
    </w:rPr>
  </w:style>
  <w:style w:type="paragraph" w:customStyle="1" w:styleId="55">
    <w:name w:val="H2"/>
    <w:uiPriority w:val="0"/>
    <w:pPr>
      <w:widowControl w:val="0"/>
      <w:spacing w:after="240" w:line="240" w:lineRule="atLeast"/>
    </w:pPr>
    <w:rPr>
      <w:rFonts w:ascii="Times New Roman" w:hAnsi="Times New Roman" w:eastAsia="全真中明體" w:cs="Times New Roman"/>
      <w:b/>
      <w:snapToGrid w:val="0"/>
      <w:spacing w:val="20"/>
      <w:sz w:val="24"/>
      <w:lang w:val="en-GB" w:eastAsia="en-US" w:bidi="ar-SA"/>
    </w:rPr>
  </w:style>
  <w:style w:type="paragraph" w:customStyle="1" w:styleId="56">
    <w:name w:val="正文文本缩进 31"/>
    <w:basedOn w:val="1"/>
    <w:uiPriority w:val="0"/>
    <w:pPr>
      <w:adjustRightInd w:val="0"/>
      <w:spacing w:line="360" w:lineRule="auto"/>
      <w:ind w:firstLine="630"/>
      <w:textAlignment w:val="baseline"/>
    </w:pPr>
    <w:rPr>
      <w:rFonts w:ascii="仿宋_GB2312" w:eastAsia="仿宋_GB2312"/>
      <w:sz w:val="24"/>
      <w:szCs w:val="20"/>
    </w:rPr>
  </w:style>
  <w:style w:type="character" w:customStyle="1" w:styleId="57">
    <w:name w:val="content-text1"/>
    <w:uiPriority w:val="0"/>
    <w:rPr>
      <w:rFonts w:ascii="Arial" w:hAnsi="Arial" w:cs="Arial"/>
      <w:color w:val="000000"/>
      <w:sz w:val="24"/>
      <w:szCs w:val="17"/>
    </w:rPr>
  </w:style>
  <w:style w:type="paragraph" w:styleId="58">
    <w:name w:val="List Paragraph"/>
    <w:basedOn w:val="1"/>
    <w:qFormat/>
    <w:uiPriority w:val="34"/>
    <w:pPr>
      <w:ind w:firstLine="420" w:firstLineChars="200"/>
    </w:pPr>
  </w:style>
  <w:style w:type="character" w:customStyle="1" w:styleId="59">
    <w:name w:val="Char Char1"/>
    <w:uiPriority w:val="0"/>
    <w:rPr>
      <w:kern w:val="2"/>
      <w:sz w:val="18"/>
      <w:szCs w:val="18"/>
    </w:rPr>
  </w:style>
  <w:style w:type="character" w:customStyle="1" w:styleId="60">
    <w:name w:val="Char Char"/>
    <w:uiPriority w:val="0"/>
    <w:rPr>
      <w:kern w:val="2"/>
      <w:sz w:val="18"/>
      <w:szCs w:val="18"/>
    </w:rPr>
  </w:style>
  <w:style w:type="paragraph" w:customStyle="1" w:styleId="61">
    <w:name w:val="H1"/>
    <w:uiPriority w:val="0"/>
    <w:pPr>
      <w:widowControl w:val="0"/>
      <w:adjustRightInd w:val="0"/>
      <w:spacing w:after="240" w:line="0" w:lineRule="atLeast"/>
      <w:textAlignment w:val="baseline"/>
    </w:pPr>
    <w:rPr>
      <w:rFonts w:ascii="Times New Roman" w:hAnsi="Times New Roman" w:eastAsia="全真中明體" w:cs="Times New Roman"/>
      <w:b/>
      <w:caps/>
      <w:spacing w:val="20"/>
      <w:sz w:val="24"/>
      <w:lang w:val="en-GB" w:eastAsia="zh-TW" w:bidi="ar-SA"/>
    </w:rPr>
  </w:style>
  <w:style w:type="paragraph" w:customStyle="1" w:styleId="62">
    <w:name w:val="P2"/>
    <w:uiPriority w:val="0"/>
    <w:pPr>
      <w:widowControl w:val="0"/>
      <w:adjustRightInd w:val="0"/>
      <w:spacing w:after="240" w:line="0" w:lineRule="atLeast"/>
      <w:ind w:left="1728"/>
      <w:jc w:val="both"/>
      <w:textAlignment w:val="baseline"/>
    </w:pPr>
    <w:rPr>
      <w:rFonts w:ascii="Times New Roman" w:hAnsi="Times New Roman" w:eastAsia="全真中明體" w:cs="Times New Roman"/>
      <w:spacing w:val="20"/>
      <w:sz w:val="24"/>
      <w:lang w:val="en-GB" w:eastAsia="zh-TW" w:bidi="ar-SA"/>
    </w:rPr>
  </w:style>
  <w:style w:type="paragraph" w:customStyle="1" w:styleId="63">
    <w:name w:val="P1"/>
    <w:qFormat/>
    <w:uiPriority w:val="0"/>
    <w:pPr>
      <w:widowControl w:val="0"/>
      <w:adjustRightInd w:val="0"/>
      <w:spacing w:after="240" w:line="0" w:lineRule="atLeast"/>
      <w:ind w:left="2304" w:hanging="576"/>
      <w:jc w:val="both"/>
      <w:textAlignment w:val="baseline"/>
    </w:pPr>
    <w:rPr>
      <w:rFonts w:ascii="Times New Roman" w:hAnsi="Times New Roman" w:eastAsia="全真中明體" w:cs="Times New Roman"/>
      <w:spacing w:val="20"/>
      <w:sz w:val="24"/>
      <w:lang w:val="en-GB" w:eastAsia="zh-TW" w:bidi="ar-SA"/>
    </w:rPr>
  </w:style>
  <w:style w:type="paragraph" w:customStyle="1" w:styleId="64">
    <w:name w:val="字元1"/>
    <w:basedOn w:val="1"/>
    <w:qFormat/>
    <w:uiPriority w:val="0"/>
    <w:rPr>
      <w:rFonts w:ascii="Tahoma" w:hAnsi="Tahoma"/>
      <w:sz w:val="24"/>
      <w:szCs w:val="20"/>
    </w:rPr>
  </w:style>
  <w:style w:type="paragraph" w:customStyle="1" w:styleId="65">
    <w:name w:val="样式1"/>
    <w:basedOn w:val="1"/>
    <w:uiPriority w:val="0"/>
    <w:rPr>
      <w:rFonts w:ascii="宋体" w:hAnsi="宋体"/>
      <w:sz w:val="28"/>
    </w:rPr>
  </w:style>
  <w:style w:type="paragraph" w:customStyle="1" w:styleId="66">
    <w:name w:val="Char2"/>
    <w:basedOn w:val="1"/>
    <w:qFormat/>
    <w:uiPriority w:val="0"/>
    <w:rPr>
      <w:rFonts w:ascii="Arial" w:hAnsi="Arial" w:cs="Arial"/>
      <w:sz w:val="20"/>
      <w:szCs w:val="20"/>
    </w:rPr>
  </w:style>
  <w:style w:type="paragraph" w:customStyle="1" w:styleId="67">
    <w:name w:val="字元2"/>
    <w:basedOn w:val="1"/>
    <w:uiPriority w:val="0"/>
    <w:rPr>
      <w:rFonts w:ascii="Tahoma" w:hAnsi="Tahoma"/>
      <w:sz w:val="24"/>
      <w:szCs w:val="20"/>
    </w:rPr>
  </w:style>
  <w:style w:type="paragraph" w:customStyle="1" w:styleId="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9">
    <w:name w:val="Char1"/>
    <w:basedOn w:val="1"/>
    <w:uiPriority w:val="0"/>
    <w:pPr>
      <w:adjustRightInd w:val="0"/>
      <w:spacing w:line="360" w:lineRule="auto"/>
    </w:pPr>
    <w:rPr>
      <w:kern w:val="0"/>
      <w:sz w:val="24"/>
      <w:szCs w:val="20"/>
    </w:rPr>
  </w:style>
  <w:style w:type="paragraph" w:customStyle="1" w:styleId="70">
    <w:name w:val="标题2"/>
    <w:basedOn w:val="1"/>
    <w:uiPriority w:val="0"/>
    <w:pPr>
      <w:keepNext/>
      <w:keepLines/>
      <w:snapToGrid w:val="0"/>
      <w:spacing w:line="360" w:lineRule="auto"/>
      <w:jc w:val="center"/>
      <w:outlineLvl w:val="1"/>
    </w:pPr>
    <w:rPr>
      <w:rFonts w:ascii="宋体" w:hAnsi="宋体"/>
      <w:b/>
      <w:bCs/>
      <w:szCs w:val="21"/>
    </w:rPr>
  </w:style>
  <w:style w:type="paragraph" w:customStyle="1" w:styleId="71">
    <w:name w:val="列出段落1"/>
    <w:basedOn w:val="1"/>
    <w:qFormat/>
    <w:uiPriority w:val="34"/>
    <w:pPr>
      <w:ind w:firstLine="420" w:firstLineChars="200"/>
    </w:pPr>
    <w:rPr>
      <w:rFonts w:ascii="Calibri" w:hAnsi="Calibri"/>
      <w:szCs w:val="22"/>
    </w:rPr>
  </w:style>
  <w:style w:type="character" w:customStyle="1" w:styleId="72">
    <w:name w:val="正文文本 3 Char"/>
    <w:link w:val="10"/>
    <w:uiPriority w:val="0"/>
    <w:rPr>
      <w:rFonts w:ascii="Times New Roman" w:hAnsi="Times New Roman"/>
      <w:kern w:val="2"/>
      <w:sz w:val="16"/>
      <w:szCs w:val="16"/>
    </w:rPr>
  </w:style>
  <w:style w:type="character" w:customStyle="1" w:styleId="73">
    <w:name w:val="批注文字 Char"/>
    <w:basedOn w:val="31"/>
    <w:link w:val="9"/>
    <w:semiHidden/>
    <w:uiPriority w:val="99"/>
    <w:rPr>
      <w:kern w:val="2"/>
      <w:sz w:val="21"/>
      <w:szCs w:val="22"/>
    </w:rPr>
  </w:style>
  <w:style w:type="paragraph" w:customStyle="1" w:styleId="74">
    <w:name w:val="修订1"/>
    <w:hidden/>
    <w:semiHidden/>
    <w:uiPriority w:val="99"/>
    <w:rPr>
      <w:rFonts w:ascii="Times New Roman" w:hAnsi="Times New Roman" w:eastAsia="宋体" w:cs="Times New Roman"/>
      <w:kern w:val="2"/>
      <w:sz w:val="21"/>
      <w:szCs w:val="24"/>
      <w:lang w:val="en-US" w:eastAsia="zh-CN" w:bidi="ar-SA"/>
    </w:rPr>
  </w:style>
  <w:style w:type="paragraph" w:customStyle="1" w:styleId="75">
    <w:name w:val="p15"/>
    <w:basedOn w:val="1"/>
    <w:qFormat/>
    <w:uiPriority w:val="0"/>
    <w:pPr>
      <w:widowControl/>
      <w:ind w:firstLine="420"/>
    </w:pPr>
    <w:rPr>
      <w:kern w:val="0"/>
      <w:szCs w:val="21"/>
    </w:rPr>
  </w:style>
  <w:style w:type="character" w:styleId="76">
    <w:name w:val="Placeholder Text"/>
    <w:basedOn w:val="31"/>
    <w:unhideWhenUsed/>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037;&#31243;&#31649;&#29702;&#24037;&#20316;\10&#22269;&#36152;&#20013;&#24515;&#19987;&#39033;&#24037;&#20316;\&#22269;&#36152;&#20013;&#24515;&#31532;&#19977;&#26041;&#26426;&#26500;&#35780;&#20272;&#24037;&#20316;\&#22269;&#36152;&#20013;&#24515;&#24037;&#31243;&#35774;&#26045;&#35774;&#22791;&#31532;&#19977;&#26041;&#35780;&#20272;&#26426;&#26500;&#25307;&#26631;&#31435;&#39033;&#30003;&#35831;\&#22269;&#36152;&#20013;&#24515;&#24037;&#31243;&#35774;&#26045;&#35774;&#22791;&#31532;&#19977;&#26041;&#26426;&#26500;&#35780;&#20272;&#26426;&#26500;&#25307;&#26631;&#25991;&#20214;&#65288;0709&#20462;&#35746;&#31295;&#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038AA3-7341-43C2-AC5F-0CF39AD914D9}">
  <ds:schemaRefs/>
</ds:datastoreItem>
</file>

<file path=docProps/app.xml><?xml version="1.0" encoding="utf-8"?>
<Properties xmlns="http://schemas.openxmlformats.org/officeDocument/2006/extended-properties" xmlns:vt="http://schemas.openxmlformats.org/officeDocument/2006/docPropsVTypes">
  <Template>国贸中心工程设施设备第三方机构评估机构招标文件（0709修订稿）</Template>
  <Pages>36</Pages>
  <Words>2540</Words>
  <Characters>14479</Characters>
  <Lines>120</Lines>
  <Paragraphs>33</Paragraphs>
  <TotalTime>87</TotalTime>
  <ScaleCrop>false</ScaleCrop>
  <LinksUpToDate>false</LinksUpToDate>
  <CharactersWithSpaces>16986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2019-10-11T02:07:00Z</dcterms:created>
  <dc:creator>Dell</dc:creator>
  <cp:lastModifiedBy>王然</cp:lastModifiedBy>
  <cp:lastPrinted>2019-07-10T03:28:00Z</cp:lastPrinted>
  <dcterms:modified xsi:type="dcterms:W3CDTF">2019-10-17T06:20:57Z</dcterms:modified>
  <dc:title>招标编号：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