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B0F64">
      <w:pPr>
        <w:spacing w:line="276" w:lineRule="auto"/>
        <w:jc w:val="left"/>
        <w:rPr>
          <w:rFonts w:ascii="宋体"/>
          <w:color w:val="auto"/>
          <w:sz w:val="24"/>
          <w:highlight w:val="none"/>
        </w:rPr>
      </w:pPr>
      <w:bookmarkStart w:id="0" w:name="_Toc163364646"/>
      <w:bookmarkStart w:id="1" w:name="_Toc157418557"/>
      <w:bookmarkStart w:id="2" w:name="_Toc157418350"/>
      <w:bookmarkStart w:id="3" w:name="_Toc165385343"/>
      <w:bookmarkStart w:id="4" w:name="_Toc178674763"/>
      <w:bookmarkStart w:id="5" w:name="_Toc125129292"/>
      <w:bookmarkStart w:id="6" w:name="_Toc32815540"/>
    </w:p>
    <w:p w14:paraId="7FA367FD">
      <w:pPr>
        <w:spacing w:line="276" w:lineRule="auto"/>
        <w:jc w:val="left"/>
        <w:rPr>
          <w:rFonts w:ascii="宋体"/>
          <w:color w:val="auto"/>
          <w:sz w:val="24"/>
          <w:highlight w:val="none"/>
        </w:rPr>
      </w:pPr>
    </w:p>
    <w:p w14:paraId="477C5938">
      <w:pPr>
        <w:spacing w:line="276" w:lineRule="auto"/>
        <w:jc w:val="left"/>
        <w:rPr>
          <w:rFonts w:ascii="宋体"/>
          <w:color w:val="auto"/>
          <w:sz w:val="24"/>
          <w:highlight w:val="none"/>
        </w:rPr>
      </w:pPr>
    </w:p>
    <w:p w14:paraId="7E4B0FEE">
      <w:pPr>
        <w:spacing w:line="276" w:lineRule="auto"/>
        <w:jc w:val="center"/>
        <w:rPr>
          <w:rFonts w:ascii="仿宋" w:hAnsi="仿宋" w:eastAsia="仿宋"/>
          <w:b/>
          <w:bCs/>
          <w:color w:val="auto"/>
          <w:sz w:val="84"/>
          <w:szCs w:val="84"/>
          <w:highlight w:val="none"/>
          <w:lang w:val="zh-CN"/>
        </w:rPr>
      </w:pPr>
      <w:r>
        <w:rPr>
          <w:rFonts w:hint="eastAsia" w:ascii="仿宋" w:hAnsi="仿宋" w:eastAsia="仿宋" w:cs="仿宋"/>
          <w:b/>
          <w:bCs/>
          <w:color w:val="auto"/>
          <w:sz w:val="84"/>
          <w:szCs w:val="84"/>
          <w:highlight w:val="none"/>
          <w:lang w:val="zh-CN"/>
        </w:rPr>
        <w:t>招标文件</w:t>
      </w:r>
    </w:p>
    <w:p w14:paraId="23DF7C82">
      <w:pPr>
        <w:spacing w:line="276" w:lineRule="auto"/>
        <w:jc w:val="center"/>
        <w:rPr>
          <w:rFonts w:ascii="宋体"/>
          <w:color w:val="auto"/>
          <w:sz w:val="36"/>
          <w:szCs w:val="36"/>
          <w:highlight w:val="none"/>
        </w:rPr>
      </w:pPr>
      <w:bookmarkStart w:id="7" w:name="_Toc342899794"/>
    </w:p>
    <w:p w14:paraId="3F055BA0">
      <w:pPr>
        <w:spacing w:line="276" w:lineRule="auto"/>
        <w:jc w:val="center"/>
        <w:rPr>
          <w:rFonts w:ascii="宋体"/>
          <w:color w:val="auto"/>
          <w:sz w:val="36"/>
          <w:szCs w:val="36"/>
          <w:highlight w:val="none"/>
        </w:rPr>
      </w:pPr>
    </w:p>
    <w:p w14:paraId="17EEA1D3">
      <w:pPr>
        <w:spacing w:line="276" w:lineRule="auto"/>
        <w:ind w:firstLine="708" w:firstLineChars="196"/>
        <w:rPr>
          <w:rFonts w:ascii="仿宋" w:hAnsi="仿宋" w:eastAsia="仿宋"/>
          <w:b/>
          <w:bCs/>
          <w:color w:val="auto"/>
          <w:sz w:val="36"/>
          <w:szCs w:val="36"/>
          <w:highlight w:val="none"/>
          <w:lang w:val="zh-CN"/>
        </w:rPr>
      </w:pPr>
      <w:r>
        <w:rPr>
          <w:rFonts w:hint="eastAsia" w:ascii="仿宋" w:hAnsi="仿宋" w:eastAsia="仿宋" w:cs="仿宋"/>
          <w:b/>
          <w:bCs/>
          <w:color w:val="auto"/>
          <w:sz w:val="36"/>
          <w:szCs w:val="36"/>
          <w:highlight w:val="none"/>
          <w:lang w:val="zh-CN"/>
        </w:rPr>
        <w:t>项目名称</w:t>
      </w:r>
      <w:bookmarkEnd w:id="7"/>
      <w:r>
        <w:rPr>
          <w:rFonts w:hint="eastAsia" w:ascii="仿宋" w:hAnsi="仿宋" w:eastAsia="仿宋" w:cs="仿宋"/>
          <w:b/>
          <w:bCs/>
          <w:color w:val="auto"/>
          <w:sz w:val="36"/>
          <w:szCs w:val="36"/>
          <w:highlight w:val="none"/>
          <w:lang w:val="zh-CN"/>
        </w:rPr>
        <w:t>：</w:t>
      </w:r>
      <w:r>
        <w:rPr>
          <w:rFonts w:hint="eastAsia" w:ascii="仿宋" w:hAnsi="仿宋" w:eastAsia="仿宋" w:cs="仿宋"/>
          <w:b/>
          <w:bCs/>
          <w:color w:val="auto"/>
          <w:sz w:val="36"/>
          <w:szCs w:val="36"/>
          <w:highlight w:val="none"/>
        </w:rPr>
        <w:t>国贸商务中心餐饮中心运营服务商选聘</w:t>
      </w:r>
    </w:p>
    <w:p w14:paraId="65893670">
      <w:pPr>
        <w:spacing w:line="276" w:lineRule="auto"/>
        <w:ind w:firstLine="3072" w:firstLineChars="850"/>
        <w:rPr>
          <w:rFonts w:ascii="仿宋" w:hAnsi="仿宋" w:eastAsia="仿宋"/>
          <w:b/>
          <w:bCs/>
          <w:color w:val="auto"/>
          <w:sz w:val="36"/>
          <w:szCs w:val="36"/>
          <w:highlight w:val="none"/>
          <w:lang w:val="zh-CN"/>
        </w:rPr>
      </w:pPr>
    </w:p>
    <w:p w14:paraId="4DB0B35F">
      <w:pPr>
        <w:spacing w:line="276" w:lineRule="auto"/>
        <w:ind w:firstLine="708" w:firstLineChars="196"/>
        <w:rPr>
          <w:rFonts w:hint="default" w:ascii="仿宋" w:hAnsi="仿宋" w:eastAsia="仿宋" w:cs="宋体"/>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项目编号：</w:t>
      </w:r>
      <w:r>
        <w:rPr>
          <w:rFonts w:hint="eastAsia" w:ascii="仿宋" w:hAnsi="仿宋" w:eastAsia="仿宋" w:cs="仿宋"/>
          <w:b/>
          <w:bCs/>
          <w:color w:val="auto"/>
          <w:sz w:val="36"/>
          <w:szCs w:val="36"/>
          <w:highlight w:val="none"/>
          <w:lang w:val="en-US" w:eastAsia="zh-CN"/>
        </w:rPr>
        <w:t>GMFW-2026-01</w:t>
      </w:r>
    </w:p>
    <w:p w14:paraId="17E2BC81">
      <w:pPr>
        <w:pStyle w:val="10"/>
        <w:spacing w:line="360" w:lineRule="auto"/>
        <w:rPr>
          <w:rFonts w:ascii="仿宋" w:hAnsi="仿宋" w:eastAsia="仿宋" w:cs="Times New Roman"/>
          <w:b/>
          <w:bCs/>
          <w:color w:val="auto"/>
          <w:sz w:val="36"/>
          <w:szCs w:val="36"/>
          <w:highlight w:val="none"/>
        </w:rPr>
      </w:pPr>
    </w:p>
    <w:p w14:paraId="4F7F303C">
      <w:pPr>
        <w:pStyle w:val="10"/>
        <w:spacing w:line="360" w:lineRule="auto"/>
        <w:ind w:firstLine="708" w:firstLineChars="196"/>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招标人：厦门国贸城市服务集团股份有限公司</w:t>
      </w:r>
    </w:p>
    <w:p w14:paraId="6B1CDC8D">
      <w:pPr>
        <w:spacing w:line="276" w:lineRule="auto"/>
        <w:ind w:firstLine="1265" w:firstLineChars="350"/>
        <w:rPr>
          <w:rFonts w:ascii="仿宋" w:hAnsi="仿宋" w:eastAsia="仿宋"/>
          <w:b/>
          <w:bCs/>
          <w:color w:val="auto"/>
          <w:sz w:val="36"/>
          <w:szCs w:val="36"/>
          <w:highlight w:val="none"/>
          <w:lang w:val="zh-CN"/>
        </w:rPr>
      </w:pPr>
    </w:p>
    <w:p w14:paraId="528108B2">
      <w:pPr>
        <w:spacing w:line="276" w:lineRule="auto"/>
        <w:jc w:val="center"/>
        <w:rPr>
          <w:rFonts w:ascii="宋体"/>
          <w:color w:val="auto"/>
          <w:sz w:val="36"/>
          <w:szCs w:val="36"/>
          <w:highlight w:val="none"/>
        </w:rPr>
      </w:pPr>
    </w:p>
    <w:p w14:paraId="6F00569F">
      <w:pPr>
        <w:spacing w:line="276" w:lineRule="auto"/>
        <w:jc w:val="center"/>
        <w:rPr>
          <w:rFonts w:ascii="宋体"/>
          <w:color w:val="auto"/>
          <w:sz w:val="36"/>
          <w:szCs w:val="36"/>
          <w:highlight w:val="none"/>
        </w:rPr>
      </w:pPr>
    </w:p>
    <w:p w14:paraId="65B00063">
      <w:pPr>
        <w:spacing w:line="276" w:lineRule="auto"/>
        <w:jc w:val="center"/>
        <w:rPr>
          <w:rFonts w:ascii="宋体"/>
          <w:color w:val="auto"/>
          <w:sz w:val="36"/>
          <w:szCs w:val="36"/>
          <w:highlight w:val="none"/>
        </w:rPr>
      </w:pPr>
    </w:p>
    <w:p w14:paraId="54851C7E">
      <w:pPr>
        <w:spacing w:line="276" w:lineRule="auto"/>
        <w:jc w:val="center"/>
        <w:rPr>
          <w:rFonts w:ascii="宋体"/>
          <w:color w:val="auto"/>
          <w:sz w:val="36"/>
          <w:szCs w:val="36"/>
          <w:highlight w:val="none"/>
        </w:rPr>
      </w:pPr>
    </w:p>
    <w:p w14:paraId="30D3DFBE">
      <w:pPr>
        <w:spacing w:line="276" w:lineRule="auto"/>
        <w:jc w:val="center"/>
        <w:rPr>
          <w:rFonts w:ascii="宋体"/>
          <w:color w:val="auto"/>
          <w:sz w:val="36"/>
          <w:szCs w:val="36"/>
          <w:highlight w:val="none"/>
        </w:rPr>
      </w:pPr>
    </w:p>
    <w:p w14:paraId="39C606B5">
      <w:pPr>
        <w:pStyle w:val="10"/>
        <w:spacing w:line="360" w:lineRule="auto"/>
        <w:jc w:val="center"/>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厦门国贸城市服务集团股份有限公司</w:t>
      </w:r>
    </w:p>
    <w:p w14:paraId="5049E406">
      <w:pPr>
        <w:spacing w:line="276" w:lineRule="auto"/>
        <w:jc w:val="center"/>
        <w:rPr>
          <w:rFonts w:ascii="仿宋" w:hAnsi="仿宋" w:eastAsia="仿宋" w:cs="宋体"/>
          <w:b/>
          <w:bCs/>
          <w:color w:val="auto"/>
          <w:sz w:val="36"/>
          <w:szCs w:val="36"/>
          <w:highlight w:val="none"/>
        </w:rPr>
      </w:pPr>
      <w:r>
        <w:rPr>
          <w:rFonts w:hint="eastAsia" w:ascii="仿宋" w:hAnsi="仿宋" w:eastAsia="仿宋"/>
          <w:b/>
          <w:color w:val="auto"/>
          <w:sz w:val="36"/>
          <w:szCs w:val="36"/>
          <w:highlight w:val="none"/>
          <w:lang w:val="en-US" w:eastAsia="zh-CN"/>
        </w:rPr>
        <w:t>2026</w:t>
      </w:r>
      <w:r>
        <w:rPr>
          <w:rFonts w:hint="eastAsia" w:ascii="仿宋" w:hAnsi="仿宋" w:eastAsia="仿宋"/>
          <w:b/>
          <w:color w:val="auto"/>
          <w:sz w:val="36"/>
          <w:szCs w:val="36"/>
          <w:highlight w:val="none"/>
        </w:rPr>
        <w:t>年</w:t>
      </w:r>
      <w:r>
        <w:rPr>
          <w:rFonts w:hint="eastAsia" w:ascii="仿宋" w:hAnsi="仿宋" w:eastAsia="仿宋"/>
          <w:b/>
          <w:color w:val="auto"/>
          <w:sz w:val="36"/>
          <w:szCs w:val="36"/>
          <w:highlight w:val="none"/>
          <w:lang w:val="en-US" w:eastAsia="zh-CN"/>
        </w:rPr>
        <w:t>3</w:t>
      </w:r>
      <w:r>
        <w:rPr>
          <w:rFonts w:hint="eastAsia" w:ascii="仿宋" w:hAnsi="仿宋" w:eastAsia="仿宋"/>
          <w:b/>
          <w:color w:val="auto"/>
          <w:sz w:val="36"/>
          <w:szCs w:val="36"/>
          <w:highlight w:val="none"/>
        </w:rPr>
        <w:t>月</w:t>
      </w:r>
    </w:p>
    <w:p w14:paraId="51022C2B">
      <w:pPr>
        <w:pStyle w:val="17"/>
        <w:shd w:val="clear" w:color="auto" w:fill="FFFFFF"/>
        <w:spacing w:line="600" w:lineRule="atLeast"/>
        <w:ind w:firstLine="540" w:firstLineChars="150"/>
        <w:jc w:val="center"/>
        <w:rPr>
          <w:rFonts w:ascii="仿宋" w:hAnsi="仿宋" w:eastAsia="仿宋"/>
          <w:color w:val="auto"/>
          <w:sz w:val="36"/>
          <w:szCs w:val="36"/>
          <w:highlight w:val="none"/>
        </w:rPr>
      </w:pPr>
    </w:p>
    <w:p w14:paraId="657693CA">
      <w:pPr>
        <w:pStyle w:val="17"/>
        <w:shd w:val="clear" w:color="auto" w:fill="FFFFFF"/>
        <w:spacing w:line="600" w:lineRule="atLeast"/>
        <w:ind w:firstLine="540" w:firstLineChars="150"/>
        <w:jc w:val="center"/>
        <w:rPr>
          <w:rFonts w:ascii="仿宋" w:hAnsi="仿宋" w:eastAsia="仿宋"/>
          <w:color w:val="auto"/>
          <w:sz w:val="36"/>
          <w:szCs w:val="36"/>
          <w:highlight w:val="none"/>
        </w:rPr>
      </w:pPr>
    </w:p>
    <w:p w14:paraId="13CDABE8">
      <w:pPr>
        <w:pStyle w:val="17"/>
        <w:shd w:val="clear" w:color="auto" w:fill="FFFFFF"/>
        <w:spacing w:line="600" w:lineRule="atLeast"/>
        <w:rPr>
          <w:rFonts w:hint="eastAsia" w:ascii="仿宋" w:hAnsi="仿宋" w:eastAsia="仿宋"/>
          <w:color w:val="auto"/>
          <w:sz w:val="36"/>
          <w:szCs w:val="36"/>
          <w:highlight w:val="none"/>
        </w:rPr>
      </w:pPr>
    </w:p>
    <w:p w14:paraId="6B5933EB">
      <w:pPr>
        <w:pStyle w:val="17"/>
        <w:shd w:val="clear" w:color="auto" w:fill="FFFFFF"/>
        <w:spacing w:line="600" w:lineRule="atLeast"/>
        <w:ind w:firstLine="540" w:firstLineChars="150"/>
        <w:jc w:val="center"/>
        <w:rPr>
          <w:rFonts w:ascii="仿宋" w:hAnsi="仿宋" w:eastAsia="仿宋"/>
          <w:color w:val="auto"/>
          <w:sz w:val="36"/>
          <w:szCs w:val="36"/>
          <w:highlight w:val="none"/>
        </w:rPr>
      </w:pPr>
    </w:p>
    <w:p w14:paraId="6E0218E3">
      <w:pPr>
        <w:pStyle w:val="17"/>
        <w:shd w:val="clear" w:color="auto" w:fill="FFFFFF"/>
        <w:spacing w:line="600" w:lineRule="atLeast"/>
        <w:ind w:firstLine="540" w:firstLineChars="150"/>
        <w:jc w:val="center"/>
        <w:rPr>
          <w:rFonts w:ascii="仿宋" w:hAnsi="仿宋" w:eastAsia="仿宋"/>
          <w:color w:val="auto"/>
          <w:sz w:val="36"/>
          <w:szCs w:val="36"/>
          <w:highlight w:val="none"/>
        </w:rPr>
      </w:pPr>
    </w:p>
    <w:p w14:paraId="4A2B2455">
      <w:pPr>
        <w:pStyle w:val="10"/>
        <w:spacing w:line="360" w:lineRule="auto"/>
        <w:jc w:val="center"/>
        <w:rPr>
          <w:rFonts w:hint="eastAsia" w:ascii="仿宋" w:hAnsi="仿宋" w:eastAsia="仿宋" w:cs="仿宋"/>
          <w:b/>
          <w:bCs/>
          <w:color w:val="auto"/>
          <w:sz w:val="44"/>
          <w:szCs w:val="44"/>
          <w:highlight w:val="none"/>
        </w:rPr>
        <w:sectPr>
          <w:pgSz w:w="11907" w:h="16860"/>
          <w:pgMar w:top="1418" w:right="1418" w:bottom="1418" w:left="1418" w:header="857" w:footer="999" w:gutter="0"/>
          <w:cols w:space="720" w:num="1"/>
          <w:docGrid w:linePitch="286" w:charSpace="0"/>
        </w:sectPr>
      </w:pPr>
    </w:p>
    <w:bookmarkEnd w:id="0"/>
    <w:bookmarkEnd w:id="1"/>
    <w:bookmarkEnd w:id="2"/>
    <w:bookmarkEnd w:id="3"/>
    <w:bookmarkEnd w:id="4"/>
    <w:p w14:paraId="480AE417">
      <w:pPr>
        <w:pStyle w:val="10"/>
        <w:spacing w:line="360" w:lineRule="auto"/>
        <w:jc w:val="center"/>
        <w:rPr>
          <w:rFonts w:ascii="仿宋" w:hAnsi="仿宋" w:eastAsia="仿宋" w:cs="仿宋"/>
          <w:b/>
          <w:bCs/>
          <w:color w:val="auto"/>
          <w:sz w:val="44"/>
          <w:szCs w:val="44"/>
          <w:highlight w:val="none"/>
        </w:rPr>
      </w:pPr>
      <w:bookmarkStart w:id="8" w:name="_Toc51489303"/>
      <w:r>
        <w:rPr>
          <w:rFonts w:hint="eastAsia" w:ascii="仿宋" w:hAnsi="仿宋" w:eastAsia="仿宋" w:cs="仿宋"/>
          <w:b/>
          <w:bCs/>
          <w:color w:val="auto"/>
          <w:sz w:val="44"/>
          <w:szCs w:val="44"/>
          <w:highlight w:val="none"/>
        </w:rPr>
        <w:t>目    录</w:t>
      </w:r>
    </w:p>
    <w:p w14:paraId="0F19BC47">
      <w:pPr>
        <w:pStyle w:val="15"/>
        <w:tabs>
          <w:tab w:val="right" w:leader="dot" w:pos="9071"/>
        </w:tabs>
        <w:rPr>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color w:val="auto"/>
          <w:szCs w:val="28"/>
          <w:highlight w:val="none"/>
        </w:rPr>
        <w:instrText xml:space="preserve"> HYPERLINK \l _Toc4591 </w:instrText>
      </w:r>
      <w:r>
        <w:rPr>
          <w:rFonts w:ascii="宋体" w:hAnsi="宋体"/>
          <w:color w:val="auto"/>
          <w:szCs w:val="28"/>
          <w:highlight w:val="none"/>
        </w:rPr>
        <w:fldChar w:fldCharType="separate"/>
      </w:r>
      <w:r>
        <w:rPr>
          <w:rFonts w:hint="eastAsia" w:ascii="仿宋" w:hAnsi="仿宋" w:eastAsia="仿宋" w:cs="仿宋"/>
          <w:bCs w:val="0"/>
          <w:color w:val="auto"/>
          <w:kern w:val="0"/>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_Toc4591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8"/>
          <w:highlight w:val="none"/>
        </w:rPr>
        <w:fldChar w:fldCharType="end"/>
      </w:r>
    </w:p>
    <w:p w14:paraId="7000A0AF">
      <w:pPr>
        <w:pStyle w:val="15"/>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_Toc13987 </w:instrText>
      </w:r>
      <w:r>
        <w:rPr>
          <w:rFonts w:ascii="宋体" w:hAnsi="宋体"/>
          <w:color w:val="auto"/>
          <w:szCs w:val="28"/>
          <w:highlight w:val="none"/>
        </w:rPr>
        <w:fldChar w:fldCharType="separate"/>
      </w:r>
      <w:r>
        <w:rPr>
          <w:rFonts w:hint="eastAsia" w:ascii="仿宋" w:hAnsi="仿宋" w:eastAsia="仿宋"/>
          <w:color w:val="auto"/>
          <w:highlight w:val="none"/>
        </w:rPr>
        <w:t>附：招标项目一览表</w:t>
      </w:r>
      <w:r>
        <w:rPr>
          <w:color w:val="auto"/>
          <w:highlight w:val="none"/>
        </w:rPr>
        <w:tab/>
      </w:r>
      <w:r>
        <w:rPr>
          <w:color w:val="auto"/>
          <w:highlight w:val="none"/>
        </w:rPr>
        <w:fldChar w:fldCharType="begin"/>
      </w:r>
      <w:r>
        <w:rPr>
          <w:color w:val="auto"/>
          <w:highlight w:val="none"/>
        </w:rPr>
        <w:instrText xml:space="preserve"> PAGEREF _Toc13987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8"/>
          <w:highlight w:val="none"/>
        </w:rPr>
        <w:fldChar w:fldCharType="end"/>
      </w:r>
    </w:p>
    <w:p w14:paraId="0CEEC8C5">
      <w:pPr>
        <w:pStyle w:val="15"/>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_Toc24719 </w:instrText>
      </w:r>
      <w:r>
        <w:rPr>
          <w:rFonts w:ascii="宋体" w:hAnsi="宋体"/>
          <w:color w:val="auto"/>
          <w:szCs w:val="28"/>
          <w:highlight w:val="none"/>
        </w:rPr>
        <w:fldChar w:fldCharType="separate"/>
      </w:r>
      <w:r>
        <w:rPr>
          <w:rFonts w:hint="eastAsia" w:ascii="仿宋" w:hAnsi="仿宋" w:eastAsia="仿宋" w:cs="仿宋"/>
          <w:color w:val="auto"/>
          <w:kern w:val="0"/>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_Toc24719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8"/>
          <w:highlight w:val="none"/>
        </w:rPr>
        <w:fldChar w:fldCharType="end"/>
      </w:r>
    </w:p>
    <w:p w14:paraId="28E5446F">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_Toc23016 </w:instrText>
      </w:r>
      <w:r>
        <w:rPr>
          <w:rFonts w:ascii="宋体" w:hAnsi="宋体"/>
          <w:color w:val="auto"/>
          <w:szCs w:val="28"/>
          <w:highlight w:val="none"/>
        </w:rPr>
        <w:fldChar w:fldCharType="separate"/>
      </w:r>
      <w:r>
        <w:rPr>
          <w:rFonts w:hint="eastAsia" w:ascii="仿宋" w:hAnsi="仿宋" w:eastAsia="仿宋" w:cs="仿宋"/>
          <w:i w:val="0"/>
          <w:strike w:val="0"/>
          <w:color w:val="auto"/>
          <w:spacing w:val="0"/>
          <w:highlight w:val="none"/>
          <w:lang w:val="en-US" w:eastAsia="zh-CN"/>
        </w:rPr>
        <w:t>带</w:t>
      </w:r>
      <w:r>
        <w:rPr>
          <w:rFonts w:hint="eastAsia" w:ascii="仿宋" w:hAnsi="仿宋" w:eastAsia="仿宋" w:cs="仿宋"/>
          <w:i w:val="0"/>
          <w:strike w:val="0"/>
          <w:color w:val="auto"/>
          <w:spacing w:val="0"/>
          <w:highlight w:val="none"/>
          <w:lang w:eastAsia="zh-CN"/>
        </w:rPr>
        <w:t>“</w:t>
      </w:r>
      <w:r>
        <w:rPr>
          <w:rFonts w:ascii="仿宋" w:hAnsi="仿宋" w:eastAsia="仿宋" w:cs="仿宋"/>
          <w:i w:val="0"/>
          <w:strike w:val="0"/>
          <w:color w:val="auto"/>
          <w:spacing w:val="0"/>
          <w:highlight w:val="none"/>
        </w:rPr>
        <w:t>★</w:t>
      </w:r>
      <w:r>
        <w:rPr>
          <w:rFonts w:hint="eastAsia" w:ascii="仿宋" w:hAnsi="仿宋" w:eastAsia="仿宋" w:cs="仿宋"/>
          <w:i w:val="0"/>
          <w:strike w:val="0"/>
          <w:color w:val="auto"/>
          <w:spacing w:val="0"/>
          <w:highlight w:val="none"/>
          <w:lang w:eastAsia="zh-CN"/>
        </w:rPr>
        <w:t>”</w:t>
      </w:r>
      <w:r>
        <w:rPr>
          <w:rFonts w:hint="eastAsia" w:ascii="仿宋" w:hAnsi="仿宋" w:eastAsia="仿宋" w:cs="仿宋"/>
          <w:i w:val="0"/>
          <w:strike w:val="0"/>
          <w:color w:val="auto"/>
          <w:spacing w:val="0"/>
          <w:highlight w:val="none"/>
          <w:lang w:val="en-US" w:eastAsia="zh-CN"/>
        </w:rPr>
        <w:t>号</w:t>
      </w:r>
      <w:r>
        <w:rPr>
          <w:rFonts w:hint="eastAsia" w:ascii="仿宋" w:hAnsi="仿宋" w:eastAsia="仿宋"/>
          <w:color w:val="auto"/>
          <w:highlight w:val="none"/>
          <w:lang w:val="en-US" w:eastAsia="zh-CN"/>
        </w:rPr>
        <w:t>条款汇总表</w:t>
      </w:r>
      <w:r>
        <w:rPr>
          <w:color w:val="auto"/>
          <w:highlight w:val="none"/>
        </w:rPr>
        <w:tab/>
      </w:r>
      <w:r>
        <w:rPr>
          <w:color w:val="auto"/>
          <w:highlight w:val="none"/>
        </w:rPr>
        <w:fldChar w:fldCharType="begin"/>
      </w:r>
      <w:r>
        <w:rPr>
          <w:color w:val="auto"/>
          <w:highlight w:val="none"/>
        </w:rPr>
        <w:instrText xml:space="preserve"> PAGEREF _Toc23016 \h </w:instrText>
      </w:r>
      <w:r>
        <w:rPr>
          <w:color w:val="auto"/>
          <w:highlight w:val="none"/>
        </w:rPr>
        <w:fldChar w:fldCharType="separate"/>
      </w:r>
      <w:r>
        <w:rPr>
          <w:color w:val="auto"/>
          <w:highlight w:val="none"/>
        </w:rPr>
        <w:t>9</w:t>
      </w:r>
      <w:r>
        <w:rPr>
          <w:color w:val="auto"/>
          <w:highlight w:val="none"/>
        </w:rPr>
        <w:fldChar w:fldCharType="end"/>
      </w:r>
      <w:r>
        <w:rPr>
          <w:rFonts w:ascii="宋体" w:hAnsi="宋体"/>
          <w:color w:val="auto"/>
          <w:szCs w:val="28"/>
          <w:highlight w:val="none"/>
        </w:rPr>
        <w:fldChar w:fldCharType="end"/>
      </w:r>
    </w:p>
    <w:p w14:paraId="0E88DFFA">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_Toc2802 </w:instrText>
      </w:r>
      <w:r>
        <w:rPr>
          <w:rFonts w:ascii="宋体" w:hAnsi="宋体"/>
          <w:color w:val="auto"/>
          <w:szCs w:val="28"/>
          <w:highlight w:val="none"/>
        </w:rPr>
        <w:fldChar w:fldCharType="separate"/>
      </w:r>
      <w:r>
        <w:rPr>
          <w:rFonts w:hint="eastAsia" w:ascii="仿宋" w:hAnsi="仿宋" w:eastAsia="仿宋"/>
          <w:color w:val="auto"/>
          <w:highlight w:val="none"/>
        </w:rPr>
        <w:t>第一节  说  明</w:t>
      </w:r>
      <w:r>
        <w:rPr>
          <w:color w:val="auto"/>
          <w:highlight w:val="none"/>
        </w:rPr>
        <w:tab/>
      </w:r>
      <w:r>
        <w:rPr>
          <w:color w:val="auto"/>
          <w:highlight w:val="none"/>
        </w:rPr>
        <w:fldChar w:fldCharType="begin"/>
      </w:r>
      <w:r>
        <w:rPr>
          <w:color w:val="auto"/>
          <w:highlight w:val="none"/>
        </w:rPr>
        <w:instrText xml:space="preserve"> PAGEREF _Toc2802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666227E5">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_Toc22850 </w:instrText>
      </w:r>
      <w:r>
        <w:rPr>
          <w:rFonts w:ascii="宋体" w:hAnsi="宋体"/>
          <w:color w:val="auto"/>
          <w:szCs w:val="28"/>
          <w:highlight w:val="none"/>
        </w:rPr>
        <w:fldChar w:fldCharType="separate"/>
      </w:r>
      <w:r>
        <w:rPr>
          <w:rFonts w:ascii="仿宋" w:hAnsi="仿宋" w:eastAsia="仿宋"/>
          <w:color w:val="auto"/>
          <w:highlight w:val="none"/>
        </w:rPr>
        <w:t xml:space="preserve">1. </w:t>
      </w:r>
      <w:r>
        <w:rPr>
          <w:rFonts w:hint="eastAsia" w:ascii="仿宋" w:hAnsi="仿宋" w:eastAsia="仿宋"/>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_Toc22850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1927B63C">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_Toc24572 </w:instrText>
      </w:r>
      <w:r>
        <w:rPr>
          <w:rFonts w:ascii="宋体" w:hAnsi="宋体"/>
          <w:color w:val="auto"/>
          <w:szCs w:val="28"/>
          <w:highlight w:val="none"/>
        </w:rPr>
        <w:fldChar w:fldCharType="separate"/>
      </w:r>
      <w:r>
        <w:rPr>
          <w:rFonts w:ascii="仿宋" w:hAnsi="仿宋" w:eastAsia="仿宋"/>
          <w:color w:val="auto"/>
          <w:highlight w:val="none"/>
        </w:rPr>
        <w:t xml:space="preserve">2. </w:t>
      </w:r>
      <w:r>
        <w:rPr>
          <w:rFonts w:hint="eastAsia" w:ascii="仿宋" w:hAnsi="仿宋" w:eastAsia="仿宋"/>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_Toc24572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027082BC">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_Toc29952 </w:instrText>
      </w:r>
      <w:r>
        <w:rPr>
          <w:rFonts w:ascii="宋体" w:hAnsi="宋体"/>
          <w:color w:val="auto"/>
          <w:szCs w:val="28"/>
          <w:highlight w:val="none"/>
        </w:rPr>
        <w:fldChar w:fldCharType="separate"/>
      </w:r>
      <w:r>
        <w:rPr>
          <w:rFonts w:ascii="仿宋" w:hAnsi="仿宋" w:eastAsia="仿宋"/>
          <w:color w:val="auto"/>
          <w:highlight w:val="none"/>
        </w:rPr>
        <w:t xml:space="preserve">3. </w:t>
      </w:r>
      <w:r>
        <w:rPr>
          <w:rFonts w:hint="eastAsia" w:ascii="仿宋" w:hAnsi="仿宋" w:eastAsia="仿宋"/>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_Toc29952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5733B9B4">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_Toc32715 </w:instrText>
      </w:r>
      <w:r>
        <w:rPr>
          <w:rFonts w:ascii="宋体" w:hAnsi="宋体"/>
          <w:color w:val="auto"/>
          <w:szCs w:val="28"/>
          <w:highlight w:val="none"/>
        </w:rPr>
        <w:fldChar w:fldCharType="separate"/>
      </w: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 xml:space="preserve"> 投标费用</w:t>
      </w:r>
      <w:r>
        <w:rPr>
          <w:color w:val="auto"/>
          <w:highlight w:val="none"/>
        </w:rPr>
        <w:tab/>
      </w:r>
      <w:r>
        <w:rPr>
          <w:color w:val="auto"/>
          <w:highlight w:val="none"/>
        </w:rPr>
        <w:fldChar w:fldCharType="begin"/>
      </w:r>
      <w:r>
        <w:rPr>
          <w:color w:val="auto"/>
          <w:highlight w:val="none"/>
        </w:rPr>
        <w:instrText xml:space="preserve"> PAGEREF _Toc32715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682B9D9F">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_Toc29074 </w:instrText>
      </w:r>
      <w:r>
        <w:rPr>
          <w:rFonts w:ascii="宋体" w:hAnsi="宋体"/>
          <w:color w:val="auto"/>
          <w:szCs w:val="28"/>
          <w:highlight w:val="none"/>
        </w:rPr>
        <w:fldChar w:fldCharType="separate"/>
      </w:r>
      <w:r>
        <w:rPr>
          <w:rFonts w:hint="eastAsia" w:ascii="仿宋" w:hAnsi="仿宋" w:eastAsia="仿宋"/>
          <w:color w:val="auto"/>
          <w:highlight w:val="none"/>
        </w:rPr>
        <w:t>第二节  招标文件说明</w:t>
      </w:r>
      <w:r>
        <w:rPr>
          <w:color w:val="auto"/>
          <w:highlight w:val="none"/>
        </w:rPr>
        <w:tab/>
      </w:r>
      <w:r>
        <w:rPr>
          <w:color w:val="auto"/>
          <w:highlight w:val="none"/>
        </w:rPr>
        <w:fldChar w:fldCharType="begin"/>
      </w:r>
      <w:r>
        <w:rPr>
          <w:color w:val="auto"/>
          <w:highlight w:val="none"/>
        </w:rPr>
        <w:instrText xml:space="preserve"> PAGEREF _Toc29074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0FDC427F">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_Toc22200 </w:instrText>
      </w:r>
      <w:r>
        <w:rPr>
          <w:rFonts w:ascii="宋体" w:hAnsi="宋体"/>
          <w:color w:val="auto"/>
          <w:szCs w:val="28"/>
          <w:highlight w:val="none"/>
        </w:rPr>
        <w:fldChar w:fldCharType="separate"/>
      </w:r>
      <w:r>
        <w:rPr>
          <w:rFonts w:hint="eastAsia" w:ascii="仿宋" w:hAnsi="仿宋" w:eastAsia="仿宋"/>
          <w:color w:val="auto"/>
          <w:highlight w:val="none"/>
        </w:rPr>
        <w:t>5</w:t>
      </w:r>
      <w:r>
        <w:rPr>
          <w:rFonts w:ascii="仿宋" w:hAnsi="仿宋" w:eastAsia="仿宋"/>
          <w:color w:val="auto"/>
          <w:highlight w:val="none"/>
        </w:rPr>
        <w:t xml:space="preserve">. </w:t>
      </w:r>
      <w:r>
        <w:rPr>
          <w:rFonts w:hint="eastAsia" w:ascii="仿宋" w:hAnsi="仿宋" w:eastAsia="仿宋"/>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_Toc22200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46831E19">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_Toc25864 </w:instrText>
      </w:r>
      <w:r>
        <w:rPr>
          <w:rFonts w:ascii="宋体" w:hAnsi="宋体"/>
          <w:color w:val="auto"/>
          <w:szCs w:val="28"/>
          <w:highlight w:val="none"/>
        </w:rPr>
        <w:fldChar w:fldCharType="separate"/>
      </w:r>
      <w:r>
        <w:rPr>
          <w:rFonts w:ascii="仿宋" w:hAnsi="仿宋" w:eastAsia="仿宋"/>
          <w:color w:val="auto"/>
          <w:highlight w:val="none"/>
        </w:rPr>
        <w:t>6. 招标文件的澄清</w:t>
      </w:r>
      <w:r>
        <w:rPr>
          <w:color w:val="auto"/>
          <w:highlight w:val="none"/>
        </w:rPr>
        <w:tab/>
      </w:r>
      <w:r>
        <w:rPr>
          <w:color w:val="auto"/>
          <w:highlight w:val="none"/>
        </w:rPr>
        <w:fldChar w:fldCharType="begin"/>
      </w:r>
      <w:r>
        <w:rPr>
          <w:color w:val="auto"/>
          <w:highlight w:val="none"/>
        </w:rPr>
        <w:instrText xml:space="preserve"> PAGEREF _Toc25864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5C423FB4">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_Toc31038 </w:instrText>
      </w:r>
      <w:r>
        <w:rPr>
          <w:rFonts w:ascii="宋体" w:hAnsi="宋体"/>
          <w:color w:val="auto"/>
          <w:szCs w:val="28"/>
          <w:highlight w:val="none"/>
        </w:rPr>
        <w:fldChar w:fldCharType="separate"/>
      </w:r>
      <w:r>
        <w:rPr>
          <w:rFonts w:ascii="仿宋" w:hAnsi="仿宋" w:eastAsia="仿宋"/>
          <w:color w:val="auto"/>
          <w:highlight w:val="none"/>
        </w:rPr>
        <w:t xml:space="preserve">7. </w:t>
      </w:r>
      <w:r>
        <w:rPr>
          <w:rFonts w:hint="eastAsia" w:ascii="仿宋" w:hAnsi="仿宋" w:eastAsia="仿宋"/>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_Toc31038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0812E0B1">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_Toc21977 </w:instrText>
      </w:r>
      <w:r>
        <w:rPr>
          <w:rFonts w:ascii="宋体" w:hAnsi="宋体"/>
          <w:color w:val="auto"/>
          <w:szCs w:val="28"/>
          <w:highlight w:val="none"/>
        </w:rPr>
        <w:fldChar w:fldCharType="separate"/>
      </w:r>
      <w:r>
        <w:rPr>
          <w:rFonts w:hint="eastAsia" w:ascii="仿宋" w:hAnsi="仿宋" w:eastAsia="仿宋"/>
          <w:color w:val="auto"/>
          <w:highlight w:val="none"/>
        </w:rPr>
        <w:t>第三节  投标文件的编写</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66400B28">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_Toc12349 </w:instrText>
      </w:r>
      <w:r>
        <w:rPr>
          <w:rFonts w:ascii="宋体" w:hAnsi="宋体"/>
          <w:color w:val="auto"/>
          <w:szCs w:val="28"/>
          <w:highlight w:val="none"/>
        </w:rPr>
        <w:fldChar w:fldCharType="separate"/>
      </w:r>
      <w:r>
        <w:rPr>
          <w:rFonts w:hint="eastAsia" w:ascii="仿宋" w:hAnsi="仿宋" w:eastAsia="仿宋"/>
          <w:color w:val="auto"/>
          <w:highlight w:val="none"/>
        </w:rPr>
        <w:t>8</w:t>
      </w:r>
      <w:r>
        <w:rPr>
          <w:rFonts w:ascii="仿宋" w:hAnsi="仿宋" w:eastAsia="仿宋"/>
          <w:color w:val="auto"/>
          <w:highlight w:val="none"/>
        </w:rPr>
        <w:t xml:space="preserve">. </w:t>
      </w:r>
      <w:r>
        <w:rPr>
          <w:rFonts w:hint="eastAsia" w:ascii="仿宋" w:hAnsi="仿宋" w:eastAsia="仿宋"/>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_Toc12349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03A8C153">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_Toc23713 </w:instrText>
      </w:r>
      <w:r>
        <w:rPr>
          <w:rFonts w:ascii="宋体" w:hAnsi="宋体"/>
          <w:color w:val="auto"/>
          <w:szCs w:val="28"/>
          <w:highlight w:val="none"/>
        </w:rPr>
        <w:fldChar w:fldCharType="separate"/>
      </w:r>
      <w:r>
        <w:rPr>
          <w:rFonts w:hint="eastAsia" w:ascii="仿宋" w:hAnsi="仿宋" w:eastAsia="仿宋"/>
          <w:color w:val="auto"/>
          <w:highlight w:val="none"/>
        </w:rPr>
        <w:t>9</w:t>
      </w:r>
      <w:r>
        <w:rPr>
          <w:rFonts w:ascii="仿宋" w:hAnsi="仿宋" w:eastAsia="仿宋"/>
          <w:color w:val="auto"/>
          <w:highlight w:val="none"/>
        </w:rPr>
        <w:t xml:space="preserve">. </w:t>
      </w:r>
      <w:r>
        <w:rPr>
          <w:rFonts w:hint="eastAsia" w:ascii="仿宋" w:hAnsi="仿宋" w:eastAsia="仿宋"/>
          <w:color w:val="auto"/>
          <w:highlight w:val="none"/>
        </w:rPr>
        <w:t>投标文件语言</w:t>
      </w:r>
      <w:r>
        <w:rPr>
          <w:color w:val="auto"/>
          <w:highlight w:val="none"/>
        </w:rPr>
        <w:tab/>
      </w:r>
      <w:r>
        <w:rPr>
          <w:color w:val="auto"/>
          <w:highlight w:val="none"/>
        </w:rPr>
        <w:fldChar w:fldCharType="begin"/>
      </w:r>
      <w:r>
        <w:rPr>
          <w:color w:val="auto"/>
          <w:highlight w:val="none"/>
        </w:rPr>
        <w:instrText xml:space="preserve"> PAGEREF _Toc23713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66DFD8CF">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_Toc16437 </w:instrText>
      </w:r>
      <w:r>
        <w:rPr>
          <w:rFonts w:ascii="宋体" w:hAnsi="宋体"/>
          <w:color w:val="auto"/>
          <w:szCs w:val="28"/>
          <w:highlight w:val="none"/>
        </w:rPr>
        <w:fldChar w:fldCharType="separate"/>
      </w:r>
      <w:r>
        <w:rPr>
          <w:rFonts w:hint="eastAsia" w:ascii="仿宋" w:hAnsi="仿宋" w:eastAsia="仿宋"/>
          <w:color w:val="auto"/>
          <w:highlight w:val="none"/>
        </w:rPr>
        <w:t>10</w:t>
      </w:r>
      <w:r>
        <w:rPr>
          <w:rFonts w:ascii="仿宋" w:hAnsi="仿宋" w:eastAsia="仿宋"/>
          <w:color w:val="auto"/>
          <w:highlight w:val="none"/>
        </w:rPr>
        <w:t xml:space="preserve">. </w:t>
      </w:r>
      <w:r>
        <w:rPr>
          <w:rFonts w:hint="eastAsia" w:ascii="仿宋" w:hAnsi="仿宋" w:eastAsia="仿宋"/>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_Toc16437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292DEB48">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_Toc18667 </w:instrText>
      </w:r>
      <w:r>
        <w:rPr>
          <w:rFonts w:ascii="宋体" w:hAnsi="宋体"/>
          <w:color w:val="auto"/>
          <w:szCs w:val="28"/>
          <w:highlight w:val="none"/>
        </w:rPr>
        <w:fldChar w:fldCharType="separate"/>
      </w:r>
      <w:r>
        <w:rPr>
          <w:rFonts w:hint="eastAsia" w:ascii="仿宋" w:hAnsi="仿宋" w:eastAsia="仿宋"/>
          <w:color w:val="auto"/>
          <w:highlight w:val="none"/>
        </w:rPr>
        <w:t>11</w:t>
      </w:r>
      <w:r>
        <w:rPr>
          <w:rFonts w:ascii="仿宋" w:hAnsi="仿宋" w:eastAsia="仿宋"/>
          <w:color w:val="auto"/>
          <w:highlight w:val="none"/>
        </w:rPr>
        <w:t xml:space="preserve">. </w:t>
      </w:r>
      <w:r>
        <w:rPr>
          <w:rFonts w:hint="eastAsia" w:ascii="仿宋" w:hAnsi="仿宋" w:eastAsia="仿宋"/>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_Toc18667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8"/>
          <w:highlight w:val="none"/>
        </w:rPr>
        <w:fldChar w:fldCharType="end"/>
      </w:r>
    </w:p>
    <w:p w14:paraId="23D776C6">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_Toc2919 </w:instrText>
      </w:r>
      <w:r>
        <w:rPr>
          <w:rFonts w:ascii="宋体" w:hAnsi="宋体"/>
          <w:color w:val="auto"/>
          <w:szCs w:val="28"/>
          <w:highlight w:val="none"/>
        </w:rPr>
        <w:fldChar w:fldCharType="separate"/>
      </w:r>
      <w:r>
        <w:rPr>
          <w:rFonts w:hint="eastAsia" w:ascii="仿宋" w:hAnsi="仿宋" w:eastAsia="仿宋"/>
          <w:color w:val="auto"/>
          <w:highlight w:val="none"/>
        </w:rPr>
        <w:t>12. 投标保证金</w:t>
      </w:r>
      <w:r>
        <w:rPr>
          <w:color w:val="auto"/>
          <w:highlight w:val="none"/>
        </w:rPr>
        <w:tab/>
      </w:r>
      <w:r>
        <w:rPr>
          <w:color w:val="auto"/>
          <w:highlight w:val="none"/>
        </w:rPr>
        <w:fldChar w:fldCharType="begin"/>
      </w:r>
      <w:r>
        <w:rPr>
          <w:color w:val="auto"/>
          <w:highlight w:val="none"/>
        </w:rPr>
        <w:instrText xml:space="preserve"> PAGEREF _Toc2919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8"/>
          <w:highlight w:val="none"/>
        </w:rPr>
        <w:fldChar w:fldCharType="end"/>
      </w:r>
    </w:p>
    <w:p w14:paraId="46F9FA96">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_Toc2379 </w:instrText>
      </w:r>
      <w:r>
        <w:rPr>
          <w:rFonts w:ascii="宋体" w:hAnsi="宋体"/>
          <w:color w:val="auto"/>
          <w:szCs w:val="28"/>
          <w:highlight w:val="none"/>
        </w:rPr>
        <w:fldChar w:fldCharType="separate"/>
      </w:r>
      <w:r>
        <w:rPr>
          <w:rFonts w:hint="eastAsia" w:ascii="仿宋" w:hAnsi="仿宋" w:eastAsia="仿宋"/>
          <w:color w:val="auto"/>
          <w:highlight w:val="none"/>
        </w:rPr>
        <w:t>13</w:t>
      </w:r>
      <w:r>
        <w:rPr>
          <w:rFonts w:ascii="仿宋" w:hAnsi="仿宋" w:eastAsia="仿宋"/>
          <w:color w:val="auto"/>
          <w:highlight w:val="none"/>
        </w:rPr>
        <w:t xml:space="preserve">. </w:t>
      </w:r>
      <w:r>
        <w:rPr>
          <w:rFonts w:hint="eastAsia" w:ascii="仿宋" w:hAnsi="仿宋" w:eastAsia="仿宋"/>
          <w:color w:val="auto"/>
          <w:highlight w:val="none"/>
        </w:rPr>
        <w:t>投标文件的格式</w:t>
      </w:r>
      <w:r>
        <w:rPr>
          <w:color w:val="auto"/>
          <w:highlight w:val="none"/>
        </w:rPr>
        <w:tab/>
      </w:r>
      <w:r>
        <w:rPr>
          <w:color w:val="auto"/>
          <w:highlight w:val="none"/>
        </w:rPr>
        <w:fldChar w:fldCharType="begin"/>
      </w:r>
      <w:r>
        <w:rPr>
          <w:color w:val="auto"/>
          <w:highlight w:val="none"/>
        </w:rPr>
        <w:instrText xml:space="preserve"> PAGEREF _Toc2379 \h </w:instrText>
      </w:r>
      <w:r>
        <w:rPr>
          <w:color w:val="auto"/>
          <w:highlight w:val="none"/>
        </w:rPr>
        <w:fldChar w:fldCharType="separate"/>
      </w:r>
      <w:r>
        <w:rPr>
          <w:color w:val="auto"/>
          <w:highlight w:val="none"/>
        </w:rPr>
        <w:t>14</w:t>
      </w:r>
      <w:r>
        <w:rPr>
          <w:color w:val="auto"/>
          <w:highlight w:val="none"/>
        </w:rPr>
        <w:fldChar w:fldCharType="end"/>
      </w:r>
      <w:r>
        <w:rPr>
          <w:rFonts w:ascii="宋体" w:hAnsi="宋体"/>
          <w:color w:val="auto"/>
          <w:szCs w:val="28"/>
          <w:highlight w:val="none"/>
        </w:rPr>
        <w:fldChar w:fldCharType="end"/>
      </w:r>
    </w:p>
    <w:p w14:paraId="68D19084">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_Toc28165 </w:instrText>
      </w:r>
      <w:r>
        <w:rPr>
          <w:rFonts w:ascii="宋体" w:hAnsi="宋体"/>
          <w:color w:val="auto"/>
          <w:szCs w:val="28"/>
          <w:highlight w:val="none"/>
        </w:rPr>
        <w:fldChar w:fldCharType="separate"/>
      </w:r>
      <w:r>
        <w:rPr>
          <w:rFonts w:hint="eastAsia" w:ascii="仿宋" w:hAnsi="仿宋" w:eastAsia="仿宋"/>
          <w:color w:val="auto"/>
          <w:highlight w:val="none"/>
        </w:rPr>
        <w:t>第四节  投标文件的提交</w:t>
      </w:r>
      <w:r>
        <w:rPr>
          <w:color w:val="auto"/>
          <w:highlight w:val="none"/>
        </w:rPr>
        <w:tab/>
      </w:r>
      <w:r>
        <w:rPr>
          <w:color w:val="auto"/>
          <w:highlight w:val="none"/>
        </w:rPr>
        <w:fldChar w:fldCharType="begin"/>
      </w:r>
      <w:r>
        <w:rPr>
          <w:color w:val="auto"/>
          <w:highlight w:val="none"/>
        </w:rPr>
        <w:instrText xml:space="preserve"> PAGEREF _Toc28165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011EFDDC">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_Toc22870 </w:instrText>
      </w:r>
      <w:r>
        <w:rPr>
          <w:rFonts w:ascii="宋体" w:hAnsi="宋体"/>
          <w:color w:val="auto"/>
          <w:szCs w:val="28"/>
          <w:highlight w:val="none"/>
        </w:rPr>
        <w:fldChar w:fldCharType="separate"/>
      </w:r>
      <w:r>
        <w:rPr>
          <w:rFonts w:hint="eastAsia" w:ascii="仿宋" w:hAnsi="仿宋" w:eastAsia="仿宋"/>
          <w:color w:val="auto"/>
          <w:highlight w:val="none"/>
        </w:rPr>
        <w:t>14. 投标文件的密封、标记和递交</w:t>
      </w:r>
      <w:r>
        <w:rPr>
          <w:color w:val="auto"/>
          <w:highlight w:val="none"/>
        </w:rPr>
        <w:tab/>
      </w:r>
      <w:r>
        <w:rPr>
          <w:color w:val="auto"/>
          <w:highlight w:val="none"/>
        </w:rPr>
        <w:fldChar w:fldCharType="begin"/>
      </w:r>
      <w:r>
        <w:rPr>
          <w:color w:val="auto"/>
          <w:highlight w:val="none"/>
        </w:rPr>
        <w:instrText xml:space="preserve"> PAGEREF _Toc22870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4EF472FA">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_Toc27862 </w:instrText>
      </w:r>
      <w:r>
        <w:rPr>
          <w:rFonts w:ascii="宋体" w:hAnsi="宋体"/>
          <w:color w:val="auto"/>
          <w:szCs w:val="28"/>
          <w:highlight w:val="none"/>
        </w:rPr>
        <w:fldChar w:fldCharType="separate"/>
      </w:r>
      <w:r>
        <w:rPr>
          <w:rFonts w:hint="eastAsia" w:ascii="仿宋" w:hAnsi="仿宋" w:eastAsia="仿宋"/>
          <w:color w:val="auto"/>
          <w:highlight w:val="none"/>
        </w:rPr>
        <w:t>第五节</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投标文件的评估和比较</w:t>
      </w:r>
      <w:r>
        <w:rPr>
          <w:color w:val="auto"/>
          <w:highlight w:val="none"/>
        </w:rPr>
        <w:tab/>
      </w:r>
      <w:r>
        <w:rPr>
          <w:color w:val="auto"/>
          <w:highlight w:val="none"/>
        </w:rPr>
        <w:fldChar w:fldCharType="begin"/>
      </w:r>
      <w:r>
        <w:rPr>
          <w:color w:val="auto"/>
          <w:highlight w:val="none"/>
        </w:rPr>
        <w:instrText xml:space="preserve"> PAGEREF _Toc27862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2C4669E6">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_Toc3123 </w:instrText>
      </w:r>
      <w:r>
        <w:rPr>
          <w:rFonts w:ascii="宋体" w:hAnsi="宋体"/>
          <w:color w:val="auto"/>
          <w:szCs w:val="28"/>
          <w:highlight w:val="none"/>
        </w:rPr>
        <w:fldChar w:fldCharType="separate"/>
      </w:r>
      <w:r>
        <w:rPr>
          <w:rFonts w:hint="eastAsia" w:ascii="仿宋" w:hAnsi="仿宋" w:eastAsia="仿宋"/>
          <w:color w:val="auto"/>
          <w:highlight w:val="none"/>
        </w:rPr>
        <w:t>15．开标、评标时间</w:t>
      </w:r>
      <w:r>
        <w:rPr>
          <w:color w:val="auto"/>
          <w:highlight w:val="none"/>
        </w:rPr>
        <w:tab/>
      </w:r>
      <w:r>
        <w:rPr>
          <w:color w:val="auto"/>
          <w:highlight w:val="none"/>
        </w:rPr>
        <w:fldChar w:fldCharType="begin"/>
      </w:r>
      <w:r>
        <w:rPr>
          <w:color w:val="auto"/>
          <w:highlight w:val="none"/>
        </w:rPr>
        <w:instrText xml:space="preserve"> PAGEREF _Toc3123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025F2507">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_Toc20979 </w:instrText>
      </w:r>
      <w:r>
        <w:rPr>
          <w:rFonts w:ascii="宋体" w:hAnsi="宋体"/>
          <w:color w:val="auto"/>
          <w:szCs w:val="28"/>
          <w:highlight w:val="none"/>
        </w:rPr>
        <w:fldChar w:fldCharType="separate"/>
      </w:r>
      <w:r>
        <w:rPr>
          <w:rFonts w:hint="eastAsia" w:ascii="仿宋" w:hAnsi="仿宋" w:eastAsia="仿宋"/>
          <w:color w:val="auto"/>
          <w:highlight w:val="none"/>
        </w:rPr>
        <w:t>16．评标委员会</w:t>
      </w:r>
      <w:r>
        <w:rPr>
          <w:color w:val="auto"/>
          <w:highlight w:val="none"/>
        </w:rPr>
        <w:tab/>
      </w:r>
      <w:r>
        <w:rPr>
          <w:color w:val="auto"/>
          <w:highlight w:val="none"/>
        </w:rPr>
        <w:fldChar w:fldCharType="begin"/>
      </w:r>
      <w:r>
        <w:rPr>
          <w:color w:val="auto"/>
          <w:highlight w:val="none"/>
        </w:rPr>
        <w:instrText xml:space="preserve"> PAGEREF _Toc20979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0429A1B2">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_Toc16604 </w:instrText>
      </w:r>
      <w:r>
        <w:rPr>
          <w:rFonts w:ascii="宋体" w:hAnsi="宋体"/>
          <w:color w:val="auto"/>
          <w:szCs w:val="28"/>
          <w:highlight w:val="none"/>
        </w:rPr>
        <w:fldChar w:fldCharType="separate"/>
      </w:r>
      <w:r>
        <w:rPr>
          <w:rFonts w:hint="eastAsia" w:ascii="仿宋" w:hAnsi="仿宋" w:eastAsia="仿宋"/>
          <w:color w:val="auto"/>
          <w:highlight w:val="none"/>
        </w:rPr>
        <w:t>17</w:t>
      </w:r>
      <w:r>
        <w:rPr>
          <w:rFonts w:ascii="仿宋" w:hAnsi="仿宋" w:eastAsia="仿宋"/>
          <w:color w:val="auto"/>
          <w:highlight w:val="none"/>
        </w:rPr>
        <w:t xml:space="preserve">. </w:t>
      </w:r>
      <w:r>
        <w:rPr>
          <w:rFonts w:hint="eastAsia" w:ascii="仿宋" w:hAnsi="仿宋" w:eastAsia="仿宋"/>
          <w:color w:val="auto"/>
          <w:highlight w:val="none"/>
        </w:rPr>
        <w:t>投标文件的初审</w:t>
      </w:r>
      <w:r>
        <w:rPr>
          <w:color w:val="auto"/>
          <w:highlight w:val="none"/>
        </w:rPr>
        <w:tab/>
      </w:r>
      <w:r>
        <w:rPr>
          <w:color w:val="auto"/>
          <w:highlight w:val="none"/>
        </w:rPr>
        <w:fldChar w:fldCharType="begin"/>
      </w:r>
      <w:r>
        <w:rPr>
          <w:color w:val="auto"/>
          <w:highlight w:val="none"/>
        </w:rPr>
        <w:instrText xml:space="preserve"> PAGEREF _Toc16604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511CBB13">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_Toc28819 </w:instrText>
      </w:r>
      <w:r>
        <w:rPr>
          <w:rFonts w:ascii="宋体" w:hAnsi="宋体"/>
          <w:color w:val="auto"/>
          <w:szCs w:val="28"/>
          <w:highlight w:val="none"/>
        </w:rPr>
        <w:fldChar w:fldCharType="separate"/>
      </w:r>
      <w:r>
        <w:rPr>
          <w:rFonts w:hint="eastAsia" w:ascii="仿宋" w:hAnsi="仿宋" w:eastAsia="仿宋"/>
          <w:color w:val="auto"/>
          <w:highlight w:val="none"/>
          <w:lang w:val="en-US" w:eastAsia="zh-CN"/>
        </w:rPr>
        <w:t xml:space="preserve">18. </w:t>
      </w:r>
      <w:r>
        <w:rPr>
          <w:rFonts w:hint="eastAsia" w:ascii="仿宋" w:hAnsi="仿宋" w:eastAsia="仿宋"/>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_Toc28819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8"/>
          <w:highlight w:val="none"/>
        </w:rPr>
        <w:fldChar w:fldCharType="end"/>
      </w:r>
    </w:p>
    <w:p w14:paraId="3A48C4FC">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_Toc30027 </w:instrText>
      </w:r>
      <w:r>
        <w:rPr>
          <w:rFonts w:ascii="宋体" w:hAnsi="宋体"/>
          <w:color w:val="auto"/>
          <w:szCs w:val="28"/>
          <w:highlight w:val="none"/>
        </w:rPr>
        <w:fldChar w:fldCharType="separate"/>
      </w:r>
      <w:r>
        <w:rPr>
          <w:rFonts w:hint="eastAsia" w:ascii="仿宋" w:hAnsi="仿宋" w:eastAsia="仿宋"/>
          <w:color w:val="auto"/>
          <w:highlight w:val="none"/>
        </w:rPr>
        <w:t>19. 投标文件的澄清</w:t>
      </w:r>
      <w:r>
        <w:rPr>
          <w:color w:val="auto"/>
          <w:highlight w:val="none"/>
        </w:rPr>
        <w:tab/>
      </w:r>
      <w:r>
        <w:rPr>
          <w:color w:val="auto"/>
          <w:highlight w:val="none"/>
        </w:rPr>
        <w:fldChar w:fldCharType="begin"/>
      </w:r>
      <w:r>
        <w:rPr>
          <w:color w:val="auto"/>
          <w:highlight w:val="none"/>
        </w:rPr>
        <w:instrText xml:space="preserve"> PAGEREF _Toc30027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28"/>
          <w:highlight w:val="none"/>
        </w:rPr>
        <w:fldChar w:fldCharType="end"/>
      </w:r>
    </w:p>
    <w:p w14:paraId="091F7A90">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_Toc20471 </w:instrText>
      </w:r>
      <w:r>
        <w:rPr>
          <w:rFonts w:ascii="宋体" w:hAnsi="宋体"/>
          <w:color w:val="auto"/>
          <w:szCs w:val="28"/>
          <w:highlight w:val="none"/>
        </w:rPr>
        <w:fldChar w:fldCharType="separate"/>
      </w:r>
      <w:r>
        <w:rPr>
          <w:rFonts w:hint="eastAsia" w:ascii="仿宋" w:hAnsi="仿宋" w:eastAsia="仿宋"/>
          <w:color w:val="auto"/>
          <w:highlight w:val="none"/>
        </w:rPr>
        <w:t>20. 比较与评价</w:t>
      </w:r>
      <w:r>
        <w:rPr>
          <w:color w:val="auto"/>
          <w:highlight w:val="none"/>
        </w:rPr>
        <w:tab/>
      </w:r>
      <w:r>
        <w:rPr>
          <w:color w:val="auto"/>
          <w:highlight w:val="none"/>
        </w:rPr>
        <w:fldChar w:fldCharType="begin"/>
      </w:r>
      <w:r>
        <w:rPr>
          <w:color w:val="auto"/>
          <w:highlight w:val="none"/>
        </w:rPr>
        <w:instrText xml:space="preserve"> PAGEREF _Toc20471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097562A9">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_Toc22566 </w:instrText>
      </w:r>
      <w:r>
        <w:rPr>
          <w:rFonts w:ascii="宋体" w:hAnsi="宋体"/>
          <w:color w:val="auto"/>
          <w:szCs w:val="28"/>
          <w:highlight w:val="none"/>
        </w:rPr>
        <w:fldChar w:fldCharType="separate"/>
      </w:r>
      <w:r>
        <w:rPr>
          <w:rFonts w:hint="eastAsia" w:ascii="仿宋" w:hAnsi="仿宋" w:eastAsia="仿宋"/>
          <w:color w:val="auto"/>
          <w:highlight w:val="none"/>
        </w:rPr>
        <w:t>第六节 定标与签订合同</w:t>
      </w:r>
      <w:r>
        <w:rPr>
          <w:color w:val="auto"/>
          <w:highlight w:val="none"/>
        </w:rPr>
        <w:tab/>
      </w:r>
      <w:r>
        <w:rPr>
          <w:color w:val="auto"/>
          <w:highlight w:val="none"/>
        </w:rPr>
        <w:fldChar w:fldCharType="begin"/>
      </w:r>
      <w:r>
        <w:rPr>
          <w:color w:val="auto"/>
          <w:highlight w:val="none"/>
        </w:rPr>
        <w:instrText xml:space="preserve"> PAGEREF _Toc22566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011835FE">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_Toc16118 </w:instrText>
      </w:r>
      <w:r>
        <w:rPr>
          <w:rFonts w:ascii="宋体" w:hAnsi="宋体"/>
          <w:color w:val="auto"/>
          <w:szCs w:val="28"/>
          <w:highlight w:val="none"/>
        </w:rPr>
        <w:fldChar w:fldCharType="separate"/>
      </w:r>
      <w:r>
        <w:rPr>
          <w:rFonts w:hint="eastAsia" w:ascii="仿宋" w:hAnsi="仿宋" w:eastAsia="仿宋"/>
          <w:color w:val="auto"/>
          <w:highlight w:val="none"/>
        </w:rPr>
        <w:t>21</w:t>
      </w:r>
      <w:r>
        <w:rPr>
          <w:rFonts w:ascii="仿宋" w:hAnsi="仿宋" w:eastAsia="仿宋"/>
          <w:color w:val="auto"/>
          <w:highlight w:val="none"/>
        </w:rPr>
        <w:t>.</w:t>
      </w:r>
      <w:r>
        <w:rPr>
          <w:rFonts w:hint="eastAsia" w:ascii="仿宋" w:hAnsi="仿宋" w:eastAsia="仿宋"/>
          <w:color w:val="auto"/>
          <w:highlight w:val="none"/>
        </w:rPr>
        <w:t xml:space="preserve"> 定标准则</w:t>
      </w:r>
      <w:r>
        <w:rPr>
          <w:color w:val="auto"/>
          <w:highlight w:val="none"/>
        </w:rPr>
        <w:tab/>
      </w:r>
      <w:r>
        <w:rPr>
          <w:color w:val="auto"/>
          <w:highlight w:val="none"/>
        </w:rPr>
        <w:fldChar w:fldCharType="begin"/>
      </w:r>
      <w:r>
        <w:rPr>
          <w:color w:val="auto"/>
          <w:highlight w:val="none"/>
        </w:rPr>
        <w:instrText xml:space="preserve"> PAGEREF _Toc16118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1C81405E">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_Toc29856 </w:instrText>
      </w:r>
      <w:r>
        <w:rPr>
          <w:rFonts w:ascii="宋体" w:hAnsi="宋体"/>
          <w:color w:val="auto"/>
          <w:szCs w:val="28"/>
          <w:highlight w:val="none"/>
        </w:rPr>
        <w:fldChar w:fldCharType="separate"/>
      </w:r>
      <w:r>
        <w:rPr>
          <w:rFonts w:hint="eastAsia" w:ascii="仿宋" w:hAnsi="仿宋" w:eastAsia="仿宋"/>
          <w:color w:val="auto"/>
          <w:highlight w:val="none"/>
        </w:rPr>
        <w:t>22</w:t>
      </w:r>
      <w:r>
        <w:rPr>
          <w:rFonts w:ascii="仿宋" w:hAnsi="仿宋" w:eastAsia="仿宋"/>
          <w:color w:val="auto"/>
          <w:highlight w:val="none"/>
        </w:rPr>
        <w:t xml:space="preserve">. </w:t>
      </w:r>
      <w:r>
        <w:rPr>
          <w:rFonts w:hint="eastAsia" w:ascii="仿宋" w:hAnsi="仿宋" w:eastAsia="仿宋"/>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_Toc29856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06B53453">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_Toc7360 </w:instrText>
      </w:r>
      <w:r>
        <w:rPr>
          <w:rFonts w:ascii="宋体" w:hAnsi="宋体"/>
          <w:color w:val="auto"/>
          <w:szCs w:val="28"/>
          <w:highlight w:val="none"/>
        </w:rPr>
        <w:fldChar w:fldCharType="separate"/>
      </w:r>
      <w:r>
        <w:rPr>
          <w:rFonts w:hint="eastAsia" w:ascii="仿宋" w:hAnsi="仿宋" w:eastAsia="仿宋"/>
          <w:color w:val="auto"/>
          <w:highlight w:val="none"/>
        </w:rPr>
        <w:t>23. 签订合同</w:t>
      </w:r>
      <w:r>
        <w:rPr>
          <w:color w:val="auto"/>
          <w:highlight w:val="none"/>
        </w:rPr>
        <w:tab/>
      </w:r>
      <w:r>
        <w:rPr>
          <w:color w:val="auto"/>
          <w:highlight w:val="none"/>
        </w:rPr>
        <w:fldChar w:fldCharType="begin"/>
      </w:r>
      <w:r>
        <w:rPr>
          <w:color w:val="auto"/>
          <w:highlight w:val="none"/>
        </w:rPr>
        <w:instrText xml:space="preserve"> PAGEREF _Toc7360 \h </w:instrText>
      </w:r>
      <w:r>
        <w:rPr>
          <w:color w:val="auto"/>
          <w:highlight w:val="none"/>
        </w:rPr>
        <w:fldChar w:fldCharType="separate"/>
      </w:r>
      <w:r>
        <w:rPr>
          <w:color w:val="auto"/>
          <w:highlight w:val="none"/>
        </w:rPr>
        <w:t>27</w:t>
      </w:r>
      <w:r>
        <w:rPr>
          <w:color w:val="auto"/>
          <w:highlight w:val="none"/>
        </w:rPr>
        <w:fldChar w:fldCharType="end"/>
      </w:r>
      <w:r>
        <w:rPr>
          <w:rFonts w:ascii="宋体" w:hAnsi="宋体"/>
          <w:color w:val="auto"/>
          <w:szCs w:val="28"/>
          <w:highlight w:val="none"/>
        </w:rPr>
        <w:fldChar w:fldCharType="end"/>
      </w:r>
    </w:p>
    <w:p w14:paraId="70439236">
      <w:pPr>
        <w:pStyle w:val="15"/>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_Toc29366 </w:instrText>
      </w:r>
      <w:r>
        <w:rPr>
          <w:rFonts w:ascii="宋体" w:hAnsi="宋体"/>
          <w:color w:val="auto"/>
          <w:szCs w:val="28"/>
          <w:highlight w:val="none"/>
        </w:rPr>
        <w:fldChar w:fldCharType="separate"/>
      </w:r>
      <w:r>
        <w:rPr>
          <w:rFonts w:hint="eastAsia" w:ascii="仿宋" w:hAnsi="仿宋" w:eastAsia="仿宋"/>
          <w:color w:val="auto"/>
          <w:szCs w:val="32"/>
          <w:highlight w:val="none"/>
        </w:rPr>
        <w:t>第三章　招标内容及要求</w:t>
      </w:r>
      <w:r>
        <w:rPr>
          <w:color w:val="auto"/>
          <w:highlight w:val="none"/>
        </w:rPr>
        <w:tab/>
      </w:r>
      <w:r>
        <w:rPr>
          <w:color w:val="auto"/>
          <w:highlight w:val="none"/>
        </w:rPr>
        <w:fldChar w:fldCharType="begin"/>
      </w:r>
      <w:r>
        <w:rPr>
          <w:color w:val="auto"/>
          <w:highlight w:val="none"/>
        </w:rPr>
        <w:instrText xml:space="preserve"> PAGEREF _Toc29366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7B3BB5A8">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_Toc18631 </w:instrText>
      </w:r>
      <w:r>
        <w:rPr>
          <w:rFonts w:ascii="宋体" w:hAnsi="宋体"/>
          <w:color w:val="auto"/>
          <w:szCs w:val="28"/>
          <w:highlight w:val="none"/>
        </w:rPr>
        <w:fldChar w:fldCharType="separate"/>
      </w:r>
      <w:r>
        <w:rPr>
          <w:rFonts w:hint="eastAsia" w:ascii="仿宋" w:hAnsi="仿宋" w:eastAsia="仿宋"/>
          <w:color w:val="auto"/>
          <w:highlight w:val="none"/>
        </w:rPr>
        <w:t>第一节招标内容</w:t>
      </w:r>
      <w:r>
        <w:rPr>
          <w:color w:val="auto"/>
          <w:highlight w:val="none"/>
        </w:rPr>
        <w:tab/>
      </w:r>
      <w:r>
        <w:rPr>
          <w:color w:val="auto"/>
          <w:highlight w:val="none"/>
        </w:rPr>
        <w:fldChar w:fldCharType="begin"/>
      </w:r>
      <w:r>
        <w:rPr>
          <w:color w:val="auto"/>
          <w:highlight w:val="none"/>
        </w:rPr>
        <w:instrText xml:space="preserve"> PAGEREF _Toc18631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0FE896CD">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_Toc13801 </w:instrText>
      </w:r>
      <w:r>
        <w:rPr>
          <w:rFonts w:ascii="宋体" w:hAnsi="宋体"/>
          <w:color w:val="auto"/>
          <w:szCs w:val="28"/>
          <w:highlight w:val="none"/>
        </w:rPr>
        <w:fldChar w:fldCharType="separate"/>
      </w:r>
      <w:r>
        <w:rPr>
          <w:rFonts w:hint="eastAsia" w:ascii="仿宋" w:hAnsi="仿宋" w:eastAsia="仿宋"/>
          <w:bCs/>
          <w:color w:val="auto"/>
          <w:szCs w:val="32"/>
          <w:highlight w:val="none"/>
        </w:rPr>
        <w:t>1. 项目名称</w:t>
      </w:r>
      <w:r>
        <w:rPr>
          <w:color w:val="auto"/>
          <w:highlight w:val="none"/>
        </w:rPr>
        <w:tab/>
      </w:r>
      <w:r>
        <w:rPr>
          <w:color w:val="auto"/>
          <w:highlight w:val="none"/>
        </w:rPr>
        <w:fldChar w:fldCharType="begin"/>
      </w:r>
      <w:r>
        <w:rPr>
          <w:color w:val="auto"/>
          <w:highlight w:val="none"/>
        </w:rPr>
        <w:instrText xml:space="preserve"> PAGEREF _Toc13801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3006C177">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_Toc31479 </w:instrText>
      </w:r>
      <w:r>
        <w:rPr>
          <w:rFonts w:ascii="宋体" w:hAnsi="宋体"/>
          <w:color w:val="auto"/>
          <w:szCs w:val="28"/>
          <w:highlight w:val="none"/>
        </w:rPr>
        <w:fldChar w:fldCharType="separate"/>
      </w:r>
      <w:r>
        <w:rPr>
          <w:rFonts w:hint="eastAsia" w:ascii="仿宋" w:hAnsi="仿宋" w:eastAsia="仿宋"/>
          <w:color w:val="auto"/>
          <w:highlight w:val="none"/>
        </w:rPr>
        <w:t>第二节项目需求简述</w:t>
      </w:r>
      <w:r>
        <w:rPr>
          <w:color w:val="auto"/>
          <w:highlight w:val="none"/>
        </w:rPr>
        <w:tab/>
      </w:r>
      <w:r>
        <w:rPr>
          <w:color w:val="auto"/>
          <w:highlight w:val="none"/>
        </w:rPr>
        <w:fldChar w:fldCharType="begin"/>
      </w:r>
      <w:r>
        <w:rPr>
          <w:color w:val="auto"/>
          <w:highlight w:val="none"/>
        </w:rPr>
        <w:instrText xml:space="preserve"> PAGEREF _Toc31479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70D1377C">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_Toc14110 </w:instrText>
      </w:r>
      <w:r>
        <w:rPr>
          <w:rFonts w:ascii="宋体" w:hAnsi="宋体"/>
          <w:color w:val="auto"/>
          <w:szCs w:val="28"/>
          <w:highlight w:val="none"/>
        </w:rPr>
        <w:fldChar w:fldCharType="separate"/>
      </w:r>
      <w:r>
        <w:rPr>
          <w:rFonts w:ascii="仿宋" w:hAnsi="仿宋" w:eastAsia="仿宋"/>
          <w:bCs/>
          <w:color w:val="auto"/>
          <w:szCs w:val="32"/>
          <w:highlight w:val="none"/>
        </w:rPr>
        <w:t xml:space="preserve">2. </w:t>
      </w:r>
      <w:r>
        <w:rPr>
          <w:rFonts w:hint="eastAsia" w:ascii="仿宋" w:hAnsi="仿宋" w:eastAsia="仿宋"/>
          <w:bCs/>
          <w:color w:val="auto"/>
          <w:szCs w:val="32"/>
          <w:highlight w:val="none"/>
        </w:rPr>
        <w:t>项目基本情况说明</w:t>
      </w:r>
      <w:r>
        <w:rPr>
          <w:color w:val="auto"/>
          <w:highlight w:val="none"/>
        </w:rPr>
        <w:tab/>
      </w:r>
      <w:r>
        <w:rPr>
          <w:color w:val="auto"/>
          <w:highlight w:val="none"/>
        </w:rPr>
        <w:fldChar w:fldCharType="begin"/>
      </w:r>
      <w:r>
        <w:rPr>
          <w:color w:val="auto"/>
          <w:highlight w:val="none"/>
        </w:rPr>
        <w:instrText xml:space="preserve"> PAGEREF _Toc14110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6B3C5318">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_Toc3747 </w:instrText>
      </w:r>
      <w:r>
        <w:rPr>
          <w:rFonts w:ascii="宋体" w:hAnsi="宋体"/>
          <w:color w:val="auto"/>
          <w:szCs w:val="28"/>
          <w:highlight w:val="none"/>
        </w:rPr>
        <w:fldChar w:fldCharType="separate"/>
      </w:r>
      <w:r>
        <w:rPr>
          <w:rFonts w:ascii="仿宋" w:hAnsi="仿宋" w:eastAsia="仿宋"/>
          <w:bCs/>
          <w:color w:val="auto"/>
          <w:szCs w:val="32"/>
          <w:highlight w:val="none"/>
        </w:rPr>
        <w:t xml:space="preserve">3. </w:t>
      </w:r>
      <w:r>
        <w:rPr>
          <w:rFonts w:hint="eastAsia" w:ascii="仿宋" w:hAnsi="仿宋" w:eastAsia="仿宋"/>
          <w:bCs/>
          <w:color w:val="auto"/>
          <w:szCs w:val="32"/>
          <w:highlight w:val="none"/>
        </w:rPr>
        <w:t>招标要求及服务内容</w:t>
      </w:r>
      <w:r>
        <w:rPr>
          <w:color w:val="auto"/>
          <w:highlight w:val="none"/>
        </w:rPr>
        <w:tab/>
      </w:r>
      <w:r>
        <w:rPr>
          <w:color w:val="auto"/>
          <w:highlight w:val="none"/>
        </w:rPr>
        <w:fldChar w:fldCharType="begin"/>
      </w:r>
      <w:r>
        <w:rPr>
          <w:color w:val="auto"/>
          <w:highlight w:val="none"/>
        </w:rPr>
        <w:instrText xml:space="preserve"> PAGEREF _Toc3747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6A9B1F75">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_Toc6747 </w:instrText>
      </w:r>
      <w:r>
        <w:rPr>
          <w:rFonts w:ascii="宋体" w:hAnsi="宋体"/>
          <w:color w:val="auto"/>
          <w:szCs w:val="28"/>
          <w:highlight w:val="none"/>
        </w:rPr>
        <w:fldChar w:fldCharType="separate"/>
      </w:r>
      <w:r>
        <w:rPr>
          <w:rFonts w:ascii="仿宋" w:hAnsi="仿宋" w:eastAsia="仿宋"/>
          <w:bCs/>
          <w:color w:val="auto"/>
          <w:szCs w:val="32"/>
          <w:highlight w:val="none"/>
        </w:rPr>
        <w:t xml:space="preserve">4. </w:t>
      </w:r>
      <w:r>
        <w:rPr>
          <w:rFonts w:hint="eastAsia" w:ascii="仿宋" w:hAnsi="仿宋" w:eastAsia="仿宋"/>
          <w:bCs/>
          <w:color w:val="auto"/>
          <w:szCs w:val="32"/>
          <w:highlight w:val="none"/>
        </w:rPr>
        <w:t>餐饮中心平面图（详见《国贸商务中心餐饮中心三楼平面图》）</w:t>
      </w:r>
      <w:r>
        <w:rPr>
          <w:color w:val="auto"/>
          <w:highlight w:val="none"/>
        </w:rPr>
        <w:tab/>
      </w:r>
      <w:r>
        <w:rPr>
          <w:color w:val="auto"/>
          <w:highlight w:val="none"/>
        </w:rPr>
        <w:fldChar w:fldCharType="begin"/>
      </w:r>
      <w:r>
        <w:rPr>
          <w:color w:val="auto"/>
          <w:highlight w:val="none"/>
        </w:rPr>
        <w:instrText xml:space="preserve"> PAGEREF _Toc6747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8"/>
          <w:highlight w:val="none"/>
        </w:rPr>
        <w:fldChar w:fldCharType="end"/>
      </w:r>
    </w:p>
    <w:p w14:paraId="24A9A602">
      <w:pPr>
        <w:pStyle w:val="9"/>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_Toc24008 </w:instrText>
      </w:r>
      <w:r>
        <w:rPr>
          <w:rFonts w:ascii="宋体" w:hAnsi="宋体"/>
          <w:color w:val="auto"/>
          <w:szCs w:val="28"/>
          <w:highlight w:val="none"/>
        </w:rPr>
        <w:fldChar w:fldCharType="separate"/>
      </w:r>
      <w:r>
        <w:rPr>
          <w:rFonts w:ascii="仿宋" w:hAnsi="仿宋" w:eastAsia="仿宋"/>
          <w:bCs/>
          <w:color w:val="auto"/>
          <w:szCs w:val="32"/>
          <w:highlight w:val="none"/>
        </w:rPr>
        <w:t xml:space="preserve">5. </w:t>
      </w:r>
      <w:r>
        <w:rPr>
          <w:rFonts w:hint="eastAsia" w:ascii="仿宋" w:hAnsi="仿宋" w:eastAsia="仿宋"/>
          <w:bCs/>
          <w:color w:val="auto"/>
          <w:szCs w:val="32"/>
          <w:highlight w:val="none"/>
        </w:rPr>
        <w:t>国贸商务中心餐饮中心管理考核评分表</w:t>
      </w:r>
      <w:r>
        <w:rPr>
          <w:color w:val="auto"/>
          <w:highlight w:val="none"/>
        </w:rPr>
        <w:tab/>
      </w:r>
      <w:r>
        <w:rPr>
          <w:color w:val="auto"/>
          <w:highlight w:val="none"/>
        </w:rPr>
        <w:fldChar w:fldCharType="begin"/>
      </w:r>
      <w:r>
        <w:rPr>
          <w:color w:val="auto"/>
          <w:highlight w:val="none"/>
        </w:rPr>
        <w:instrText xml:space="preserve"> PAGEREF _Toc24008 \h </w:instrText>
      </w:r>
      <w:r>
        <w:rPr>
          <w:color w:val="auto"/>
          <w:highlight w:val="none"/>
        </w:rPr>
        <w:fldChar w:fldCharType="separate"/>
      </w:r>
      <w:r>
        <w:rPr>
          <w:color w:val="auto"/>
          <w:highlight w:val="none"/>
        </w:rPr>
        <w:t>33</w:t>
      </w:r>
      <w:r>
        <w:rPr>
          <w:color w:val="auto"/>
          <w:highlight w:val="none"/>
        </w:rPr>
        <w:fldChar w:fldCharType="end"/>
      </w:r>
      <w:r>
        <w:rPr>
          <w:rFonts w:ascii="宋体" w:hAnsi="宋体"/>
          <w:color w:val="auto"/>
          <w:szCs w:val="28"/>
          <w:highlight w:val="none"/>
        </w:rPr>
        <w:fldChar w:fldCharType="end"/>
      </w:r>
    </w:p>
    <w:p w14:paraId="1F2EF98F">
      <w:pPr>
        <w:pStyle w:val="15"/>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_Toc18287 </w:instrText>
      </w:r>
      <w:r>
        <w:rPr>
          <w:rFonts w:ascii="宋体" w:hAnsi="宋体"/>
          <w:color w:val="auto"/>
          <w:szCs w:val="28"/>
          <w:highlight w:val="none"/>
        </w:rPr>
        <w:fldChar w:fldCharType="separate"/>
      </w:r>
      <w:r>
        <w:rPr>
          <w:rFonts w:hint="eastAsia" w:ascii="仿宋" w:hAnsi="仿宋" w:eastAsia="仿宋"/>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_Toc18287 \h </w:instrText>
      </w:r>
      <w:r>
        <w:rPr>
          <w:color w:val="auto"/>
          <w:highlight w:val="none"/>
        </w:rPr>
        <w:fldChar w:fldCharType="separate"/>
      </w:r>
      <w:r>
        <w:rPr>
          <w:color w:val="auto"/>
          <w:highlight w:val="none"/>
        </w:rPr>
        <w:t>35</w:t>
      </w:r>
      <w:r>
        <w:rPr>
          <w:color w:val="auto"/>
          <w:highlight w:val="none"/>
        </w:rPr>
        <w:fldChar w:fldCharType="end"/>
      </w:r>
      <w:r>
        <w:rPr>
          <w:rFonts w:ascii="宋体" w:hAnsi="宋体"/>
          <w:color w:val="auto"/>
          <w:szCs w:val="28"/>
          <w:highlight w:val="none"/>
        </w:rPr>
        <w:fldChar w:fldCharType="end"/>
      </w:r>
    </w:p>
    <w:p w14:paraId="027E6AA9">
      <w:pPr>
        <w:pStyle w:val="15"/>
        <w:tabs>
          <w:tab w:val="right" w:leader="dot" w:pos="9061"/>
        </w:tabs>
        <w:spacing w:before="0" w:after="0" w:line="400" w:lineRule="exact"/>
        <w:rPr>
          <w:color w:val="auto"/>
          <w:sz w:val="48"/>
          <w:szCs w:val="48"/>
          <w:highlight w:val="none"/>
        </w:rPr>
      </w:pPr>
      <w:r>
        <w:rPr>
          <w:rFonts w:ascii="宋体" w:hAnsi="宋体"/>
          <w:color w:val="auto"/>
          <w:sz w:val="28"/>
          <w:szCs w:val="28"/>
          <w:highlight w:val="none"/>
        </w:rPr>
        <w:fldChar w:fldCharType="end"/>
      </w:r>
    </w:p>
    <w:p w14:paraId="3F06482D">
      <w:pPr>
        <w:pStyle w:val="2"/>
        <w:keepNext w:val="0"/>
        <w:keepLines w:val="0"/>
        <w:spacing w:before="120" w:beforeLines="50" w:after="240" w:afterLines="100" w:line="580" w:lineRule="exact"/>
        <w:jc w:val="center"/>
        <w:rPr>
          <w:color w:val="auto"/>
          <w:szCs w:val="32"/>
          <w:highlight w:val="none"/>
        </w:rPr>
      </w:pPr>
      <w:r>
        <w:rPr>
          <w:color w:val="auto"/>
          <w:sz w:val="52"/>
          <w:szCs w:val="52"/>
          <w:highlight w:val="none"/>
        </w:rPr>
        <w:br w:type="page"/>
      </w:r>
      <w:bookmarkStart w:id="9" w:name="_Toc4591"/>
      <w:bookmarkStart w:id="10" w:name="_Toc9817"/>
      <w:r>
        <w:rPr>
          <w:rFonts w:hint="eastAsia" w:ascii="仿宋" w:hAnsi="仿宋" w:eastAsia="仿宋" w:cs="仿宋"/>
          <w:bCs w:val="0"/>
          <w:color w:val="auto"/>
          <w:kern w:val="0"/>
          <w:szCs w:val="32"/>
          <w:highlight w:val="none"/>
        </w:rPr>
        <w:t>第一章　招标公告</w:t>
      </w:r>
      <w:bookmarkEnd w:id="9"/>
      <w:bookmarkEnd w:id="10"/>
    </w:p>
    <w:p w14:paraId="48044C1E">
      <w:pPr>
        <w:spacing w:line="500" w:lineRule="exact"/>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rPr>
        <w:t>厦门国贸城市服务集团股份有限公司为提升国贸商务中心服务质量，现采用公开招标的方式选择国贸商务中心餐饮运营服务商，欢迎符合资格、专业的公司参加投标</w:t>
      </w:r>
      <w:r>
        <w:rPr>
          <w:rFonts w:hint="eastAsia" w:ascii="仿宋" w:hAnsi="仿宋" w:eastAsia="仿宋" w:cs="Arial"/>
          <w:color w:val="auto"/>
          <w:sz w:val="32"/>
          <w:szCs w:val="32"/>
          <w:highlight w:val="none"/>
        </w:rPr>
        <w:t>。</w:t>
      </w:r>
    </w:p>
    <w:p w14:paraId="1C4C095B">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若有意参加此次招标，请自行在本网站</w:t>
      </w:r>
      <w:r>
        <w:rPr>
          <w:rFonts w:ascii="仿宋" w:hAnsi="仿宋" w:eastAsia="仿宋" w:cs="仿宋"/>
          <w:color w:val="auto"/>
          <w:kern w:val="0"/>
          <w:sz w:val="32"/>
          <w:szCs w:val="32"/>
          <w:highlight w:val="none"/>
        </w:rPr>
        <w:t>下载</w:t>
      </w:r>
      <w:r>
        <w:rPr>
          <w:rFonts w:hint="eastAsia" w:ascii="仿宋" w:hAnsi="仿宋" w:eastAsia="仿宋" w:cs="仿宋"/>
          <w:color w:val="auto"/>
          <w:kern w:val="0"/>
          <w:sz w:val="32"/>
          <w:szCs w:val="32"/>
          <w:highlight w:val="none"/>
        </w:rPr>
        <w:t>招标文件，此次招标的截标时间为</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16</w:t>
      </w:r>
      <w:bookmarkStart w:id="214" w:name="_GoBack"/>
      <w:bookmarkEnd w:id="214"/>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ascii="仿宋" w:hAnsi="仿宋" w:eastAsia="仿宋" w:cs="仿宋"/>
          <w:color w:val="auto"/>
          <w:kern w:val="0"/>
          <w:sz w:val="32"/>
          <w:szCs w:val="32"/>
          <w:highlight w:val="none"/>
        </w:rPr>
        <w:t>，投标人需在</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16</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前将投标</w:t>
      </w:r>
      <w:r>
        <w:rPr>
          <w:rFonts w:hint="eastAsia" w:ascii="仿宋" w:hAnsi="仿宋" w:eastAsia="仿宋" w:cs="仿宋"/>
          <w:color w:val="auto"/>
          <w:kern w:val="0"/>
          <w:sz w:val="32"/>
          <w:szCs w:val="32"/>
          <w:highlight w:val="none"/>
          <w:lang w:val="en-US" w:eastAsia="zh-CN"/>
        </w:rPr>
        <w:t>文件</w:t>
      </w:r>
      <w:r>
        <w:rPr>
          <w:rFonts w:hint="eastAsia" w:ascii="仿宋" w:hAnsi="仿宋" w:eastAsia="仿宋" w:cs="仿宋"/>
          <w:color w:val="auto"/>
          <w:kern w:val="0"/>
          <w:sz w:val="32"/>
          <w:szCs w:val="32"/>
          <w:highlight w:val="none"/>
        </w:rPr>
        <w:t>正本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份，副本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份（U盘介质）提交到招标人处，在此时点之后送达的投标文件恕不接受。</w:t>
      </w:r>
    </w:p>
    <w:p w14:paraId="4389E5C9">
      <w:pPr>
        <w:spacing w:line="500" w:lineRule="exact"/>
        <w:ind w:firstLine="640" w:firstLineChars="200"/>
        <w:rPr>
          <w:rFonts w:hint="eastAsia" w:ascii="仿宋" w:hAnsi="仿宋" w:eastAsia="仿宋" w:cs="仿宋"/>
          <w:color w:val="auto"/>
          <w:kern w:val="0"/>
          <w:sz w:val="32"/>
          <w:szCs w:val="32"/>
          <w:highlight w:val="none"/>
          <w:lang w:val="en-US" w:eastAsia="zh-CN" w:bidi="ar-SA"/>
        </w:rPr>
      </w:pPr>
    </w:p>
    <w:p w14:paraId="28313008">
      <w:pPr>
        <w:spacing w:line="5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招标人：厦门国贸城市服务集团股份有限公司</w:t>
      </w:r>
    </w:p>
    <w:p w14:paraId="35C0A07E">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联系地址：厦门市思明区体育路</w:t>
      </w:r>
      <w:r>
        <w:rPr>
          <w:rFonts w:ascii="仿宋" w:hAnsi="仿宋" w:eastAsia="仿宋" w:cs="仿宋"/>
          <w:color w:val="auto"/>
          <w:kern w:val="0"/>
          <w:sz w:val="32"/>
          <w:szCs w:val="32"/>
          <w:highlight w:val="none"/>
        </w:rPr>
        <w:t>41</w:t>
      </w:r>
      <w:r>
        <w:rPr>
          <w:rFonts w:hint="eastAsia" w:ascii="仿宋" w:hAnsi="仿宋" w:eastAsia="仿宋" w:cs="仿宋"/>
          <w:color w:val="auto"/>
          <w:kern w:val="0"/>
          <w:sz w:val="32"/>
          <w:szCs w:val="32"/>
          <w:highlight w:val="none"/>
        </w:rPr>
        <w:t>号顺承大厦6楼</w:t>
      </w:r>
    </w:p>
    <w:p w14:paraId="7F5B4827">
      <w:pPr>
        <w:spacing w:line="500" w:lineRule="exact"/>
        <w:ind w:firstLine="640" w:firstLineChars="200"/>
        <w:rPr>
          <w:rFonts w:hint="default"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林女士</w:t>
      </w:r>
    </w:p>
    <w:p w14:paraId="57A9F9C3">
      <w:pPr>
        <w:spacing w:line="500" w:lineRule="exact"/>
        <w:ind w:firstLine="640" w:firstLineChars="200"/>
        <w:rPr>
          <w:rFonts w:hint="default"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val="en-US" w:eastAsia="zh-CN"/>
        </w:rPr>
        <w:t>0592-2990161</w:t>
      </w:r>
    </w:p>
    <w:p w14:paraId="075EB1BB">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账户名称：</w:t>
      </w:r>
      <w:r>
        <w:rPr>
          <w:rFonts w:hint="eastAsia" w:ascii="仿宋" w:hAnsi="仿宋" w:eastAsia="仿宋" w:cs="仿宋"/>
          <w:color w:val="auto"/>
          <w:kern w:val="0"/>
          <w:sz w:val="32"/>
          <w:szCs w:val="32"/>
          <w:highlight w:val="none"/>
          <w:lang w:val="en-US" w:eastAsia="zh-CN" w:bidi="ar-SA"/>
        </w:rPr>
        <w:t>厦门国贸城市服务集团股份有限公司</w:t>
      </w:r>
    </w:p>
    <w:p w14:paraId="0CD5BCA2">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账</w:t>
      </w:r>
      <w:r>
        <w:rPr>
          <w:rFonts w:hint="eastAsia" w:ascii="仿宋" w:hAnsi="仿宋" w:eastAsia="仿宋" w:cs="仿宋"/>
          <w:color w:val="auto"/>
          <w:kern w:val="0"/>
          <w:sz w:val="32"/>
          <w:szCs w:val="32"/>
          <w:highlight w:val="none"/>
        </w:rPr>
        <w:t xml:space="preserve">    号：</w:t>
      </w:r>
      <w:r>
        <w:rPr>
          <w:rFonts w:hint="eastAsia" w:ascii="仿宋" w:hAnsi="仿宋" w:eastAsia="仿宋" w:cs="仿宋"/>
          <w:color w:val="auto"/>
          <w:kern w:val="0"/>
          <w:sz w:val="32"/>
          <w:szCs w:val="32"/>
          <w:highlight w:val="none"/>
          <w:lang w:val="en-US" w:eastAsia="zh-CN" w:bidi="ar-SA"/>
        </w:rPr>
        <w:t>35101551001050009378</w:t>
      </w:r>
    </w:p>
    <w:p w14:paraId="702D5690">
      <w:pPr>
        <w:spacing w:line="5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开户银行：</w:t>
      </w:r>
      <w:r>
        <w:rPr>
          <w:rFonts w:hint="eastAsia" w:ascii="仿宋" w:hAnsi="仿宋" w:eastAsia="仿宋" w:cs="仿宋"/>
          <w:color w:val="auto"/>
          <w:kern w:val="0"/>
          <w:sz w:val="32"/>
          <w:szCs w:val="32"/>
          <w:highlight w:val="none"/>
          <w:lang w:val="en-US" w:eastAsia="zh-CN" w:bidi="ar-SA"/>
        </w:rPr>
        <w:t>中国建设银行股份有限公司厦门湖滨支行</w:t>
      </w:r>
    </w:p>
    <w:p w14:paraId="774126A0">
      <w:pPr>
        <w:spacing w:line="500" w:lineRule="exact"/>
        <w:ind w:right="920"/>
        <w:rPr>
          <w:rFonts w:ascii="仿宋" w:hAnsi="仿宋" w:eastAsia="仿宋" w:cs="仿宋"/>
          <w:color w:val="auto"/>
          <w:kern w:val="0"/>
          <w:sz w:val="32"/>
          <w:szCs w:val="32"/>
          <w:highlight w:val="none"/>
        </w:rPr>
      </w:pPr>
    </w:p>
    <w:p w14:paraId="7A415C0B">
      <w:pPr>
        <w:spacing w:line="500" w:lineRule="exact"/>
        <w:ind w:firstLine="640" w:firstLineChars="200"/>
        <w:jc w:val="righ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厦门国贸城市服务集团股份有限公司</w:t>
      </w:r>
    </w:p>
    <w:p w14:paraId="34B16830">
      <w:pPr>
        <w:wordWrap w:val="0"/>
        <w:spacing w:line="500" w:lineRule="exact"/>
        <w:ind w:right="280" w:firstLine="640" w:firstLineChars="200"/>
        <w:jc w:val="righ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2026</w:t>
      </w:r>
      <w:r>
        <w:rPr>
          <w:rFonts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 xml:space="preserve">      </w:t>
      </w:r>
    </w:p>
    <w:p w14:paraId="7138B014">
      <w:pPr>
        <w:pStyle w:val="2"/>
        <w:keepNext w:val="0"/>
        <w:keepLines w:val="0"/>
        <w:tabs>
          <w:tab w:val="center" w:pos="4535"/>
        </w:tabs>
        <w:spacing w:before="0" w:after="0" w:line="360" w:lineRule="auto"/>
        <w:jc w:val="left"/>
        <w:rPr>
          <w:rFonts w:ascii="仿宋" w:hAnsi="仿宋" w:eastAsia="仿宋"/>
          <w:color w:val="auto"/>
          <w:highlight w:val="none"/>
        </w:rPr>
      </w:pPr>
    </w:p>
    <w:p w14:paraId="4E7A0B2E">
      <w:pPr>
        <w:pStyle w:val="2"/>
        <w:keepNext w:val="0"/>
        <w:keepLines w:val="0"/>
        <w:tabs>
          <w:tab w:val="center" w:pos="4535"/>
        </w:tabs>
        <w:spacing w:before="0" w:after="0" w:line="360" w:lineRule="auto"/>
        <w:jc w:val="left"/>
        <w:rPr>
          <w:rFonts w:ascii="仿宋" w:hAnsi="仿宋" w:eastAsia="仿宋"/>
          <w:color w:val="auto"/>
          <w:highlight w:val="none"/>
        </w:rPr>
      </w:pPr>
    </w:p>
    <w:p w14:paraId="07FC669B">
      <w:pPr>
        <w:pStyle w:val="2"/>
        <w:keepNext w:val="0"/>
        <w:keepLines w:val="0"/>
        <w:tabs>
          <w:tab w:val="center" w:pos="4535"/>
        </w:tabs>
        <w:spacing w:before="0" w:after="0" w:line="360" w:lineRule="auto"/>
        <w:jc w:val="left"/>
        <w:rPr>
          <w:rFonts w:ascii="仿宋" w:hAnsi="仿宋" w:eastAsia="仿宋"/>
          <w:color w:val="auto"/>
          <w:highlight w:val="none"/>
        </w:rPr>
      </w:pPr>
    </w:p>
    <w:p w14:paraId="6893E426">
      <w:pPr>
        <w:pStyle w:val="2"/>
        <w:keepNext w:val="0"/>
        <w:keepLines w:val="0"/>
        <w:tabs>
          <w:tab w:val="center" w:pos="4535"/>
        </w:tabs>
        <w:spacing w:before="0" w:after="0" w:line="360" w:lineRule="auto"/>
        <w:jc w:val="left"/>
        <w:rPr>
          <w:rFonts w:ascii="仿宋" w:hAnsi="仿宋" w:eastAsia="仿宋"/>
          <w:color w:val="auto"/>
          <w:highlight w:val="none"/>
        </w:rPr>
      </w:pPr>
    </w:p>
    <w:p w14:paraId="78EAD810">
      <w:pPr>
        <w:rPr>
          <w:rFonts w:ascii="仿宋" w:hAnsi="仿宋" w:eastAsia="仿宋"/>
          <w:color w:val="auto"/>
          <w:highlight w:val="none"/>
        </w:rPr>
      </w:pPr>
    </w:p>
    <w:p w14:paraId="2C1AD66B">
      <w:pPr>
        <w:rPr>
          <w:rFonts w:ascii="仿宋" w:hAnsi="仿宋" w:eastAsia="仿宋"/>
          <w:color w:val="auto"/>
          <w:highlight w:val="none"/>
        </w:rPr>
      </w:pPr>
    </w:p>
    <w:p w14:paraId="6915D108">
      <w:pPr>
        <w:rPr>
          <w:color w:val="auto"/>
          <w:highlight w:val="none"/>
        </w:rPr>
      </w:pPr>
    </w:p>
    <w:p w14:paraId="7E18B91F">
      <w:pPr>
        <w:rPr>
          <w:color w:val="auto"/>
          <w:highlight w:val="none"/>
        </w:rPr>
      </w:pPr>
    </w:p>
    <w:p w14:paraId="4DAA624E">
      <w:pPr>
        <w:rPr>
          <w:color w:val="auto"/>
          <w:highlight w:val="none"/>
        </w:rPr>
      </w:pPr>
    </w:p>
    <w:p w14:paraId="006467D0">
      <w:pPr>
        <w:pStyle w:val="2"/>
        <w:keepNext w:val="0"/>
        <w:keepLines w:val="0"/>
        <w:tabs>
          <w:tab w:val="center" w:pos="4535"/>
        </w:tabs>
        <w:spacing w:before="0" w:after="0" w:line="360" w:lineRule="auto"/>
        <w:jc w:val="left"/>
        <w:rPr>
          <w:rFonts w:ascii="仿宋" w:hAnsi="仿宋" w:eastAsia="仿宋"/>
          <w:color w:val="auto"/>
          <w:highlight w:val="none"/>
        </w:rPr>
      </w:pPr>
      <w:bookmarkStart w:id="11" w:name="_Toc13987"/>
      <w:bookmarkStart w:id="12" w:name="_Toc4584"/>
      <w:r>
        <w:rPr>
          <w:rFonts w:hint="eastAsia" w:ascii="仿宋" w:hAnsi="仿宋" w:eastAsia="仿宋"/>
          <w:color w:val="auto"/>
          <w:highlight w:val="none"/>
        </w:rPr>
        <w:t>附：招标项目一览表</w:t>
      </w:r>
      <w:bookmarkEnd w:id="11"/>
      <w:bookmarkEnd w:id="12"/>
    </w:p>
    <w:tbl>
      <w:tblPr>
        <w:tblStyle w:val="19"/>
        <w:tblW w:w="9214" w:type="dxa"/>
        <w:tblInd w:w="38"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1025"/>
        <w:gridCol w:w="1984"/>
        <w:gridCol w:w="1383"/>
        <w:gridCol w:w="1736"/>
        <w:gridCol w:w="1243"/>
        <w:gridCol w:w="1843"/>
      </w:tblGrid>
      <w:tr w14:paraId="4E45A1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1025" w:type="dxa"/>
            <w:vAlign w:val="center"/>
          </w:tcPr>
          <w:p w14:paraId="5F330DA6">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984" w:type="dxa"/>
            <w:vAlign w:val="center"/>
          </w:tcPr>
          <w:p w14:paraId="2E72C526">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招标服务名称</w:t>
            </w:r>
          </w:p>
        </w:tc>
        <w:tc>
          <w:tcPr>
            <w:tcW w:w="1383" w:type="dxa"/>
            <w:vAlign w:val="center"/>
          </w:tcPr>
          <w:p w14:paraId="0E6467C5">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招标内容及要求</w:t>
            </w:r>
          </w:p>
        </w:tc>
        <w:tc>
          <w:tcPr>
            <w:tcW w:w="1736" w:type="dxa"/>
            <w:vAlign w:val="center"/>
          </w:tcPr>
          <w:p w14:paraId="670C3A33">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服务地点</w:t>
            </w:r>
          </w:p>
        </w:tc>
        <w:tc>
          <w:tcPr>
            <w:tcW w:w="1243" w:type="dxa"/>
            <w:vAlign w:val="center"/>
          </w:tcPr>
          <w:p w14:paraId="666BB076">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服务期</w:t>
            </w:r>
          </w:p>
        </w:tc>
        <w:tc>
          <w:tcPr>
            <w:tcW w:w="1843" w:type="dxa"/>
            <w:vAlign w:val="center"/>
          </w:tcPr>
          <w:p w14:paraId="332BF919">
            <w:pPr>
              <w:widowControl/>
              <w:spacing w:before="100" w:beforeAutospacing="1" w:after="100" w:afterAutospacing="1"/>
              <w:jc w:val="center"/>
              <w:rPr>
                <w:rFonts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控制价</w:t>
            </w:r>
          </w:p>
        </w:tc>
      </w:tr>
      <w:tr w14:paraId="356F09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1025" w:type="dxa"/>
            <w:vAlign w:val="center"/>
          </w:tcPr>
          <w:p w14:paraId="56F291A9">
            <w:pPr>
              <w:spacing w:line="360" w:lineRule="auto"/>
              <w:jc w:val="center"/>
              <w:rPr>
                <w:rFonts w:ascii="宋体" w:hAnsi="宋体"/>
                <w:color w:val="auto"/>
                <w:kern w:val="0"/>
                <w:sz w:val="24"/>
                <w:highlight w:val="none"/>
              </w:rPr>
            </w:pPr>
            <w:r>
              <w:rPr>
                <w:rFonts w:hint="eastAsia" w:ascii="仿宋" w:hAnsi="仿宋" w:eastAsia="仿宋" w:cs="仿宋"/>
                <w:color w:val="auto"/>
                <w:kern w:val="0"/>
                <w:sz w:val="28"/>
                <w:szCs w:val="28"/>
                <w:highlight w:val="none"/>
              </w:rPr>
              <w:t>一</w:t>
            </w:r>
          </w:p>
        </w:tc>
        <w:tc>
          <w:tcPr>
            <w:tcW w:w="1984" w:type="dxa"/>
            <w:vAlign w:val="center"/>
          </w:tcPr>
          <w:p w14:paraId="01EDCD13">
            <w:pPr>
              <w:spacing w:line="360" w:lineRule="auto"/>
              <w:jc w:val="center"/>
              <w:rPr>
                <w:rFonts w:ascii="仿宋" w:hAnsi="仿宋" w:eastAsia="仿宋"/>
                <w:color w:val="auto"/>
                <w:sz w:val="28"/>
                <w:szCs w:val="28"/>
                <w:highlight w:val="none"/>
              </w:rPr>
            </w:pPr>
            <w:r>
              <w:rPr>
                <w:rFonts w:hint="eastAsia" w:ascii="仿宋" w:hAnsi="仿宋" w:eastAsia="仿宋" w:cs="仿宋"/>
                <w:color w:val="auto"/>
                <w:kern w:val="0"/>
                <w:sz w:val="28"/>
                <w:szCs w:val="28"/>
                <w:highlight w:val="none"/>
              </w:rPr>
              <w:t>国贸商务中心餐饮中心运营服务商选聘</w:t>
            </w:r>
          </w:p>
        </w:tc>
        <w:tc>
          <w:tcPr>
            <w:tcW w:w="1383" w:type="dxa"/>
            <w:vAlign w:val="center"/>
          </w:tcPr>
          <w:p w14:paraId="3FF35758">
            <w:pPr>
              <w:spacing w:line="360" w:lineRule="auto"/>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详见</w:t>
            </w:r>
          </w:p>
          <w:p w14:paraId="4E76D2A1">
            <w:pPr>
              <w:spacing w:line="360" w:lineRule="auto"/>
              <w:jc w:val="center"/>
              <w:rPr>
                <w:rFonts w:ascii="宋体" w:hAnsi="宋体"/>
                <w:color w:val="auto"/>
                <w:kern w:val="0"/>
                <w:sz w:val="24"/>
                <w:highlight w:val="none"/>
              </w:rPr>
            </w:pPr>
            <w:r>
              <w:rPr>
                <w:rFonts w:hint="eastAsia" w:ascii="仿宋" w:hAnsi="仿宋" w:eastAsia="仿宋" w:cs="仿宋"/>
                <w:color w:val="auto"/>
                <w:kern w:val="0"/>
                <w:sz w:val="28"/>
                <w:szCs w:val="28"/>
                <w:highlight w:val="none"/>
              </w:rPr>
              <w:t>第三章</w:t>
            </w:r>
          </w:p>
        </w:tc>
        <w:tc>
          <w:tcPr>
            <w:tcW w:w="1736" w:type="dxa"/>
            <w:vAlign w:val="center"/>
          </w:tcPr>
          <w:p w14:paraId="33814439">
            <w:pPr>
              <w:spacing w:line="360" w:lineRule="auto"/>
              <w:jc w:val="center"/>
              <w:rPr>
                <w:rFonts w:ascii="宋体" w:hAnsi="宋体"/>
                <w:color w:val="auto"/>
                <w:kern w:val="0"/>
                <w:sz w:val="24"/>
                <w:highlight w:val="none"/>
              </w:rPr>
            </w:pPr>
            <w:r>
              <w:rPr>
                <w:rFonts w:hint="eastAsia" w:ascii="仿宋" w:hAnsi="仿宋" w:eastAsia="仿宋" w:cs="仿宋"/>
                <w:color w:val="auto"/>
                <w:kern w:val="0"/>
                <w:sz w:val="28"/>
                <w:szCs w:val="28"/>
                <w:highlight w:val="none"/>
              </w:rPr>
              <w:t>厦门市湖里区泗水道669号国贸商务中心三楼</w:t>
            </w:r>
          </w:p>
        </w:tc>
        <w:tc>
          <w:tcPr>
            <w:tcW w:w="1243" w:type="dxa"/>
            <w:vAlign w:val="center"/>
          </w:tcPr>
          <w:p w14:paraId="1FF56042">
            <w:pPr>
              <w:spacing w:line="360" w:lineRule="auto"/>
              <w:jc w:val="center"/>
              <w:rPr>
                <w:rFonts w:ascii="宋体" w:hAnsi="宋体"/>
                <w:color w:val="auto"/>
                <w:kern w:val="0"/>
                <w:sz w:val="24"/>
                <w:highlight w:val="none"/>
              </w:rPr>
            </w:pPr>
            <w:r>
              <w:rPr>
                <w:rFonts w:hint="eastAsia" w:ascii="仿宋" w:hAnsi="仿宋" w:eastAsia="仿宋" w:cs="仿宋"/>
                <w:color w:val="auto"/>
                <w:kern w:val="0"/>
                <w:sz w:val="28"/>
                <w:szCs w:val="28"/>
                <w:highlight w:val="none"/>
              </w:rPr>
              <w:t>叁年</w:t>
            </w:r>
          </w:p>
        </w:tc>
        <w:tc>
          <w:tcPr>
            <w:tcW w:w="1843" w:type="dxa"/>
            <w:vAlign w:val="center"/>
          </w:tcPr>
          <w:p w14:paraId="3B38C3C8">
            <w:pPr>
              <w:spacing w:line="360" w:lineRule="auto"/>
              <w:jc w:val="center"/>
              <w:rPr>
                <w:rFonts w:ascii="宋体" w:hAnsi="宋体"/>
                <w:color w:val="auto"/>
                <w:kern w:val="0"/>
                <w:sz w:val="24"/>
                <w:highlight w:val="none"/>
              </w:rPr>
            </w:pPr>
            <w:r>
              <w:rPr>
                <w:rFonts w:hint="eastAsia" w:ascii="仿宋" w:hAnsi="仿宋" w:eastAsia="仿宋" w:cs="仿宋"/>
                <w:color w:val="auto"/>
                <w:kern w:val="0"/>
                <w:sz w:val="28"/>
                <w:szCs w:val="28"/>
                <w:highlight w:val="none"/>
              </w:rPr>
              <w:t>保底价格不低于</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000元</w:t>
            </w:r>
            <w:r>
              <w:rPr>
                <w:rFonts w:hint="eastAsia" w:ascii="仿宋" w:hAnsi="仿宋" w:eastAsia="仿宋" w:cs="仿宋"/>
                <w:color w:val="auto"/>
                <w:kern w:val="0"/>
                <w:sz w:val="28"/>
                <w:szCs w:val="28"/>
                <w:highlight w:val="none"/>
                <w:lang w:val="en-US" w:eastAsia="zh-CN"/>
              </w:rPr>
              <w:t>/月</w:t>
            </w:r>
            <w:r>
              <w:rPr>
                <w:rFonts w:hint="eastAsia" w:ascii="仿宋" w:hAnsi="仿宋" w:eastAsia="仿宋" w:cs="仿宋"/>
                <w:color w:val="auto"/>
                <w:kern w:val="0"/>
                <w:sz w:val="28"/>
                <w:szCs w:val="28"/>
                <w:highlight w:val="none"/>
              </w:rPr>
              <w:t>；免租期不超过1个月。</w:t>
            </w:r>
          </w:p>
        </w:tc>
      </w:tr>
    </w:tbl>
    <w:p w14:paraId="13735211">
      <w:pPr>
        <w:rPr>
          <w:color w:val="auto"/>
          <w:highlight w:val="none"/>
        </w:rPr>
      </w:pPr>
    </w:p>
    <w:p w14:paraId="4C81F044">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p w14:paraId="276AADA2">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1、服务期：合同签订后于甲方要求时间内完成场地布置并通过验收投入使用（具体进场时间以甲方通知为准）。</w:t>
      </w:r>
      <w:r>
        <w:rPr>
          <w:rFonts w:hint="eastAsia" w:ascii="仿宋" w:hAnsi="仿宋" w:eastAsia="仿宋" w:cs="仿宋"/>
          <w:b/>
          <w:color w:val="auto"/>
          <w:kern w:val="0"/>
          <w:sz w:val="32"/>
          <w:szCs w:val="32"/>
          <w:highlight w:val="none"/>
        </w:rPr>
        <w:t>各投标人应对此作出承诺。</w:t>
      </w:r>
    </w:p>
    <w:p w14:paraId="255E5E83">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2、投标人的投标报价</w:t>
      </w:r>
      <w:r>
        <w:rPr>
          <w:rFonts w:hint="eastAsia" w:ascii="仿宋" w:hAnsi="仿宋" w:eastAsia="仿宋" w:cs="仿宋"/>
          <w:color w:val="auto"/>
          <w:kern w:val="0"/>
          <w:sz w:val="32"/>
          <w:szCs w:val="32"/>
          <w:highlight w:val="none"/>
          <w:lang w:val="en-US" w:eastAsia="zh-CN"/>
        </w:rPr>
        <w:t>低于</w:t>
      </w:r>
      <w:r>
        <w:rPr>
          <w:rFonts w:hint="eastAsia" w:ascii="仿宋" w:hAnsi="仿宋" w:eastAsia="仿宋" w:cs="仿宋"/>
          <w:color w:val="auto"/>
          <w:kern w:val="0"/>
          <w:sz w:val="32"/>
          <w:szCs w:val="32"/>
          <w:highlight w:val="none"/>
        </w:rPr>
        <w:t>本项目的控制价</w:t>
      </w:r>
      <w:r>
        <w:rPr>
          <w:rFonts w:hint="eastAsia" w:ascii="仿宋" w:hAnsi="仿宋" w:eastAsia="仿宋" w:cs="仿宋"/>
          <w:color w:val="auto"/>
          <w:kern w:val="0"/>
          <w:sz w:val="32"/>
          <w:szCs w:val="32"/>
          <w:highlight w:val="none"/>
          <w:lang w:eastAsia="zh-CN"/>
        </w:rPr>
        <w:t>、</w:t>
      </w:r>
      <w:r>
        <w:rPr>
          <w:rFonts w:hint="eastAsia" w:ascii="仿宋" w:hAnsi="仿宋" w:eastAsia="仿宋" w:cs="仿宋"/>
          <w:i w:val="0"/>
          <w:iCs w:val="0"/>
          <w:caps w:val="0"/>
          <w:color w:val="auto"/>
          <w:spacing w:val="0"/>
          <w:kern w:val="0"/>
          <w:sz w:val="32"/>
          <w:szCs w:val="32"/>
          <w:highlight w:val="none"/>
          <w:shd w:val="clear" w:fill="auto"/>
        </w:rPr>
        <w:t>免租期超过1个月的</w:t>
      </w:r>
      <w:r>
        <w:rPr>
          <w:rFonts w:hint="eastAsia" w:ascii="仿宋" w:hAnsi="仿宋" w:eastAsia="仿宋" w:cs="仿宋"/>
          <w:i w:val="0"/>
          <w:iCs w:val="0"/>
          <w:caps w:val="0"/>
          <w:color w:val="auto"/>
          <w:spacing w:val="0"/>
          <w:kern w:val="0"/>
          <w:sz w:val="32"/>
          <w:szCs w:val="32"/>
          <w:highlight w:val="none"/>
          <w:shd w:val="clear" w:fill="auto"/>
          <w:lang w:eastAsia="zh-CN"/>
        </w:rPr>
        <w:t>，</w:t>
      </w:r>
      <w:r>
        <w:rPr>
          <w:rFonts w:hint="eastAsia" w:ascii="仿宋" w:hAnsi="仿宋" w:eastAsia="仿宋" w:cs="仿宋"/>
          <w:color w:val="auto"/>
          <w:kern w:val="0"/>
          <w:sz w:val="32"/>
          <w:szCs w:val="32"/>
          <w:highlight w:val="none"/>
        </w:rPr>
        <w:t>将</w:t>
      </w:r>
      <w:r>
        <w:rPr>
          <w:rFonts w:hint="eastAsia" w:ascii="仿宋" w:hAnsi="仿宋" w:eastAsia="仿宋" w:cs="仿宋"/>
          <w:color w:val="auto"/>
          <w:kern w:val="0"/>
          <w:sz w:val="32"/>
          <w:szCs w:val="32"/>
          <w:highlight w:val="none"/>
          <w:lang w:val="en-US" w:eastAsia="zh-CN"/>
        </w:rPr>
        <w:t>均</w:t>
      </w:r>
      <w:r>
        <w:rPr>
          <w:rFonts w:hint="eastAsia" w:ascii="仿宋" w:hAnsi="仿宋" w:eastAsia="仿宋" w:cs="仿宋"/>
          <w:color w:val="auto"/>
          <w:kern w:val="0"/>
          <w:sz w:val="32"/>
          <w:szCs w:val="32"/>
          <w:highlight w:val="none"/>
        </w:rPr>
        <w:t>被视为无效投标响应。</w:t>
      </w:r>
    </w:p>
    <w:p w14:paraId="2E4B9239">
      <w:pPr>
        <w:spacing w:line="5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投标文件的正本一份，副本一份，电子版</w:t>
      </w:r>
      <w:r>
        <w:rPr>
          <w:rFonts w:hint="eastAsia" w:ascii="仿宋" w:hAnsi="仿宋" w:eastAsia="仿宋"/>
          <w:b/>
          <w:bCs/>
          <w:color w:val="auto"/>
          <w:sz w:val="32"/>
          <w:szCs w:val="32"/>
          <w:highlight w:val="none"/>
          <w:lang w:val="en-US" w:eastAsia="zh-CN"/>
        </w:rPr>
        <w:t>一份</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U盘</w:t>
      </w:r>
      <w:r>
        <w:rPr>
          <w:rFonts w:hint="eastAsia" w:ascii="仿宋" w:hAnsi="仿宋" w:eastAsia="仿宋"/>
          <w:b/>
          <w:bCs/>
          <w:color w:val="auto"/>
          <w:sz w:val="32"/>
          <w:szCs w:val="32"/>
          <w:highlight w:val="none"/>
          <w:lang w:val="en-US" w:eastAsia="zh-CN"/>
        </w:rPr>
        <w:t>介质）</w:t>
      </w:r>
      <w:r>
        <w:rPr>
          <w:rFonts w:hint="eastAsia" w:ascii="仿宋" w:hAnsi="仿宋" w:eastAsia="仿宋"/>
          <w:b/>
          <w:bCs/>
          <w:color w:val="auto"/>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color w:val="auto"/>
          <w:sz w:val="32"/>
          <w:szCs w:val="32"/>
          <w:highlight w:val="none"/>
          <w:lang w:eastAsia="zh-CN"/>
        </w:rPr>
        <w:t>。</w:t>
      </w:r>
    </w:p>
    <w:p w14:paraId="1B07EEB6">
      <w:pPr>
        <w:spacing w:line="360" w:lineRule="auto"/>
        <w:ind w:firstLine="560" w:firstLineChars="200"/>
        <w:rPr>
          <w:rFonts w:ascii="仿宋" w:hAnsi="仿宋" w:eastAsia="仿宋" w:cs="仿宋"/>
          <w:color w:val="auto"/>
          <w:kern w:val="0"/>
          <w:sz w:val="28"/>
          <w:szCs w:val="28"/>
          <w:highlight w:val="none"/>
        </w:rPr>
      </w:pPr>
    </w:p>
    <w:p w14:paraId="49466C1D">
      <w:pPr>
        <w:spacing w:line="360" w:lineRule="auto"/>
        <w:ind w:firstLine="560" w:firstLineChars="200"/>
        <w:rPr>
          <w:rFonts w:ascii="仿宋" w:hAnsi="仿宋" w:eastAsia="仿宋" w:cs="仿宋"/>
          <w:color w:val="auto"/>
          <w:kern w:val="0"/>
          <w:sz w:val="28"/>
          <w:szCs w:val="28"/>
          <w:highlight w:val="none"/>
        </w:rPr>
      </w:pPr>
    </w:p>
    <w:p w14:paraId="33D4D053">
      <w:pPr>
        <w:pStyle w:val="2"/>
        <w:spacing w:after="120" w:afterLines="50"/>
        <w:jc w:val="center"/>
        <w:rPr>
          <w:rFonts w:ascii="仿宋" w:hAnsi="仿宋" w:eastAsia="仿宋" w:cs="仿宋"/>
          <w:b w:val="0"/>
          <w:bCs w:val="0"/>
          <w:color w:val="auto"/>
          <w:kern w:val="0"/>
          <w:szCs w:val="32"/>
          <w:highlight w:val="none"/>
        </w:rPr>
      </w:pPr>
      <w:r>
        <w:rPr>
          <w:rFonts w:ascii="仿宋" w:hAnsi="仿宋" w:eastAsia="仿宋" w:cs="仿宋"/>
          <w:color w:val="auto"/>
          <w:kern w:val="0"/>
          <w:sz w:val="28"/>
          <w:szCs w:val="28"/>
          <w:highlight w:val="none"/>
        </w:rPr>
        <w:br w:type="page"/>
      </w:r>
      <w:bookmarkStart w:id="13" w:name="_Toc28134"/>
      <w:bookmarkStart w:id="14" w:name="_Toc24719"/>
      <w:r>
        <w:rPr>
          <w:rFonts w:hint="eastAsia" w:ascii="仿宋" w:hAnsi="仿宋" w:eastAsia="仿宋" w:cs="仿宋"/>
          <w:color w:val="auto"/>
          <w:kern w:val="0"/>
          <w:szCs w:val="32"/>
          <w:highlight w:val="none"/>
        </w:rPr>
        <w:t>第二章　投标人须知</w:t>
      </w:r>
      <w:bookmarkEnd w:id="13"/>
      <w:bookmarkEnd w:id="14"/>
    </w:p>
    <w:p w14:paraId="47B94287">
      <w:pPr>
        <w:spacing w:line="500" w:lineRule="exact"/>
        <w:ind w:firstLine="643" w:firstLineChars="200"/>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投标人须知前附表</w:t>
      </w:r>
    </w:p>
    <w:p w14:paraId="3E1C2F35">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本须知前附表的内容是与《投标人须知》中条款的内容对应的。如有矛盾，应以本须知前附表为准。</w:t>
      </w:r>
    </w:p>
    <w:tbl>
      <w:tblPr>
        <w:tblStyle w:val="19"/>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5D3E5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470B38B7">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项号</w:t>
            </w:r>
          </w:p>
        </w:tc>
        <w:tc>
          <w:tcPr>
            <w:tcW w:w="9071" w:type="dxa"/>
            <w:vAlign w:val="center"/>
          </w:tcPr>
          <w:p w14:paraId="33A88578">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编列内容</w:t>
            </w:r>
          </w:p>
        </w:tc>
      </w:tr>
      <w:tr w14:paraId="2FEFF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6E4C57B9">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1</w:t>
            </w:r>
          </w:p>
        </w:tc>
        <w:tc>
          <w:tcPr>
            <w:tcW w:w="9071" w:type="dxa"/>
            <w:vAlign w:val="center"/>
          </w:tcPr>
          <w:p w14:paraId="7AC887BB">
            <w:pPr>
              <w:spacing w:line="400" w:lineRule="exact"/>
              <w:rPr>
                <w:rFonts w:ascii="仿宋" w:hAnsi="仿宋" w:eastAsia="仿宋" w:cs="仿宋"/>
                <w:bCs/>
                <w:color w:val="auto"/>
                <w:sz w:val="28"/>
                <w:szCs w:val="28"/>
                <w:highlight w:val="none"/>
                <w:lang w:val="zh-CN"/>
              </w:rPr>
            </w:pPr>
            <w:r>
              <w:rPr>
                <w:rFonts w:hint="eastAsia" w:ascii="仿宋" w:hAnsi="仿宋" w:eastAsia="仿宋"/>
                <w:color w:val="auto"/>
                <w:sz w:val="28"/>
                <w:szCs w:val="28"/>
                <w:highlight w:val="none"/>
              </w:rPr>
              <w:t>项目名称：</w:t>
            </w:r>
            <w:r>
              <w:rPr>
                <w:rFonts w:hint="eastAsia" w:ascii="仿宋" w:hAnsi="仿宋" w:eastAsia="仿宋" w:cs="仿宋"/>
                <w:color w:val="auto"/>
                <w:kern w:val="0"/>
                <w:sz w:val="28"/>
                <w:szCs w:val="28"/>
                <w:highlight w:val="none"/>
              </w:rPr>
              <w:t>国贸商务中心</w:t>
            </w:r>
            <w:r>
              <w:rPr>
                <w:rFonts w:hint="eastAsia" w:ascii="仿宋" w:hAnsi="仿宋" w:eastAsia="仿宋"/>
                <w:color w:val="auto"/>
                <w:sz w:val="28"/>
                <w:szCs w:val="28"/>
                <w:highlight w:val="none"/>
              </w:rPr>
              <w:t>餐饮中心运营服务商选聘</w:t>
            </w:r>
          </w:p>
          <w:p w14:paraId="58A5E1C0">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招标人：厦门国贸城市服务集团股份有限公司</w:t>
            </w:r>
          </w:p>
          <w:p w14:paraId="64DEDE8B">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7F82EBD9">
            <w:pPr>
              <w:spacing w:line="400" w:lineRule="exac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GMFW-2026-01</w:t>
            </w:r>
          </w:p>
        </w:tc>
      </w:tr>
      <w:tr w14:paraId="37FA3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37C83C0A">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2</w:t>
            </w:r>
          </w:p>
        </w:tc>
        <w:tc>
          <w:tcPr>
            <w:tcW w:w="9071" w:type="dxa"/>
            <w:vAlign w:val="center"/>
          </w:tcPr>
          <w:p w14:paraId="3AB4DEE2">
            <w:pPr>
              <w:tabs>
                <w:tab w:val="left" w:pos="-1260"/>
                <w:tab w:val="left" w:pos="10260"/>
              </w:tabs>
              <w:spacing w:line="400" w:lineRule="exact"/>
              <w:rPr>
                <w:rFonts w:ascii="仿宋" w:hAnsi="仿宋" w:eastAsia="仿宋"/>
                <w:color w:val="auto"/>
                <w:spacing w:val="-4"/>
                <w:sz w:val="28"/>
                <w:szCs w:val="28"/>
                <w:highlight w:val="none"/>
              </w:rPr>
            </w:pPr>
            <w:r>
              <w:rPr>
                <w:rFonts w:hint="eastAsia" w:ascii="仿宋" w:hAnsi="仿宋" w:eastAsia="仿宋"/>
                <w:color w:val="auto"/>
                <w:sz w:val="28"/>
                <w:szCs w:val="28"/>
                <w:highlight w:val="none"/>
              </w:rPr>
              <w:t>资格标准：</w:t>
            </w:r>
            <w:r>
              <w:rPr>
                <w:rFonts w:hint="eastAsia" w:ascii="仿宋" w:hAnsi="仿宋" w:eastAsia="仿宋"/>
                <w:color w:val="auto"/>
                <w:spacing w:val="-4"/>
                <w:sz w:val="28"/>
                <w:szCs w:val="28"/>
                <w:highlight w:val="none"/>
              </w:rPr>
              <w:t>详见</w:t>
            </w:r>
            <w:r>
              <w:rPr>
                <w:rFonts w:hint="eastAsia" w:ascii="仿宋" w:hAnsi="仿宋" w:eastAsia="仿宋" w:cs="Arial"/>
                <w:color w:val="auto"/>
                <w:sz w:val="28"/>
                <w:szCs w:val="28"/>
                <w:highlight w:val="none"/>
              </w:rPr>
              <w:t xml:space="preserve"> “投标资格要求”</w:t>
            </w:r>
          </w:p>
        </w:tc>
      </w:tr>
      <w:tr w14:paraId="31DFC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9F64209">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3</w:t>
            </w:r>
          </w:p>
        </w:tc>
        <w:tc>
          <w:tcPr>
            <w:tcW w:w="9071" w:type="dxa"/>
            <w:vAlign w:val="center"/>
          </w:tcPr>
          <w:p w14:paraId="3D40C112">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投标有效期：</w:t>
            </w:r>
            <w:r>
              <w:rPr>
                <w:rFonts w:hint="eastAsia" w:ascii="仿宋" w:hAnsi="仿宋" w:eastAsia="仿宋" w:cs="宋体"/>
                <w:color w:val="auto"/>
                <w:kern w:val="0"/>
                <w:sz w:val="30"/>
                <w:szCs w:val="30"/>
                <w:highlight w:val="none"/>
              </w:rPr>
              <w:t>投标截止期结束后90日历日。</w:t>
            </w:r>
            <w:r>
              <w:rPr>
                <w:rFonts w:hint="eastAsia" w:ascii="仿宋" w:hAnsi="仿宋" w:eastAsia="仿宋" w:cs="宋体"/>
                <w:color w:val="auto"/>
                <w:kern w:val="0"/>
                <w:sz w:val="30"/>
                <w:szCs w:val="30"/>
                <w:highlight w:val="none"/>
                <w:lang w:val="en-US" w:eastAsia="zh-CN"/>
              </w:rPr>
              <w:t>投标</w:t>
            </w:r>
            <w:r>
              <w:rPr>
                <w:rFonts w:hint="eastAsia" w:ascii="仿宋" w:hAnsi="仿宋" w:eastAsia="仿宋"/>
                <w:color w:val="auto"/>
                <w:sz w:val="28"/>
                <w:szCs w:val="28"/>
                <w:highlight w:val="none"/>
              </w:rPr>
              <w:t>有效期不足</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将导致其投标</w:t>
            </w:r>
            <w:r>
              <w:rPr>
                <w:rFonts w:hint="eastAsia" w:ascii="仿宋" w:hAnsi="仿宋" w:eastAsia="仿宋"/>
                <w:color w:val="auto"/>
                <w:sz w:val="28"/>
                <w:szCs w:val="28"/>
                <w:highlight w:val="none"/>
                <w:lang w:val="en-US" w:eastAsia="zh-CN"/>
              </w:rPr>
              <w:t>无效</w:t>
            </w:r>
            <w:r>
              <w:rPr>
                <w:rFonts w:hint="eastAsia" w:ascii="仿宋" w:hAnsi="仿宋" w:eastAsia="仿宋"/>
                <w:color w:val="auto"/>
                <w:sz w:val="28"/>
                <w:szCs w:val="28"/>
                <w:highlight w:val="none"/>
              </w:rPr>
              <w:t>。</w:t>
            </w:r>
          </w:p>
        </w:tc>
      </w:tr>
      <w:tr w14:paraId="3F318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42197743">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4</w:t>
            </w:r>
          </w:p>
        </w:tc>
        <w:tc>
          <w:tcPr>
            <w:tcW w:w="9071" w:type="dxa"/>
            <w:vAlign w:val="center"/>
          </w:tcPr>
          <w:p w14:paraId="2679DDA1">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投标文件递交地址：</w:t>
            </w:r>
            <w:r>
              <w:rPr>
                <w:rFonts w:hint="eastAsia" w:ascii="仿宋" w:hAnsi="仿宋" w:eastAsia="仿宋"/>
                <w:color w:val="auto"/>
                <w:sz w:val="28"/>
                <w:szCs w:val="28"/>
                <w:highlight w:val="none"/>
                <w:u w:val="single"/>
              </w:rPr>
              <w:t xml:space="preserve">厦门市思明区体育路41号顺承大厦6楼 </w:t>
            </w:r>
          </w:p>
          <w:p w14:paraId="1F8A6806">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投标截止时间：见“第一章 招标公告”</w:t>
            </w:r>
          </w:p>
        </w:tc>
      </w:tr>
      <w:tr w14:paraId="32F55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1549CB9">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9071" w:type="dxa"/>
            <w:vAlign w:val="center"/>
          </w:tcPr>
          <w:p w14:paraId="5612B1C5">
            <w:pPr>
              <w:spacing w:line="400" w:lineRule="exact"/>
              <w:rPr>
                <w:rFonts w:ascii="仿宋" w:hAnsi="仿宋" w:eastAsia="仿宋"/>
                <w:b/>
                <w:color w:val="auto"/>
                <w:sz w:val="28"/>
                <w:szCs w:val="28"/>
                <w:highlight w:val="none"/>
              </w:rPr>
            </w:pPr>
            <w:r>
              <w:rPr>
                <w:rFonts w:hint="eastAsia" w:ascii="仿宋" w:hAnsi="仿宋" w:eastAsia="仿宋"/>
                <w:color w:val="auto"/>
                <w:sz w:val="28"/>
                <w:szCs w:val="28"/>
                <w:highlight w:val="none"/>
              </w:rPr>
              <w:t>★投标保证金</w:t>
            </w:r>
            <w:r>
              <w:rPr>
                <w:rFonts w:hint="eastAsia" w:ascii="仿宋" w:hAnsi="仿宋" w:eastAsia="仿宋"/>
                <w:color w:val="auto"/>
                <w:sz w:val="28"/>
                <w:szCs w:val="28"/>
                <w:highlight w:val="none"/>
                <w:lang w:val="en-US" w:eastAsia="zh-CN"/>
              </w:rPr>
              <w:t>金额</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4000</w:t>
            </w:r>
            <w:r>
              <w:rPr>
                <w:rFonts w:hint="eastAsia" w:ascii="仿宋" w:hAnsi="仿宋" w:eastAsia="仿宋"/>
                <w:color w:val="auto"/>
                <w:sz w:val="28"/>
                <w:szCs w:val="28"/>
                <w:highlight w:val="none"/>
              </w:rPr>
              <w:t>元整。</w:t>
            </w:r>
          </w:p>
          <w:p w14:paraId="60F45799">
            <w:pPr>
              <w:spacing w:line="400" w:lineRule="exact"/>
              <w:rPr>
                <w:rFonts w:hint="eastAsia" w:ascii="仿宋" w:hAnsi="仿宋" w:eastAsia="仿宋"/>
                <w:b/>
                <w:color w:val="auto"/>
                <w:sz w:val="28"/>
                <w:szCs w:val="28"/>
                <w:highlight w:val="none"/>
              </w:rPr>
            </w:pPr>
            <w:r>
              <w:rPr>
                <w:rFonts w:hint="eastAsia" w:ascii="仿宋" w:hAnsi="仿宋" w:eastAsia="仿宋"/>
                <w:color w:val="auto"/>
                <w:sz w:val="28"/>
                <w:szCs w:val="28"/>
                <w:highlight w:val="none"/>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auto"/>
                <w:sz w:val="28"/>
                <w:szCs w:val="28"/>
                <w:highlight w:val="none"/>
              </w:rPr>
              <w:t>投标文件中应体现投标保证金的缴交凭证。</w:t>
            </w:r>
          </w:p>
          <w:p w14:paraId="6EDCAA3C">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投标保证金金额为“0”的，视为不要求提交投标保证金。</w:t>
            </w:r>
          </w:p>
          <w:p w14:paraId="4BC2661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保证金的退还：</w:t>
            </w:r>
          </w:p>
          <w:p w14:paraId="3D6F1800">
            <w:pPr>
              <w:spacing w:line="400" w:lineRule="exact"/>
              <w:rPr>
                <w:rFonts w:ascii="仿宋" w:hAnsi="仿宋" w:eastAsia="仿宋"/>
                <w:color w:val="auto"/>
                <w:sz w:val="28"/>
                <w:szCs w:val="28"/>
                <w:highlight w:val="none"/>
              </w:rPr>
            </w:pPr>
            <w:r>
              <w:rPr>
                <w:rFonts w:hint="eastAsia" w:ascii="宋体" w:hAnsi="宋体"/>
                <w:color w:val="auto"/>
                <w:sz w:val="24"/>
                <w:highlight w:val="none"/>
              </w:rPr>
              <w:t>①</w:t>
            </w:r>
            <w:r>
              <w:rPr>
                <w:rFonts w:hint="eastAsia" w:ascii="仿宋" w:hAnsi="仿宋" w:eastAsia="仿宋"/>
                <w:color w:val="auto"/>
                <w:sz w:val="28"/>
                <w:szCs w:val="28"/>
                <w:highlight w:val="none"/>
              </w:rPr>
              <w:t>招标人将在《中标通知书》发出之日起20个工作日内予以原额无息退还未中标人的投标保证金。</w:t>
            </w:r>
          </w:p>
          <w:p w14:paraId="3F8478FE">
            <w:pPr>
              <w:spacing w:line="400" w:lineRule="exact"/>
              <w:rPr>
                <w:rFonts w:ascii="仿宋" w:hAnsi="仿宋" w:eastAsia="仿宋"/>
                <w:color w:val="auto"/>
                <w:sz w:val="28"/>
                <w:szCs w:val="28"/>
                <w:highlight w:val="none"/>
              </w:rPr>
            </w:pPr>
            <w:r>
              <w:rPr>
                <w:rFonts w:hint="eastAsia" w:ascii="宋体" w:hAnsi="宋体"/>
                <w:color w:val="auto"/>
                <w:sz w:val="24"/>
                <w:highlight w:val="none"/>
              </w:rPr>
              <w:t>②</w:t>
            </w:r>
            <w:r>
              <w:rPr>
                <w:rFonts w:hint="eastAsia" w:ascii="仿宋" w:hAnsi="仿宋" w:eastAsia="仿宋"/>
                <w:color w:val="auto"/>
                <w:sz w:val="28"/>
                <w:szCs w:val="28"/>
                <w:highlight w:val="none"/>
              </w:rPr>
              <w:t>在中标人签订合同后20个工作日内，中标人凭合同原件或者合同复印件（加盖中标人公章）退还投标保证金。投标保证金退还系原额无息退返。</w:t>
            </w:r>
          </w:p>
        </w:tc>
      </w:tr>
      <w:tr w14:paraId="7EC24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145D921E">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9071" w:type="dxa"/>
            <w:vAlign w:val="center"/>
          </w:tcPr>
          <w:p w14:paraId="6E228E21">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eastAsia="zh-CN"/>
              </w:rPr>
              <w:t>贰万</w:t>
            </w:r>
            <w:r>
              <w:rPr>
                <w:rFonts w:hint="eastAsia" w:ascii="仿宋" w:hAnsi="仿宋" w:eastAsia="仿宋"/>
                <w:color w:val="auto"/>
                <w:sz w:val="28"/>
                <w:szCs w:val="28"/>
                <w:highlight w:val="none"/>
                <w:lang w:val="en-US" w:eastAsia="zh-CN"/>
              </w:rPr>
              <w:t>肆</w:t>
            </w:r>
            <w:r>
              <w:rPr>
                <w:rFonts w:hint="eastAsia" w:ascii="仿宋" w:hAnsi="仿宋" w:eastAsia="仿宋"/>
                <w:color w:val="auto"/>
                <w:sz w:val="28"/>
                <w:szCs w:val="28"/>
                <w:highlight w:val="none"/>
                <w:lang w:eastAsia="zh-CN"/>
              </w:rPr>
              <w:t>仟</w:t>
            </w:r>
            <w:r>
              <w:rPr>
                <w:rFonts w:hint="eastAsia" w:ascii="仿宋" w:hAnsi="仿宋" w:eastAsia="仿宋"/>
                <w:color w:val="auto"/>
                <w:sz w:val="28"/>
                <w:szCs w:val="28"/>
                <w:highlight w:val="none"/>
              </w:rPr>
              <w:t>元履约保证金。</w:t>
            </w:r>
          </w:p>
          <w:p w14:paraId="1364DD31">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eastAsia="zh-CN"/>
              </w:rPr>
              <w:t>贰万</w:t>
            </w:r>
            <w:r>
              <w:rPr>
                <w:rFonts w:hint="eastAsia" w:ascii="仿宋" w:hAnsi="仿宋" w:eastAsia="仿宋"/>
                <w:color w:val="auto"/>
                <w:sz w:val="28"/>
                <w:szCs w:val="28"/>
                <w:highlight w:val="none"/>
                <w:lang w:val="en-US" w:eastAsia="zh-CN"/>
              </w:rPr>
              <w:t>肆</w:t>
            </w:r>
            <w:r>
              <w:rPr>
                <w:rFonts w:hint="eastAsia" w:ascii="仿宋" w:hAnsi="仿宋" w:eastAsia="仿宋"/>
                <w:color w:val="auto"/>
                <w:sz w:val="28"/>
                <w:szCs w:val="28"/>
                <w:highlight w:val="none"/>
                <w:lang w:eastAsia="zh-CN"/>
              </w:rPr>
              <w:t>仟</w:t>
            </w:r>
            <w:r>
              <w:rPr>
                <w:rFonts w:hint="eastAsia" w:ascii="仿宋" w:hAnsi="仿宋" w:eastAsia="仿宋"/>
                <w:color w:val="auto"/>
                <w:sz w:val="28"/>
                <w:szCs w:val="28"/>
                <w:highlight w:val="none"/>
              </w:rPr>
              <w:t>元（指人民币，下同）。</w:t>
            </w:r>
          </w:p>
          <w:p w14:paraId="2247E4C4">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69A13733">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履约保证金在双方合同终止、交接清楚、质保期（或保修期）结束和债权债务等关系理顺后30日历天内无息返还。</w:t>
            </w:r>
          </w:p>
          <w:p w14:paraId="258CDD62">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中标人如在服务期限内不能完成招投标文件和合同约定，招标人有权解除合同，履约保证金不予退还。 </w:t>
            </w:r>
          </w:p>
        </w:tc>
      </w:tr>
      <w:tr w14:paraId="12FD1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0" w:type="dxa"/>
            <w:vAlign w:val="center"/>
          </w:tcPr>
          <w:p w14:paraId="7E961864">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7</w:t>
            </w:r>
          </w:p>
        </w:tc>
        <w:tc>
          <w:tcPr>
            <w:tcW w:w="9071" w:type="dxa"/>
            <w:vAlign w:val="center"/>
          </w:tcPr>
          <w:p w14:paraId="1019286A">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b/>
                <w:bCs/>
                <w:color w:val="auto"/>
                <w:sz w:val="28"/>
                <w:szCs w:val="28"/>
                <w:highlight w:val="none"/>
              </w:rPr>
              <w:t>招标预算价（即控制价）为：</w:t>
            </w:r>
            <w:r>
              <w:rPr>
                <w:rFonts w:hint="eastAsia" w:ascii="仿宋" w:hAnsi="仿宋" w:eastAsia="仿宋" w:cs="仿宋"/>
                <w:b/>
                <w:bCs/>
                <w:color w:val="auto"/>
                <w:kern w:val="0"/>
                <w:sz w:val="28"/>
                <w:szCs w:val="28"/>
                <w:highlight w:val="none"/>
              </w:rPr>
              <w:t>保底价格不低于</w:t>
            </w:r>
            <w:r>
              <w:rPr>
                <w:rFonts w:hint="eastAsia" w:ascii="仿宋" w:hAnsi="仿宋" w:eastAsia="仿宋" w:cs="仿宋"/>
                <w:b/>
                <w:bCs/>
                <w:color w:val="auto"/>
                <w:kern w:val="0"/>
                <w:sz w:val="28"/>
                <w:szCs w:val="28"/>
                <w:highlight w:val="none"/>
                <w:lang w:val="en-US" w:eastAsia="zh-CN"/>
              </w:rPr>
              <w:t>7</w:t>
            </w:r>
            <w:r>
              <w:rPr>
                <w:rFonts w:hint="eastAsia" w:ascii="仿宋" w:hAnsi="仿宋" w:eastAsia="仿宋" w:cs="仿宋"/>
                <w:b/>
                <w:bCs/>
                <w:color w:val="auto"/>
                <w:kern w:val="0"/>
                <w:sz w:val="28"/>
                <w:szCs w:val="28"/>
                <w:highlight w:val="none"/>
              </w:rPr>
              <w:t>000元</w:t>
            </w:r>
            <w:r>
              <w:rPr>
                <w:rFonts w:hint="eastAsia" w:ascii="仿宋" w:hAnsi="仿宋" w:eastAsia="仿宋" w:cs="仿宋"/>
                <w:b/>
                <w:bCs/>
                <w:color w:val="auto"/>
                <w:kern w:val="0"/>
                <w:sz w:val="28"/>
                <w:szCs w:val="28"/>
                <w:highlight w:val="none"/>
                <w:lang w:val="en-US" w:eastAsia="zh-CN"/>
              </w:rPr>
              <w:t>/月</w:t>
            </w:r>
            <w:r>
              <w:rPr>
                <w:rFonts w:hint="eastAsia" w:ascii="仿宋" w:hAnsi="仿宋" w:eastAsia="仿宋" w:cs="仿宋"/>
                <w:b/>
                <w:bCs/>
                <w:color w:val="auto"/>
                <w:kern w:val="0"/>
                <w:sz w:val="28"/>
                <w:szCs w:val="28"/>
                <w:highlight w:val="none"/>
              </w:rPr>
              <w:t>；免租期不超过1个月</w:t>
            </w:r>
            <w:r>
              <w:rPr>
                <w:rFonts w:hint="eastAsia" w:ascii="仿宋" w:hAnsi="仿宋" w:eastAsia="仿宋"/>
                <w:b/>
                <w:color w:val="auto"/>
                <w:sz w:val="28"/>
                <w:szCs w:val="28"/>
                <w:highlight w:val="none"/>
              </w:rPr>
              <w:t>。投标人投标报价</w:t>
            </w:r>
            <w:r>
              <w:rPr>
                <w:rFonts w:hint="eastAsia" w:ascii="仿宋" w:hAnsi="仿宋" w:eastAsia="仿宋"/>
                <w:b/>
                <w:color w:val="auto"/>
                <w:sz w:val="28"/>
                <w:szCs w:val="28"/>
                <w:highlight w:val="none"/>
                <w:lang w:val="en-US" w:eastAsia="zh-CN"/>
              </w:rPr>
              <w:t>低于</w:t>
            </w:r>
            <w:r>
              <w:rPr>
                <w:rFonts w:hint="eastAsia" w:ascii="仿宋" w:hAnsi="仿宋" w:eastAsia="仿宋"/>
                <w:b/>
                <w:color w:val="auto"/>
                <w:sz w:val="28"/>
                <w:szCs w:val="28"/>
                <w:highlight w:val="none"/>
              </w:rPr>
              <w:t>预算价</w:t>
            </w: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i w:val="0"/>
                <w:iCs w:val="0"/>
                <w:caps w:val="0"/>
                <w:color w:val="auto"/>
                <w:spacing w:val="0"/>
                <w:kern w:val="2"/>
                <w:sz w:val="28"/>
                <w:szCs w:val="28"/>
                <w:highlight w:val="none"/>
                <w:shd w:val="clear"/>
              </w:rPr>
              <w:t>免租期超过1个月的</w:t>
            </w:r>
            <w:r>
              <w:rPr>
                <w:rFonts w:hint="eastAsia" w:ascii="仿宋" w:hAnsi="仿宋" w:eastAsia="仿宋" w:cs="Times New Roman"/>
                <w:b/>
                <w:i w:val="0"/>
                <w:iCs w:val="0"/>
                <w:caps w:val="0"/>
                <w:color w:val="auto"/>
                <w:spacing w:val="0"/>
                <w:kern w:val="2"/>
                <w:sz w:val="28"/>
                <w:szCs w:val="28"/>
                <w:highlight w:val="none"/>
                <w:shd w:val="clear"/>
                <w:lang w:eastAsia="zh-CN"/>
              </w:rPr>
              <w:t>，</w:t>
            </w:r>
            <w:r>
              <w:rPr>
                <w:rFonts w:hint="eastAsia" w:ascii="仿宋" w:hAnsi="仿宋" w:eastAsia="仿宋" w:cs="Times New Roman"/>
                <w:b/>
                <w:i w:val="0"/>
                <w:iCs w:val="0"/>
                <w:caps w:val="0"/>
                <w:color w:val="auto"/>
                <w:spacing w:val="0"/>
                <w:kern w:val="2"/>
                <w:sz w:val="28"/>
                <w:szCs w:val="28"/>
                <w:highlight w:val="none"/>
                <w:shd w:val="clear"/>
                <w:lang w:val="en-US" w:eastAsia="zh-CN"/>
              </w:rPr>
              <w:t>均视</w:t>
            </w:r>
            <w:r>
              <w:rPr>
                <w:rFonts w:hint="eastAsia" w:ascii="仿宋" w:hAnsi="仿宋" w:eastAsia="仿宋"/>
                <w:b/>
                <w:color w:val="auto"/>
                <w:sz w:val="28"/>
                <w:szCs w:val="28"/>
                <w:highlight w:val="none"/>
              </w:rPr>
              <w:t>为无效投标</w:t>
            </w:r>
            <w:r>
              <w:rPr>
                <w:rFonts w:hint="eastAsia" w:ascii="仿宋" w:hAnsi="仿宋" w:eastAsia="仿宋"/>
                <w:color w:val="auto"/>
                <w:sz w:val="28"/>
                <w:szCs w:val="28"/>
                <w:highlight w:val="none"/>
              </w:rPr>
              <w:t>。</w:t>
            </w:r>
          </w:p>
        </w:tc>
      </w:tr>
      <w:tr w14:paraId="26189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649DAC13">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8</w:t>
            </w:r>
          </w:p>
        </w:tc>
        <w:tc>
          <w:tcPr>
            <w:tcW w:w="9071" w:type="dxa"/>
            <w:vAlign w:val="center"/>
          </w:tcPr>
          <w:p w14:paraId="5BA67F1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1B1D2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7348C516">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9</w:t>
            </w:r>
          </w:p>
        </w:tc>
        <w:tc>
          <w:tcPr>
            <w:tcW w:w="9071" w:type="dxa"/>
            <w:vAlign w:val="center"/>
          </w:tcPr>
          <w:p w14:paraId="225CECB5">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投标提醒：</w:t>
            </w:r>
          </w:p>
          <w:p w14:paraId="0D0FFF4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1、投标保证金手续办理完毕后，请再次核对账号、收款单位是否正确，并确保在投标截止时间前到账。</w:t>
            </w:r>
          </w:p>
          <w:p w14:paraId="7D71C26D">
            <w:pPr>
              <w:spacing w:line="40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2、为方便</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保证金的收取工作，</w:t>
            </w:r>
            <w:r>
              <w:rPr>
                <w:rFonts w:hint="eastAsia" w:ascii="仿宋" w:hAnsi="仿宋" w:eastAsia="仿宋" w:cs="Arial"/>
                <w:b/>
                <w:color w:val="auto"/>
                <w:kern w:val="0"/>
                <w:sz w:val="28"/>
                <w:szCs w:val="28"/>
                <w:highlight w:val="none"/>
                <w:u w:val="single"/>
              </w:rPr>
              <w:t>除投标文件中的缴交凭证外，</w:t>
            </w:r>
            <w:r>
              <w:rPr>
                <w:rFonts w:hint="eastAsia" w:ascii="仿宋" w:hAnsi="仿宋" w:eastAsia="仿宋"/>
                <w:b/>
                <w:color w:val="auto"/>
                <w:sz w:val="28"/>
                <w:szCs w:val="28"/>
                <w:highlight w:val="none"/>
                <w:u w:val="single"/>
              </w:rPr>
              <w:t>投标人在递交投标文件时应单独提供保证金缴交证明复印件一份给招标人投标文件接收人员。</w:t>
            </w:r>
          </w:p>
          <w:p w14:paraId="5C8828A1">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3、为确保在投标截止时间前递交投标文件，请务必考虑交通拥挤及路上不可预见的其他因素。</w:t>
            </w:r>
          </w:p>
          <w:p w14:paraId="5FC840D0">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4、本文件第四章的投标文件格式中要求投标人盖章、投标代表签字的均应按要求盖章、签字。</w:t>
            </w:r>
          </w:p>
        </w:tc>
      </w:tr>
      <w:tr w14:paraId="1E0E6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32" w:hRule="atLeast"/>
          <w:jc w:val="center"/>
        </w:trPr>
        <w:tc>
          <w:tcPr>
            <w:tcW w:w="850" w:type="dxa"/>
            <w:vAlign w:val="center"/>
          </w:tcPr>
          <w:p w14:paraId="44D813E9">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10</w:t>
            </w:r>
          </w:p>
        </w:tc>
        <w:tc>
          <w:tcPr>
            <w:tcW w:w="9071" w:type="dxa"/>
            <w:vAlign w:val="center"/>
          </w:tcPr>
          <w:p w14:paraId="63637896">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投标资格要求与投标资格证明文件</w:t>
            </w:r>
          </w:p>
          <w:p w14:paraId="6454BCF3">
            <w:pPr>
              <w:numPr>
                <w:ilvl w:val="0"/>
                <w:numId w:val="0"/>
              </w:numPr>
              <w:spacing w:line="400" w:lineRule="exact"/>
              <w:ind w:left="-9" w:leftChars="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1、</w:t>
            </w:r>
            <w:r>
              <w:rPr>
                <w:rFonts w:hint="eastAsia" w:ascii="仿宋" w:hAnsi="仿宋" w:eastAsia="仿宋"/>
                <w:b/>
                <w:color w:val="auto"/>
                <w:sz w:val="28"/>
                <w:szCs w:val="28"/>
                <w:highlight w:val="none"/>
              </w:rPr>
              <w:t>投标人</w:t>
            </w:r>
            <w:r>
              <w:rPr>
                <w:rFonts w:hint="eastAsia" w:ascii="仿宋" w:hAnsi="仿宋" w:eastAsia="仿宋"/>
                <w:b/>
                <w:color w:val="auto"/>
                <w:sz w:val="28"/>
                <w:szCs w:val="28"/>
                <w:highlight w:val="none"/>
                <w:lang w:val="en-US" w:eastAsia="zh-CN"/>
              </w:rPr>
              <w:t>应具有独立法人资格，</w:t>
            </w:r>
            <w:r>
              <w:rPr>
                <w:rFonts w:hint="eastAsia" w:ascii="仿宋" w:hAnsi="仿宋" w:eastAsia="仿宋"/>
                <w:b/>
                <w:color w:val="auto"/>
                <w:sz w:val="28"/>
                <w:szCs w:val="28"/>
                <w:highlight w:val="none"/>
              </w:rPr>
              <w:t>具有独立承担民事责任的能力，并具备参加招投标、政府采购活动的合法条件。投标人必须提供</w:t>
            </w:r>
            <w:r>
              <w:rPr>
                <w:rFonts w:hint="eastAsia" w:ascii="仿宋" w:hAnsi="仿宋" w:eastAsia="仿宋"/>
                <w:b/>
                <w:color w:val="auto"/>
                <w:sz w:val="28"/>
                <w:szCs w:val="28"/>
                <w:highlight w:val="none"/>
                <w:lang w:val="en-US" w:eastAsia="zh-CN"/>
              </w:rPr>
              <w:t>有效的</w:t>
            </w:r>
            <w:r>
              <w:rPr>
                <w:rFonts w:hint="eastAsia" w:ascii="仿宋" w:hAnsi="仿宋" w:eastAsia="仿宋"/>
                <w:b/>
                <w:color w:val="auto"/>
                <w:sz w:val="28"/>
                <w:szCs w:val="28"/>
                <w:highlight w:val="none"/>
              </w:rPr>
              <w:t>企业法人营业执照复印件。</w:t>
            </w:r>
          </w:p>
          <w:p w14:paraId="787503A5">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投标人代表不是法定代表人的，应提供法定代表人授权书原件，以及投标人代表的身份证复印件。</w:t>
            </w:r>
          </w:p>
          <w:p w14:paraId="3D45180A">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3、投标人应提供</w:t>
            </w:r>
            <w:bookmarkStart w:id="15" w:name="OLE_LINK3"/>
            <w:r>
              <w:rPr>
                <w:rFonts w:hint="eastAsia" w:ascii="仿宋" w:hAnsi="仿宋" w:eastAsia="仿宋"/>
                <w:b/>
                <w:color w:val="auto"/>
                <w:sz w:val="28"/>
                <w:szCs w:val="28"/>
                <w:highlight w:val="none"/>
              </w:rPr>
              <w:t>参加采购活动前</w:t>
            </w:r>
            <w:r>
              <w:rPr>
                <w:rFonts w:hint="eastAsia" w:ascii="仿宋" w:hAnsi="仿宋" w:eastAsia="仿宋"/>
                <w:b/>
                <w:color w:val="auto"/>
                <w:sz w:val="28"/>
                <w:szCs w:val="28"/>
                <w:highlight w:val="none"/>
                <w:lang w:val="en-US" w:eastAsia="zh-CN"/>
              </w:rPr>
              <w:t>三</w:t>
            </w:r>
            <w:r>
              <w:rPr>
                <w:rFonts w:hint="eastAsia" w:ascii="仿宋" w:hAnsi="仿宋" w:eastAsia="仿宋"/>
                <w:b/>
                <w:color w:val="auto"/>
                <w:sz w:val="28"/>
                <w:szCs w:val="28"/>
                <w:highlight w:val="none"/>
              </w:rPr>
              <w:t>年内在经营活动中没有重大违法记录的书面声明</w:t>
            </w:r>
            <w:bookmarkEnd w:id="15"/>
            <w:r>
              <w:rPr>
                <w:rFonts w:hint="eastAsia" w:ascii="仿宋" w:hAnsi="仿宋" w:eastAsia="仿宋"/>
                <w:b/>
                <w:color w:val="auto"/>
                <w:sz w:val="28"/>
                <w:szCs w:val="28"/>
                <w:highlight w:val="none"/>
              </w:rPr>
              <w:t>。（“重大违法记录”指投标人因违法经营受到刑事处罚或责令停产停业、吊销许可证或执照、较大数额罚款等行政处罚。）</w:t>
            </w:r>
          </w:p>
          <w:p w14:paraId="5DF720A6">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4、信用记录要求：</w:t>
            </w:r>
          </w:p>
          <w:p w14:paraId="0C1FBF1C">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 xml:space="preserve">（1）信用信息查询渠道：通过“信用中国”网站（www.creditchina.gov.cn）、“中国执行信息公开网”（zxgk.court.gov.cn/zhzxgk）查询所有投标人的信用信息。 </w:t>
            </w:r>
          </w:p>
          <w:p w14:paraId="78BC2A98">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（2）截止时点：查询投标人截止开标当天前三年内的信用信息。</w:t>
            </w:r>
          </w:p>
          <w:p w14:paraId="0F642011">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（3）信用信息的使用规则：</w:t>
            </w:r>
            <w:r>
              <w:rPr>
                <w:rFonts w:hint="default" w:ascii="仿宋" w:hAnsi="仿宋" w:eastAsia="仿宋"/>
                <w:b/>
                <w:color w:val="auto"/>
                <w:sz w:val="28"/>
                <w:szCs w:val="28"/>
                <w:highlight w:val="none"/>
                <w:lang w:val="en-US" w:eastAsia="zh-CN"/>
              </w:rPr>
              <w:t>①</w:t>
            </w:r>
            <w:r>
              <w:rPr>
                <w:rFonts w:hint="eastAsia" w:ascii="仿宋" w:hAnsi="仿宋" w:eastAsia="仿宋"/>
                <w:b/>
                <w:color w:val="auto"/>
                <w:sz w:val="28"/>
                <w:szCs w:val="28"/>
                <w:highlight w:val="none"/>
                <w:lang w:val="en-US" w:eastAsia="zh-CN"/>
              </w:rPr>
              <w:t>查询结果显示投标人存在不良信用记录（包含列入失信被执行人、重大税收违法失信主体、严重违法失信名单）的，其资格审查不合格。</w:t>
            </w:r>
            <w:r>
              <w:rPr>
                <w:rFonts w:hint="default" w:ascii="仿宋" w:hAnsi="仿宋" w:eastAsia="仿宋"/>
                <w:b/>
                <w:color w:val="auto"/>
                <w:sz w:val="28"/>
                <w:szCs w:val="28"/>
                <w:highlight w:val="none"/>
                <w:lang w:val="en-US" w:eastAsia="zh-CN"/>
              </w:rPr>
              <w:t>②</w:t>
            </w:r>
            <w:r>
              <w:rPr>
                <w:rFonts w:hint="eastAsia" w:ascii="仿宋" w:hAnsi="仿宋" w:eastAsia="仿宋"/>
                <w:b/>
                <w:color w:val="auto"/>
                <w:sz w:val="28"/>
                <w:szCs w:val="28"/>
                <w:highlight w:val="none"/>
                <w:lang w:val="en-US" w:eastAsia="zh-CN"/>
              </w:rPr>
              <w:t>因查询渠道网站原因导致查无投标人信息的，不认定投标人资格审查不合格；评审结束后，通过其他渠道发现投标人存在不良信用记录的，不认定为资格审查错误，将依照有关规定进行调查处理。</w:t>
            </w:r>
          </w:p>
          <w:p w14:paraId="4D0E5981">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（4）投标人无需提供信用信息查询结果。若投标人自行提供查询结果的，仍以评标当天查询结果为准。</w:t>
            </w:r>
          </w:p>
          <w:p w14:paraId="66354682">
            <w:pPr>
              <w:numPr>
                <w:ilvl w:val="0"/>
                <w:numId w:val="0"/>
              </w:numPr>
              <w:spacing w:line="400" w:lineRule="exact"/>
              <w:rPr>
                <w:rFonts w:hint="eastAsia" w:ascii="仿宋" w:hAnsi="仿宋" w:eastAsia="仿宋"/>
                <w:b/>
                <w:color w:val="auto"/>
                <w:sz w:val="28"/>
                <w:szCs w:val="28"/>
                <w:highlight w:val="none"/>
              </w:rPr>
            </w:pPr>
            <w:r>
              <w:rPr>
                <w:rFonts w:hint="eastAsia" w:ascii="仿宋" w:hAnsi="仿宋" w:eastAsia="仿宋"/>
                <w:b/>
                <w:bCs/>
                <w:color w:val="auto"/>
                <w:sz w:val="28"/>
                <w:szCs w:val="28"/>
                <w:highlight w:val="none"/>
                <w:lang w:val="en-US" w:eastAsia="zh-CN"/>
              </w:rPr>
              <w:t>5、</w:t>
            </w:r>
            <w:r>
              <w:rPr>
                <w:rFonts w:hint="eastAsia" w:ascii="仿宋" w:hAnsi="仿宋" w:eastAsia="仿宋"/>
                <w:b/>
                <w:color w:val="auto"/>
                <w:sz w:val="28"/>
                <w:szCs w:val="28"/>
                <w:highlight w:val="none"/>
              </w:rPr>
              <w:t>其他内容：</w:t>
            </w:r>
          </w:p>
          <w:p w14:paraId="0AE176C8">
            <w:pPr>
              <w:numPr>
                <w:ilvl w:val="0"/>
                <w:numId w:val="0"/>
              </w:numPr>
              <w:spacing w:line="400" w:lineRule="exact"/>
              <w:rPr>
                <w:rFonts w:hint="eastAsia" w:ascii="仿宋" w:hAnsi="仿宋" w:eastAsia="仿宋"/>
                <w:b/>
                <w:bCs w:val="0"/>
                <w:color w:val="auto"/>
                <w:sz w:val="28"/>
                <w:szCs w:val="28"/>
                <w:highlight w:val="none"/>
                <w:lang w:val="en-US" w:eastAsia="zh-CN"/>
              </w:rPr>
            </w:pP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1）</w:t>
            </w:r>
            <w:r>
              <w:rPr>
                <w:rFonts w:hint="eastAsia" w:ascii="仿宋" w:hAnsi="仿宋" w:eastAsia="仿宋"/>
                <w:b/>
                <w:bCs w:val="0"/>
                <w:color w:val="auto"/>
                <w:sz w:val="28"/>
                <w:szCs w:val="28"/>
                <w:highlight w:val="none"/>
              </w:rPr>
              <w:t>企业简介、资信证明</w:t>
            </w:r>
            <w:r>
              <w:rPr>
                <w:rFonts w:hint="eastAsia" w:ascii="仿宋" w:hAnsi="仿宋" w:eastAsia="仿宋"/>
                <w:b/>
                <w:bCs w:val="0"/>
                <w:color w:val="auto"/>
                <w:sz w:val="28"/>
                <w:szCs w:val="28"/>
                <w:highlight w:val="none"/>
                <w:lang w:eastAsia="zh-CN"/>
              </w:rPr>
              <w:t>；</w:t>
            </w:r>
          </w:p>
          <w:p w14:paraId="3A8D40F5">
            <w:pPr>
              <w:spacing w:line="400" w:lineRule="exact"/>
              <w:rPr>
                <w:rFonts w:ascii="仿宋" w:hAnsi="仿宋" w:eastAsia="仿宋"/>
                <w:b/>
                <w:bCs w:val="0"/>
                <w:color w:val="auto"/>
                <w:sz w:val="28"/>
                <w:szCs w:val="28"/>
                <w:highlight w:val="none"/>
              </w:rPr>
            </w:pP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2</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rPr>
              <w:t>食品经营许可证书复印件；</w:t>
            </w:r>
          </w:p>
          <w:p w14:paraId="40BD6DA7">
            <w:pPr>
              <w:spacing w:line="400" w:lineRule="exact"/>
              <w:rPr>
                <w:rFonts w:ascii="仿宋" w:hAnsi="仿宋" w:eastAsia="仿宋"/>
                <w:b/>
                <w:bCs w:val="0"/>
                <w:color w:val="auto"/>
                <w:sz w:val="28"/>
                <w:szCs w:val="28"/>
                <w:highlight w:val="none"/>
              </w:rPr>
            </w:pP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3</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rPr>
              <w:t>从事</w:t>
            </w:r>
            <w:r>
              <w:rPr>
                <w:rFonts w:hint="eastAsia" w:ascii="仿宋" w:hAnsi="仿宋" w:eastAsia="仿宋"/>
                <w:b/>
                <w:bCs w:val="0"/>
                <w:color w:val="auto"/>
                <w:sz w:val="28"/>
                <w:szCs w:val="28"/>
                <w:highlight w:val="none"/>
                <w:lang w:val="en-US" w:eastAsia="zh-CN"/>
              </w:rPr>
              <w:t>8</w:t>
            </w:r>
            <w:r>
              <w:rPr>
                <w:rFonts w:ascii="仿宋" w:hAnsi="仿宋" w:eastAsia="仿宋"/>
                <w:b/>
                <w:bCs w:val="0"/>
                <w:color w:val="auto"/>
                <w:sz w:val="28"/>
                <w:szCs w:val="28"/>
                <w:highlight w:val="none"/>
              </w:rPr>
              <w:t>00平方米以上</w:t>
            </w:r>
            <w:r>
              <w:rPr>
                <w:rFonts w:hint="eastAsia" w:ascii="仿宋" w:hAnsi="仿宋" w:eastAsia="仿宋" w:cs="华文细黑"/>
                <w:b/>
                <w:bCs w:val="0"/>
                <w:color w:val="auto"/>
                <w:sz w:val="28"/>
                <w:szCs w:val="28"/>
                <w:highlight w:val="none"/>
              </w:rPr>
              <w:t>写字楼食堂项目（只限承包制）或对外经营的餐饮门店</w:t>
            </w:r>
            <w:r>
              <w:rPr>
                <w:rFonts w:hint="eastAsia" w:ascii="仿宋" w:hAnsi="仿宋" w:eastAsia="仿宋"/>
                <w:b/>
                <w:bCs w:val="0"/>
                <w:color w:val="auto"/>
                <w:sz w:val="28"/>
                <w:szCs w:val="28"/>
                <w:highlight w:val="none"/>
              </w:rPr>
              <w:t>经营两年及以上经验，投标人应提供合同复印件、门店照片及承包面积证明；</w:t>
            </w:r>
          </w:p>
          <w:p w14:paraId="71FA637C">
            <w:pPr>
              <w:pStyle w:val="8"/>
              <w:rPr>
                <w:rFonts w:ascii="仿宋" w:hAnsi="仿宋" w:eastAsia="仿宋"/>
                <w:b/>
                <w:bCs w:val="0"/>
                <w:color w:val="auto"/>
                <w:sz w:val="28"/>
                <w:szCs w:val="28"/>
                <w:highlight w:val="none"/>
              </w:rPr>
            </w:pP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4</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rPr>
              <w:t>投标人须承诺以往餐饮经营中无任何食品卫生、消防安全等方面的不良记录；</w:t>
            </w:r>
          </w:p>
          <w:p w14:paraId="4C839DA2">
            <w:pPr>
              <w:pStyle w:val="8"/>
              <w:spacing w:line="400" w:lineRule="exact"/>
              <w:rPr>
                <w:rFonts w:ascii="仿宋" w:hAnsi="仿宋" w:eastAsia="仿宋"/>
                <w:b/>
                <w:bCs w:val="0"/>
                <w:color w:val="auto"/>
                <w:sz w:val="28"/>
                <w:szCs w:val="28"/>
                <w:highlight w:val="none"/>
              </w:rPr>
            </w:pPr>
            <w:r>
              <w:rPr>
                <w:rFonts w:hint="eastAsia" w:ascii="仿宋" w:hAnsi="仿宋" w:eastAsia="仿宋"/>
                <w:b/>
                <w:bCs w:val="0"/>
                <w:color w:val="auto"/>
                <w:sz w:val="28"/>
                <w:szCs w:val="28"/>
                <w:highlight w:val="none"/>
              </w:rPr>
              <w:t>★</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5）</w:t>
            </w:r>
            <w:r>
              <w:rPr>
                <w:rFonts w:hint="eastAsia" w:ascii="仿宋" w:hAnsi="仿宋" w:eastAsia="仿宋"/>
                <w:b/>
                <w:bCs w:val="0"/>
                <w:color w:val="auto"/>
                <w:sz w:val="28"/>
                <w:szCs w:val="28"/>
                <w:highlight w:val="none"/>
              </w:rPr>
              <w:t>投标人须承诺提供三楼房间</w:t>
            </w:r>
            <w:r>
              <w:rPr>
                <w:rFonts w:ascii="仿宋" w:hAnsi="仿宋" w:eastAsia="仿宋"/>
                <w:b/>
                <w:bCs w:val="0"/>
                <w:color w:val="auto"/>
                <w:sz w:val="28"/>
                <w:szCs w:val="28"/>
                <w:highlight w:val="none"/>
              </w:rPr>
              <w:t>1及管理用房</w:t>
            </w:r>
            <w:r>
              <w:rPr>
                <w:rFonts w:hint="eastAsia" w:ascii="仿宋" w:hAnsi="仿宋" w:eastAsia="仿宋"/>
                <w:b/>
                <w:bCs w:val="0"/>
                <w:color w:val="auto"/>
                <w:sz w:val="28"/>
                <w:szCs w:val="28"/>
                <w:highlight w:val="none"/>
              </w:rPr>
              <w:t>（见餐饮中心平面图）供招标人使用，且需满足招标人正常办公。</w:t>
            </w:r>
          </w:p>
          <w:p w14:paraId="41A23563">
            <w:pPr>
              <w:pStyle w:val="8"/>
              <w:spacing w:line="400" w:lineRule="exact"/>
              <w:rPr>
                <w:rFonts w:hint="eastAsia" w:ascii="仿宋" w:hAnsi="仿宋" w:eastAsia="仿宋"/>
                <w:b/>
                <w:bCs w:val="0"/>
                <w:color w:val="auto"/>
                <w:sz w:val="28"/>
                <w:szCs w:val="28"/>
                <w:highlight w:val="none"/>
                <w:lang w:eastAsia="zh-CN"/>
              </w:rPr>
            </w:pPr>
            <w:r>
              <w:rPr>
                <w:rFonts w:hint="eastAsia" w:ascii="仿宋" w:hAnsi="仿宋" w:eastAsia="仿宋"/>
                <w:b/>
                <w:bCs w:val="0"/>
                <w:color w:val="auto"/>
                <w:sz w:val="28"/>
                <w:szCs w:val="28"/>
                <w:highlight w:val="none"/>
              </w:rPr>
              <w:t>★</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6）</w:t>
            </w:r>
            <w:r>
              <w:rPr>
                <w:rFonts w:hint="eastAsia" w:ascii="仿宋" w:hAnsi="仿宋" w:eastAsia="仿宋"/>
                <w:b/>
                <w:bCs w:val="0"/>
                <w:color w:val="auto"/>
                <w:sz w:val="28"/>
                <w:szCs w:val="28"/>
                <w:highlight w:val="none"/>
              </w:rPr>
              <w:t>投标人须承诺中标后对餐饮中心的就餐环境进行提升改造</w:t>
            </w:r>
            <w:r>
              <w:rPr>
                <w:rFonts w:hint="eastAsia" w:ascii="仿宋" w:hAnsi="仿宋" w:eastAsia="仿宋"/>
                <w:b/>
                <w:bCs w:val="0"/>
                <w:color w:val="auto"/>
                <w:sz w:val="28"/>
                <w:szCs w:val="28"/>
                <w:highlight w:val="none"/>
                <w:lang w:eastAsia="zh-CN"/>
              </w:rPr>
              <w:t>。</w:t>
            </w:r>
          </w:p>
          <w:p w14:paraId="1A3143FC">
            <w:pPr>
              <w:pStyle w:val="8"/>
              <w:spacing w:line="240" w:lineRule="auto"/>
              <w:rPr>
                <w:rFonts w:hint="default" w:ascii="仿宋" w:hAnsi="仿宋" w:eastAsia="仿宋"/>
                <w:b/>
                <w:bCs w:val="0"/>
                <w:color w:val="auto"/>
                <w:sz w:val="28"/>
                <w:szCs w:val="28"/>
                <w:highlight w:val="none"/>
                <w:lang w:val="en-US" w:eastAsia="zh-CN"/>
              </w:rPr>
            </w:pPr>
            <w:r>
              <w:rPr>
                <w:rFonts w:hint="eastAsia" w:ascii="仿宋" w:hAnsi="仿宋" w:eastAsia="仿宋"/>
                <w:b/>
                <w:bCs w:val="0"/>
                <w:color w:val="auto"/>
                <w:sz w:val="28"/>
                <w:szCs w:val="28"/>
                <w:highlight w:val="none"/>
              </w:rPr>
              <w:t>★</w:t>
            </w:r>
            <w:r>
              <w:rPr>
                <w:rFonts w:hint="eastAsia" w:ascii="仿宋" w:hAnsi="仿宋" w:eastAsia="仿宋"/>
                <w:b/>
                <w:bCs w:val="0"/>
                <w:color w:val="auto"/>
                <w:sz w:val="28"/>
                <w:szCs w:val="28"/>
                <w:highlight w:val="none"/>
                <w:lang w:eastAsia="zh-CN"/>
              </w:rPr>
              <w:t>（</w:t>
            </w:r>
            <w:r>
              <w:rPr>
                <w:rFonts w:hint="eastAsia" w:ascii="仿宋" w:hAnsi="仿宋" w:eastAsia="仿宋"/>
                <w:b/>
                <w:bCs w:val="0"/>
                <w:color w:val="auto"/>
                <w:sz w:val="28"/>
                <w:szCs w:val="28"/>
                <w:highlight w:val="none"/>
                <w:lang w:val="en-US" w:eastAsia="zh-CN"/>
              </w:rPr>
              <w:t>7）投标人需承诺中标食堂经营不对外承接旅游团餐。</w:t>
            </w:r>
          </w:p>
          <w:p w14:paraId="78D9330C">
            <w:pPr>
              <w:numPr>
                <w:ilvl w:val="0"/>
                <w:numId w:val="0"/>
              </w:numPr>
              <w:spacing w:line="400" w:lineRule="exact"/>
              <w:ind w:left="-9" w:leftChars="0"/>
              <w:rPr>
                <w:rFonts w:hint="default" w:eastAsia="仿宋"/>
                <w:color w:val="auto"/>
                <w:highlight w:val="none"/>
                <w:lang w:val="en-US" w:eastAsia="zh-CN"/>
              </w:rPr>
            </w:pPr>
            <w:r>
              <w:rPr>
                <w:rFonts w:hint="eastAsia" w:ascii="仿宋" w:hAnsi="仿宋" w:eastAsia="仿宋"/>
                <w:b/>
                <w:bCs w:val="0"/>
                <w:color w:val="auto"/>
                <w:sz w:val="28"/>
                <w:szCs w:val="28"/>
                <w:highlight w:val="none"/>
                <w:lang w:val="en-US" w:eastAsia="zh-CN"/>
              </w:rPr>
              <w:t>注：以上资格证明</w:t>
            </w:r>
            <w:r>
              <w:rPr>
                <w:rFonts w:hint="eastAsia" w:ascii="仿宋" w:hAnsi="仿宋" w:eastAsia="仿宋"/>
                <w:b/>
                <w:color w:val="auto"/>
                <w:sz w:val="28"/>
                <w:szCs w:val="28"/>
                <w:highlight w:val="none"/>
                <w:lang w:val="en-US" w:eastAsia="zh-CN"/>
              </w:rPr>
              <w:t>文件为复印件的，须加盖投标人公章，且原件备查。投标人不满足上述规定的特定条件或提供证明文件不全的，其投标无效。</w:t>
            </w:r>
          </w:p>
        </w:tc>
      </w:tr>
    </w:tbl>
    <w:p w14:paraId="7B60101F">
      <w:pPr>
        <w:rPr>
          <w:rFonts w:ascii="仿宋" w:hAnsi="仿宋" w:eastAsia="仿宋"/>
          <w:color w:val="auto"/>
          <w:highlight w:val="none"/>
        </w:rPr>
      </w:pPr>
      <w:r>
        <w:rPr>
          <w:rFonts w:ascii="仿宋" w:hAnsi="仿宋" w:eastAsia="仿宋"/>
          <w:color w:val="auto"/>
          <w:highlight w:val="none"/>
        </w:rPr>
        <w:br w:type="page"/>
      </w:r>
    </w:p>
    <w:p w14:paraId="4EC2ADD6">
      <w:pPr>
        <w:pStyle w:val="3"/>
        <w:keepNext w:val="0"/>
        <w:keepLines w:val="0"/>
        <w:spacing w:before="0" w:after="0" w:line="360" w:lineRule="auto"/>
        <w:jc w:val="center"/>
        <w:rPr>
          <w:rFonts w:hint="eastAsia" w:ascii="仿宋" w:hAnsi="仿宋" w:eastAsia="仿宋"/>
          <w:color w:val="auto"/>
          <w:highlight w:val="none"/>
          <w:lang w:val="en-US" w:eastAsia="zh-CN"/>
        </w:rPr>
      </w:pPr>
      <w:bookmarkStart w:id="16" w:name="_Toc15400"/>
      <w:bookmarkStart w:id="17" w:name="_Toc11121"/>
      <w:bookmarkStart w:id="18" w:name="_Toc7736"/>
      <w:bookmarkStart w:id="19" w:name="_Toc13334"/>
      <w:bookmarkStart w:id="20" w:name="_Toc16168"/>
      <w:bookmarkStart w:id="21" w:name="_Toc23129"/>
      <w:bookmarkStart w:id="22" w:name="_Toc16957"/>
      <w:bookmarkStart w:id="23" w:name="_Toc14884"/>
      <w:bookmarkStart w:id="24" w:name="_Toc24634"/>
      <w:bookmarkStart w:id="25" w:name="_Toc22994"/>
      <w:bookmarkStart w:id="26" w:name="_Toc23016"/>
      <w:r>
        <w:rPr>
          <w:rFonts w:hint="eastAsia" w:ascii="仿宋" w:hAnsi="仿宋" w:eastAsia="仿宋" w:cs="仿宋"/>
          <w:b/>
          <w:i w:val="0"/>
          <w:strike w:val="0"/>
          <w:color w:val="auto"/>
          <w:spacing w:val="0"/>
          <w:sz w:val="28"/>
          <w:highlight w:val="none"/>
          <w:u w:val="none"/>
          <w:lang w:val="en-US" w:eastAsia="zh-CN"/>
        </w:rPr>
        <w:t>带</w:t>
      </w:r>
      <w:r>
        <w:rPr>
          <w:rFonts w:hint="eastAsia" w:ascii="仿宋" w:hAnsi="仿宋" w:eastAsia="仿宋" w:cs="仿宋"/>
          <w:b/>
          <w:i w:val="0"/>
          <w:strike w:val="0"/>
          <w:color w:val="auto"/>
          <w:spacing w:val="0"/>
          <w:sz w:val="28"/>
          <w:highlight w:val="none"/>
          <w:u w:val="none"/>
          <w:lang w:eastAsia="zh-CN"/>
        </w:rPr>
        <w:t>“</w:t>
      </w:r>
      <w:r>
        <w:rPr>
          <w:rFonts w:ascii="仿宋" w:hAnsi="仿宋" w:eastAsia="仿宋" w:cs="仿宋"/>
          <w:b/>
          <w:i w:val="0"/>
          <w:strike w:val="0"/>
          <w:color w:val="auto"/>
          <w:spacing w:val="0"/>
          <w:sz w:val="28"/>
          <w:highlight w:val="none"/>
          <w:u w:val="none"/>
        </w:rPr>
        <w:t>★</w:t>
      </w:r>
      <w:r>
        <w:rPr>
          <w:rFonts w:hint="eastAsia" w:ascii="仿宋" w:hAnsi="仿宋" w:eastAsia="仿宋" w:cs="仿宋"/>
          <w:b/>
          <w:i w:val="0"/>
          <w:strike w:val="0"/>
          <w:color w:val="auto"/>
          <w:spacing w:val="0"/>
          <w:sz w:val="28"/>
          <w:highlight w:val="none"/>
          <w:u w:val="none"/>
          <w:lang w:eastAsia="zh-CN"/>
        </w:rPr>
        <w:t>”</w:t>
      </w:r>
      <w:r>
        <w:rPr>
          <w:rFonts w:hint="eastAsia" w:ascii="仿宋" w:hAnsi="仿宋" w:eastAsia="仿宋" w:cs="仿宋"/>
          <w:b/>
          <w:i w:val="0"/>
          <w:strike w:val="0"/>
          <w:color w:val="auto"/>
          <w:spacing w:val="0"/>
          <w:sz w:val="28"/>
          <w:highlight w:val="none"/>
          <w:u w:val="none"/>
          <w:lang w:val="en-US" w:eastAsia="zh-CN"/>
        </w:rPr>
        <w:t>号</w:t>
      </w:r>
      <w:r>
        <w:rPr>
          <w:rFonts w:hint="eastAsia" w:ascii="仿宋" w:hAnsi="仿宋" w:eastAsia="仿宋"/>
          <w:color w:val="auto"/>
          <w:highlight w:val="none"/>
          <w:lang w:val="en-US" w:eastAsia="zh-CN"/>
        </w:rPr>
        <w:t>条款汇总表</w:t>
      </w:r>
      <w:bookmarkEnd w:id="16"/>
      <w:bookmarkEnd w:id="17"/>
      <w:bookmarkEnd w:id="18"/>
      <w:bookmarkEnd w:id="19"/>
      <w:bookmarkEnd w:id="20"/>
      <w:bookmarkEnd w:id="21"/>
      <w:bookmarkEnd w:id="22"/>
      <w:bookmarkEnd w:id="23"/>
      <w:bookmarkEnd w:id="24"/>
      <w:bookmarkEnd w:id="25"/>
      <w:bookmarkEnd w:id="26"/>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7B5B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Pr>
          <w:p w14:paraId="3FF9C36A">
            <w:pPr>
              <w:snapToGrid/>
              <w:spacing w:before="0" w:after="0" w:line="400" w:lineRule="exact"/>
              <w:ind w:right="0" w:firstLine="420" w:firstLineChars="200"/>
              <w:jc w:val="both"/>
              <w:rPr>
                <w:rFonts w:hint="default"/>
                <w:color w:val="auto"/>
                <w:highlight w:val="none"/>
                <w:vertAlign w:val="baseline"/>
                <w:lang w:val="en-US" w:eastAsia="zh-CN"/>
              </w:rPr>
            </w:pPr>
          </w:p>
          <w:p w14:paraId="692E99D7">
            <w:pPr>
              <w:spacing w:line="240" w:lineRule="auto"/>
              <w:rPr>
                <w:rFonts w:hint="default" w:ascii="仿宋" w:hAnsi="仿宋" w:eastAsia="仿宋"/>
                <w:b/>
                <w:bCs w:val="0"/>
                <w:color w:val="auto"/>
                <w:sz w:val="28"/>
                <w:szCs w:val="28"/>
                <w:highlight w:val="none"/>
                <w:lang w:val="en-US" w:eastAsia="zh-CN"/>
              </w:rPr>
            </w:pPr>
            <w:r>
              <w:rPr>
                <w:rFonts w:hint="default" w:ascii="仿宋" w:hAnsi="仿宋" w:eastAsia="仿宋"/>
                <w:b/>
                <w:color w:val="auto"/>
                <w:sz w:val="28"/>
                <w:szCs w:val="28"/>
                <w:highlight w:val="none"/>
                <w:lang w:val="en-US" w:eastAsia="zh-CN"/>
              </w:rPr>
              <w:t>1</w:t>
            </w:r>
            <w:r>
              <w:rPr>
                <w:rFonts w:hint="default" w:ascii="仿宋" w:hAnsi="仿宋" w:eastAsia="仿宋"/>
                <w:b/>
                <w:bCs w:val="0"/>
                <w:color w:val="auto"/>
                <w:sz w:val="28"/>
                <w:szCs w:val="28"/>
                <w:highlight w:val="none"/>
                <w:lang w:val="en-US" w:eastAsia="zh-CN"/>
              </w:rPr>
              <w:t>、</w:t>
            </w:r>
            <w:r>
              <w:rPr>
                <w:rFonts w:hint="default" w:ascii="仿宋" w:hAnsi="仿宋" w:eastAsia="仿宋"/>
                <w:b/>
                <w:color w:val="auto"/>
                <w:sz w:val="28"/>
                <w:szCs w:val="28"/>
                <w:highlight w:val="none"/>
              </w:rPr>
              <w:t>投标保证金</w:t>
            </w:r>
            <w:r>
              <w:rPr>
                <w:rFonts w:hint="default" w:ascii="仿宋" w:hAnsi="仿宋" w:eastAsia="仿宋"/>
                <w:b/>
                <w:color w:val="auto"/>
                <w:sz w:val="28"/>
                <w:szCs w:val="28"/>
                <w:highlight w:val="none"/>
                <w:lang w:val="en-US" w:eastAsia="zh-CN"/>
              </w:rPr>
              <w:t>金额</w:t>
            </w:r>
            <w:r>
              <w:rPr>
                <w:rFonts w:hint="default" w:ascii="仿宋" w:hAnsi="仿宋" w:eastAsia="仿宋"/>
                <w:b/>
                <w:color w:val="auto"/>
                <w:sz w:val="28"/>
                <w:szCs w:val="28"/>
                <w:highlight w:val="none"/>
              </w:rPr>
              <w:t>：人民币</w:t>
            </w:r>
            <w:r>
              <w:rPr>
                <w:rFonts w:hint="default" w:ascii="仿宋" w:hAnsi="仿宋" w:eastAsia="仿宋"/>
                <w:b/>
                <w:color w:val="auto"/>
                <w:sz w:val="28"/>
                <w:szCs w:val="28"/>
                <w:highlight w:val="none"/>
                <w:lang w:val="en-US" w:eastAsia="zh-CN"/>
              </w:rPr>
              <w:t>4000</w:t>
            </w:r>
            <w:r>
              <w:rPr>
                <w:rFonts w:hint="default" w:ascii="仿宋" w:hAnsi="仿宋" w:eastAsia="仿宋"/>
                <w:b/>
                <w:color w:val="auto"/>
                <w:sz w:val="28"/>
                <w:szCs w:val="28"/>
                <w:highlight w:val="none"/>
              </w:rPr>
              <w:t>元整。</w:t>
            </w:r>
          </w:p>
          <w:p w14:paraId="0030E7C2">
            <w:pPr>
              <w:rPr>
                <w:rFonts w:hint="default" w:ascii="仿宋" w:hAnsi="仿宋" w:eastAsia="仿宋"/>
                <w:b/>
                <w:bCs w:val="0"/>
                <w:color w:val="auto"/>
                <w:sz w:val="28"/>
                <w:szCs w:val="28"/>
                <w:highlight w:val="none"/>
                <w:lang w:val="en-US" w:eastAsia="zh-CN"/>
              </w:rPr>
            </w:pPr>
            <w:r>
              <w:rPr>
                <w:rFonts w:hint="default" w:ascii="仿宋" w:hAnsi="仿宋" w:eastAsia="仿宋"/>
                <w:b/>
                <w:bCs w:val="0"/>
                <w:color w:val="auto"/>
                <w:sz w:val="28"/>
                <w:szCs w:val="28"/>
                <w:highlight w:val="none"/>
                <w:lang w:val="en-US" w:eastAsia="zh-CN"/>
              </w:rPr>
              <w:t>2、</w:t>
            </w:r>
            <w:r>
              <w:rPr>
                <w:rFonts w:hint="default" w:ascii="仿宋" w:hAnsi="仿宋" w:eastAsia="仿宋"/>
                <w:b/>
                <w:bCs w:val="0"/>
                <w:color w:val="auto"/>
                <w:sz w:val="28"/>
                <w:szCs w:val="28"/>
                <w:highlight w:val="none"/>
              </w:rPr>
              <w:t>招标预算价（即控制价）为：</w:t>
            </w:r>
            <w:r>
              <w:rPr>
                <w:rFonts w:hint="default" w:ascii="仿宋" w:hAnsi="仿宋" w:eastAsia="仿宋" w:cs="Times New Roman"/>
                <w:b/>
                <w:bCs w:val="0"/>
                <w:color w:val="auto"/>
                <w:kern w:val="2"/>
                <w:sz w:val="28"/>
                <w:szCs w:val="28"/>
                <w:highlight w:val="none"/>
              </w:rPr>
              <w:t>保底价格不低于</w:t>
            </w:r>
            <w:r>
              <w:rPr>
                <w:rFonts w:hint="default" w:ascii="仿宋" w:hAnsi="仿宋" w:eastAsia="仿宋" w:cs="Times New Roman"/>
                <w:b/>
                <w:bCs w:val="0"/>
                <w:color w:val="auto"/>
                <w:kern w:val="2"/>
                <w:sz w:val="28"/>
                <w:szCs w:val="28"/>
                <w:highlight w:val="none"/>
                <w:lang w:val="en-US" w:eastAsia="zh-CN"/>
              </w:rPr>
              <w:t>7</w:t>
            </w:r>
            <w:r>
              <w:rPr>
                <w:rFonts w:hint="default" w:ascii="仿宋" w:hAnsi="仿宋" w:eastAsia="仿宋" w:cs="Times New Roman"/>
                <w:b/>
                <w:bCs w:val="0"/>
                <w:color w:val="auto"/>
                <w:kern w:val="2"/>
                <w:sz w:val="28"/>
                <w:szCs w:val="28"/>
                <w:highlight w:val="none"/>
              </w:rPr>
              <w:t>000元</w:t>
            </w:r>
            <w:r>
              <w:rPr>
                <w:rFonts w:hint="default" w:ascii="仿宋" w:hAnsi="仿宋" w:eastAsia="仿宋" w:cs="Times New Roman"/>
                <w:b/>
                <w:bCs w:val="0"/>
                <w:color w:val="auto"/>
                <w:kern w:val="2"/>
                <w:sz w:val="28"/>
                <w:szCs w:val="28"/>
                <w:highlight w:val="none"/>
                <w:lang w:val="en-US" w:eastAsia="zh-CN"/>
              </w:rPr>
              <w:t>/月</w:t>
            </w:r>
            <w:r>
              <w:rPr>
                <w:rFonts w:hint="default" w:ascii="仿宋" w:hAnsi="仿宋" w:eastAsia="仿宋" w:cs="Times New Roman"/>
                <w:b/>
                <w:bCs w:val="0"/>
                <w:color w:val="auto"/>
                <w:kern w:val="2"/>
                <w:sz w:val="28"/>
                <w:szCs w:val="28"/>
                <w:highlight w:val="none"/>
              </w:rPr>
              <w:t>；免租期不超过1个月</w:t>
            </w:r>
            <w:r>
              <w:rPr>
                <w:rFonts w:hint="default" w:ascii="仿宋" w:hAnsi="仿宋" w:eastAsia="仿宋"/>
                <w:b/>
                <w:color w:val="auto"/>
                <w:sz w:val="28"/>
                <w:szCs w:val="28"/>
                <w:highlight w:val="none"/>
              </w:rPr>
              <w:t>。投标人投标报价</w:t>
            </w:r>
            <w:r>
              <w:rPr>
                <w:rFonts w:hint="default" w:ascii="仿宋" w:hAnsi="仿宋" w:eastAsia="仿宋"/>
                <w:b/>
                <w:color w:val="auto"/>
                <w:sz w:val="28"/>
                <w:szCs w:val="28"/>
                <w:highlight w:val="none"/>
                <w:lang w:val="en-US" w:eastAsia="zh-CN"/>
              </w:rPr>
              <w:t>低于</w:t>
            </w:r>
            <w:r>
              <w:rPr>
                <w:rFonts w:hint="default" w:ascii="仿宋" w:hAnsi="仿宋" w:eastAsia="仿宋"/>
                <w:b/>
                <w:color w:val="auto"/>
                <w:sz w:val="28"/>
                <w:szCs w:val="28"/>
                <w:highlight w:val="none"/>
              </w:rPr>
              <w:t>预算价</w:t>
            </w:r>
            <w:r>
              <w:rPr>
                <w:rFonts w:hint="default" w:ascii="仿宋" w:hAnsi="仿宋" w:eastAsia="仿宋"/>
                <w:b/>
                <w:color w:val="auto"/>
                <w:sz w:val="28"/>
                <w:szCs w:val="28"/>
                <w:highlight w:val="none"/>
                <w:lang w:eastAsia="zh-CN"/>
              </w:rPr>
              <w:t>、</w:t>
            </w:r>
            <w:r>
              <w:rPr>
                <w:rFonts w:hint="default" w:ascii="仿宋" w:hAnsi="仿宋" w:eastAsia="仿宋" w:cs="Times New Roman"/>
                <w:b/>
                <w:i w:val="0"/>
                <w:iCs w:val="0"/>
                <w:caps w:val="0"/>
                <w:color w:val="auto"/>
                <w:spacing w:val="0"/>
                <w:kern w:val="2"/>
                <w:sz w:val="28"/>
                <w:szCs w:val="28"/>
                <w:highlight w:val="none"/>
                <w:shd w:val="clear"/>
              </w:rPr>
              <w:t>免租期超过1个月的</w:t>
            </w:r>
            <w:r>
              <w:rPr>
                <w:rFonts w:hint="default" w:ascii="仿宋" w:hAnsi="仿宋" w:eastAsia="仿宋" w:cs="Times New Roman"/>
                <w:b/>
                <w:i w:val="0"/>
                <w:iCs w:val="0"/>
                <w:caps w:val="0"/>
                <w:color w:val="auto"/>
                <w:spacing w:val="0"/>
                <w:kern w:val="2"/>
                <w:sz w:val="28"/>
                <w:szCs w:val="28"/>
                <w:highlight w:val="none"/>
                <w:shd w:val="clear"/>
                <w:lang w:eastAsia="zh-CN"/>
              </w:rPr>
              <w:t>，</w:t>
            </w:r>
            <w:r>
              <w:rPr>
                <w:rFonts w:hint="default" w:ascii="仿宋" w:hAnsi="仿宋" w:eastAsia="仿宋" w:cs="Times New Roman"/>
                <w:b/>
                <w:i w:val="0"/>
                <w:iCs w:val="0"/>
                <w:caps w:val="0"/>
                <w:color w:val="auto"/>
                <w:spacing w:val="0"/>
                <w:kern w:val="2"/>
                <w:sz w:val="28"/>
                <w:szCs w:val="28"/>
                <w:highlight w:val="none"/>
                <w:shd w:val="clear"/>
                <w:lang w:val="en-US" w:eastAsia="zh-CN"/>
              </w:rPr>
              <w:t>均视</w:t>
            </w:r>
            <w:r>
              <w:rPr>
                <w:rFonts w:hint="default" w:ascii="仿宋" w:hAnsi="仿宋" w:eastAsia="仿宋"/>
                <w:b/>
                <w:color w:val="auto"/>
                <w:sz w:val="28"/>
                <w:szCs w:val="28"/>
                <w:highlight w:val="none"/>
              </w:rPr>
              <w:t>为无效投标。</w:t>
            </w:r>
          </w:p>
          <w:p w14:paraId="5F7A4B88">
            <w:pPr>
              <w:pStyle w:val="8"/>
              <w:spacing w:line="400" w:lineRule="exact"/>
              <w:rPr>
                <w:rFonts w:hint="default" w:ascii="仿宋" w:hAnsi="仿宋" w:eastAsia="仿宋"/>
                <w:b/>
                <w:color w:val="auto"/>
                <w:sz w:val="28"/>
                <w:szCs w:val="28"/>
                <w:highlight w:val="none"/>
              </w:rPr>
            </w:pPr>
            <w:r>
              <w:rPr>
                <w:rFonts w:hint="default" w:ascii="仿宋" w:hAnsi="仿宋" w:eastAsia="仿宋"/>
                <w:b/>
                <w:bCs w:val="0"/>
                <w:color w:val="auto"/>
                <w:sz w:val="28"/>
                <w:szCs w:val="28"/>
                <w:highlight w:val="none"/>
                <w:lang w:val="en-US" w:eastAsia="zh-CN"/>
              </w:rPr>
              <w:t>3、</w:t>
            </w:r>
            <w:r>
              <w:rPr>
                <w:rFonts w:hint="default" w:ascii="仿宋" w:hAnsi="仿宋" w:eastAsia="仿宋"/>
                <w:b/>
                <w:color w:val="auto"/>
                <w:sz w:val="28"/>
                <w:szCs w:val="28"/>
                <w:highlight w:val="none"/>
              </w:rPr>
              <w:t>投标人须承诺提供三楼房间</w:t>
            </w:r>
            <w:r>
              <w:rPr>
                <w:rFonts w:ascii="仿宋" w:hAnsi="仿宋" w:eastAsia="仿宋"/>
                <w:b/>
                <w:color w:val="auto"/>
                <w:sz w:val="28"/>
                <w:szCs w:val="28"/>
                <w:highlight w:val="none"/>
              </w:rPr>
              <w:t>1及管理用房</w:t>
            </w:r>
            <w:r>
              <w:rPr>
                <w:rFonts w:hint="default" w:ascii="仿宋" w:hAnsi="仿宋" w:eastAsia="仿宋"/>
                <w:b/>
                <w:color w:val="auto"/>
                <w:sz w:val="28"/>
                <w:szCs w:val="28"/>
                <w:highlight w:val="none"/>
              </w:rPr>
              <w:t>（见餐饮中心平面图）供招标人使用，且需满足招标人正常办公。</w:t>
            </w:r>
          </w:p>
          <w:p w14:paraId="403139CD">
            <w:pPr>
              <w:pStyle w:val="8"/>
              <w:spacing w:line="400" w:lineRule="exact"/>
              <w:rPr>
                <w:rFonts w:hint="default" w:ascii="仿宋" w:hAnsi="仿宋" w:eastAsia="仿宋"/>
                <w:b/>
                <w:color w:val="auto"/>
                <w:sz w:val="28"/>
                <w:szCs w:val="28"/>
                <w:highlight w:val="none"/>
                <w:lang w:eastAsia="zh-CN"/>
              </w:rPr>
            </w:pPr>
            <w:r>
              <w:rPr>
                <w:rFonts w:hint="default" w:ascii="仿宋" w:hAnsi="仿宋" w:eastAsia="仿宋"/>
                <w:b/>
                <w:color w:val="auto"/>
                <w:sz w:val="28"/>
                <w:szCs w:val="28"/>
                <w:highlight w:val="none"/>
                <w:lang w:val="en-US" w:eastAsia="zh-CN"/>
              </w:rPr>
              <w:t>4、</w:t>
            </w:r>
            <w:r>
              <w:rPr>
                <w:rFonts w:hint="default" w:ascii="仿宋" w:hAnsi="仿宋" w:eastAsia="仿宋"/>
                <w:b/>
                <w:color w:val="auto"/>
                <w:sz w:val="28"/>
                <w:szCs w:val="28"/>
                <w:highlight w:val="none"/>
              </w:rPr>
              <w:t>投标人须承诺中标后对餐饮中心的就餐环境进行提升改造</w:t>
            </w:r>
            <w:r>
              <w:rPr>
                <w:rFonts w:hint="default" w:ascii="仿宋" w:hAnsi="仿宋" w:eastAsia="仿宋"/>
                <w:b/>
                <w:color w:val="auto"/>
                <w:sz w:val="28"/>
                <w:szCs w:val="28"/>
                <w:highlight w:val="none"/>
                <w:lang w:eastAsia="zh-CN"/>
              </w:rPr>
              <w:t>。</w:t>
            </w:r>
          </w:p>
          <w:p w14:paraId="360D957C">
            <w:pPr>
              <w:pStyle w:val="8"/>
              <w:spacing w:line="240" w:lineRule="auto"/>
              <w:rPr>
                <w:rFonts w:hint="default" w:ascii="仿宋" w:hAnsi="仿宋" w:eastAsia="仿宋"/>
                <w:b/>
                <w:bCs/>
                <w:color w:val="auto"/>
                <w:sz w:val="28"/>
                <w:szCs w:val="28"/>
                <w:highlight w:val="none"/>
                <w:lang w:val="en-US" w:eastAsia="zh-CN"/>
              </w:rPr>
            </w:pPr>
            <w:r>
              <w:rPr>
                <w:rFonts w:hint="default" w:ascii="仿宋" w:hAnsi="仿宋" w:eastAsia="仿宋"/>
                <w:b/>
                <w:color w:val="auto"/>
                <w:sz w:val="28"/>
                <w:szCs w:val="28"/>
                <w:highlight w:val="none"/>
                <w:lang w:val="en-US" w:eastAsia="zh-CN"/>
              </w:rPr>
              <w:t>5、投标人</w:t>
            </w:r>
            <w:r>
              <w:rPr>
                <w:rFonts w:hint="eastAsia" w:ascii="仿宋" w:hAnsi="仿宋" w:eastAsia="仿宋"/>
                <w:b/>
                <w:color w:val="auto"/>
                <w:sz w:val="28"/>
                <w:szCs w:val="28"/>
                <w:highlight w:val="none"/>
                <w:lang w:val="en-US" w:eastAsia="zh-CN"/>
              </w:rPr>
              <w:t>需承诺中标食堂经营不对外承接旅游团餐。</w:t>
            </w:r>
          </w:p>
          <w:p w14:paraId="341669A9">
            <w:pPr>
              <w:pStyle w:val="18"/>
              <w:rPr>
                <w:color w:val="auto"/>
                <w:highlight w:val="none"/>
              </w:rPr>
            </w:pPr>
          </w:p>
          <w:p w14:paraId="2D275616">
            <w:pPr>
              <w:rPr>
                <w:rFonts w:hint="default" w:ascii="仿宋" w:hAnsi="仿宋" w:eastAsia="仿宋"/>
                <w:b w:val="0"/>
                <w:bCs w:val="0"/>
                <w:color w:val="auto"/>
                <w:sz w:val="28"/>
                <w:szCs w:val="28"/>
                <w:highlight w:val="none"/>
                <w:lang w:val="en-US" w:eastAsia="zh-CN"/>
              </w:rPr>
            </w:pPr>
          </w:p>
        </w:tc>
      </w:tr>
    </w:tbl>
    <w:p w14:paraId="09D7F3E1">
      <w:pPr>
        <w:rPr>
          <w:rFonts w:ascii="仿宋" w:hAnsi="仿宋" w:eastAsia="仿宋"/>
          <w:color w:val="auto"/>
          <w:sz w:val="32"/>
          <w:highlight w:val="none"/>
        </w:rPr>
      </w:pPr>
    </w:p>
    <w:p w14:paraId="3A80BF38">
      <w:pPr>
        <w:rPr>
          <w:rFonts w:ascii="仿宋" w:hAnsi="仿宋" w:eastAsia="仿宋"/>
          <w:color w:val="auto"/>
          <w:sz w:val="32"/>
          <w:highlight w:val="none"/>
        </w:rPr>
      </w:pPr>
    </w:p>
    <w:p w14:paraId="430DE250">
      <w:pPr>
        <w:rPr>
          <w:rFonts w:ascii="仿宋" w:hAnsi="仿宋" w:eastAsia="仿宋"/>
          <w:color w:val="auto"/>
          <w:sz w:val="32"/>
          <w:highlight w:val="none"/>
        </w:rPr>
      </w:pPr>
    </w:p>
    <w:p w14:paraId="0F93EFBF">
      <w:pPr>
        <w:rPr>
          <w:rFonts w:ascii="仿宋" w:hAnsi="仿宋" w:eastAsia="仿宋"/>
          <w:color w:val="auto"/>
          <w:sz w:val="32"/>
          <w:highlight w:val="none"/>
        </w:rPr>
      </w:pPr>
    </w:p>
    <w:p w14:paraId="5AD39A40">
      <w:pPr>
        <w:rPr>
          <w:rFonts w:ascii="仿宋" w:hAnsi="仿宋" w:eastAsia="仿宋"/>
          <w:color w:val="auto"/>
          <w:sz w:val="32"/>
          <w:highlight w:val="none"/>
        </w:rPr>
      </w:pPr>
    </w:p>
    <w:p w14:paraId="298A2BA4">
      <w:pPr>
        <w:rPr>
          <w:rFonts w:ascii="仿宋" w:hAnsi="仿宋" w:eastAsia="仿宋"/>
          <w:color w:val="auto"/>
          <w:sz w:val="32"/>
          <w:highlight w:val="none"/>
        </w:rPr>
      </w:pPr>
    </w:p>
    <w:p w14:paraId="6FAF6D71">
      <w:pPr>
        <w:rPr>
          <w:rFonts w:ascii="仿宋" w:hAnsi="仿宋" w:eastAsia="仿宋"/>
          <w:color w:val="auto"/>
          <w:sz w:val="32"/>
          <w:highlight w:val="none"/>
        </w:rPr>
      </w:pPr>
    </w:p>
    <w:p w14:paraId="5A421951">
      <w:pPr>
        <w:rPr>
          <w:rFonts w:ascii="仿宋" w:hAnsi="仿宋" w:eastAsia="仿宋"/>
          <w:color w:val="auto"/>
          <w:sz w:val="32"/>
          <w:highlight w:val="none"/>
        </w:rPr>
      </w:pPr>
    </w:p>
    <w:p w14:paraId="1DB22BDA">
      <w:pPr>
        <w:rPr>
          <w:rFonts w:ascii="仿宋" w:hAnsi="仿宋" w:eastAsia="仿宋"/>
          <w:color w:val="auto"/>
          <w:sz w:val="32"/>
          <w:highlight w:val="none"/>
        </w:rPr>
      </w:pPr>
    </w:p>
    <w:p w14:paraId="112768CC">
      <w:pPr>
        <w:rPr>
          <w:rFonts w:ascii="仿宋" w:hAnsi="仿宋" w:eastAsia="仿宋"/>
          <w:color w:val="auto"/>
          <w:sz w:val="32"/>
          <w:highlight w:val="none"/>
        </w:rPr>
      </w:pPr>
    </w:p>
    <w:p w14:paraId="69F26026">
      <w:pPr>
        <w:rPr>
          <w:rFonts w:ascii="仿宋" w:hAnsi="仿宋" w:eastAsia="仿宋"/>
          <w:color w:val="auto"/>
          <w:sz w:val="32"/>
          <w:highlight w:val="none"/>
        </w:rPr>
      </w:pPr>
    </w:p>
    <w:p w14:paraId="7BF74EAE">
      <w:pPr>
        <w:rPr>
          <w:rFonts w:ascii="仿宋" w:hAnsi="仿宋" w:eastAsia="仿宋"/>
          <w:color w:val="auto"/>
          <w:sz w:val="32"/>
          <w:highlight w:val="none"/>
        </w:rPr>
      </w:pPr>
    </w:p>
    <w:p w14:paraId="7DBB047C">
      <w:pPr>
        <w:rPr>
          <w:rFonts w:ascii="仿宋" w:hAnsi="仿宋" w:eastAsia="仿宋"/>
          <w:color w:val="auto"/>
          <w:sz w:val="32"/>
          <w:highlight w:val="none"/>
        </w:rPr>
      </w:pPr>
    </w:p>
    <w:p w14:paraId="5B9A08F3">
      <w:pPr>
        <w:rPr>
          <w:rFonts w:ascii="仿宋" w:hAnsi="仿宋" w:eastAsia="仿宋"/>
          <w:color w:val="auto"/>
          <w:sz w:val="32"/>
          <w:highlight w:val="none"/>
        </w:rPr>
      </w:pPr>
    </w:p>
    <w:p w14:paraId="55DE77AD">
      <w:pPr>
        <w:rPr>
          <w:color w:val="auto"/>
          <w:highlight w:val="none"/>
        </w:rPr>
      </w:pPr>
    </w:p>
    <w:p w14:paraId="430E501E">
      <w:pPr>
        <w:rPr>
          <w:rFonts w:hint="eastAsia" w:ascii="仿宋" w:hAnsi="仿宋" w:eastAsia="仿宋"/>
          <w:color w:val="auto"/>
          <w:sz w:val="32"/>
          <w:highlight w:val="none"/>
        </w:rPr>
      </w:pPr>
      <w:bookmarkStart w:id="27" w:name="_Toc15984"/>
      <w:r>
        <w:rPr>
          <w:rFonts w:hint="eastAsia" w:ascii="仿宋" w:hAnsi="仿宋" w:eastAsia="仿宋"/>
          <w:color w:val="auto"/>
          <w:sz w:val="32"/>
          <w:highlight w:val="none"/>
        </w:rPr>
        <w:br w:type="page"/>
      </w:r>
    </w:p>
    <w:p w14:paraId="22C4C27D">
      <w:pPr>
        <w:pStyle w:val="3"/>
        <w:keepNext w:val="0"/>
        <w:keepLines w:val="0"/>
        <w:spacing w:before="0" w:after="0" w:line="500" w:lineRule="exact"/>
        <w:jc w:val="center"/>
        <w:rPr>
          <w:rFonts w:ascii="仿宋" w:hAnsi="仿宋" w:eastAsia="仿宋"/>
          <w:color w:val="auto"/>
          <w:sz w:val="32"/>
          <w:highlight w:val="none"/>
        </w:rPr>
      </w:pPr>
      <w:bookmarkStart w:id="28" w:name="_Toc2802"/>
      <w:r>
        <w:rPr>
          <w:rFonts w:hint="eastAsia" w:ascii="仿宋" w:hAnsi="仿宋" w:eastAsia="仿宋"/>
          <w:color w:val="auto"/>
          <w:sz w:val="32"/>
          <w:highlight w:val="none"/>
        </w:rPr>
        <w:t>第一节  说  明</w:t>
      </w:r>
      <w:bookmarkEnd w:id="27"/>
      <w:bookmarkEnd w:id="28"/>
    </w:p>
    <w:p w14:paraId="4ABA08A1">
      <w:pPr>
        <w:pStyle w:val="4"/>
        <w:keepNext w:val="0"/>
        <w:keepLines w:val="0"/>
        <w:spacing w:before="0" w:after="0" w:line="500" w:lineRule="exact"/>
        <w:ind w:firstLine="643" w:firstLineChars="200"/>
        <w:rPr>
          <w:rFonts w:ascii="仿宋" w:hAnsi="仿宋" w:eastAsia="仿宋"/>
          <w:color w:val="auto"/>
          <w:sz w:val="32"/>
          <w:highlight w:val="none"/>
        </w:rPr>
      </w:pPr>
      <w:bookmarkStart w:id="29" w:name="_Toc21965"/>
      <w:bookmarkStart w:id="30" w:name="_Toc192925648"/>
      <w:bookmarkStart w:id="31" w:name="_Toc22850"/>
      <w:bookmarkStart w:id="32" w:name="_Toc191892300"/>
      <w:r>
        <w:rPr>
          <w:rFonts w:ascii="仿宋" w:hAnsi="仿宋" w:eastAsia="仿宋"/>
          <w:color w:val="auto"/>
          <w:sz w:val="32"/>
          <w:highlight w:val="none"/>
        </w:rPr>
        <w:t xml:space="preserve">1. </w:t>
      </w:r>
      <w:r>
        <w:rPr>
          <w:rFonts w:hint="eastAsia" w:ascii="仿宋" w:hAnsi="仿宋" w:eastAsia="仿宋"/>
          <w:color w:val="auto"/>
          <w:sz w:val="32"/>
          <w:highlight w:val="none"/>
        </w:rPr>
        <w:t>适用范围</w:t>
      </w:r>
      <w:bookmarkEnd w:id="29"/>
      <w:bookmarkEnd w:id="30"/>
      <w:bookmarkEnd w:id="31"/>
      <w:bookmarkEnd w:id="32"/>
    </w:p>
    <w:p w14:paraId="56E71EB6">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本招标文件仅适用于</w:t>
      </w:r>
      <w:r>
        <w:rPr>
          <w:rFonts w:hint="eastAsia" w:ascii="仿宋" w:hAnsi="仿宋" w:eastAsia="仿宋"/>
          <w:color w:val="auto"/>
          <w:sz w:val="32"/>
          <w:szCs w:val="32"/>
          <w:highlight w:val="none"/>
          <w:u w:val="single"/>
        </w:rPr>
        <w:t xml:space="preserve"> 国贸商务中心餐饮中心运营服务商选聘 </w:t>
      </w:r>
      <w:r>
        <w:rPr>
          <w:rFonts w:hint="eastAsia" w:ascii="仿宋" w:hAnsi="仿宋" w:eastAsia="仿宋"/>
          <w:color w:val="auto"/>
          <w:sz w:val="32"/>
          <w:szCs w:val="32"/>
          <w:highlight w:val="none"/>
        </w:rPr>
        <w:t>。</w:t>
      </w:r>
    </w:p>
    <w:p w14:paraId="61C6F863">
      <w:pPr>
        <w:pStyle w:val="4"/>
        <w:keepNext w:val="0"/>
        <w:keepLines w:val="0"/>
        <w:spacing w:before="0" w:after="0" w:line="500" w:lineRule="exact"/>
        <w:ind w:firstLine="643" w:firstLineChars="200"/>
        <w:rPr>
          <w:rFonts w:ascii="仿宋" w:hAnsi="仿宋" w:eastAsia="仿宋"/>
          <w:color w:val="auto"/>
          <w:sz w:val="32"/>
          <w:highlight w:val="none"/>
        </w:rPr>
      </w:pPr>
      <w:bookmarkStart w:id="33" w:name="_Toc191892301"/>
      <w:bookmarkStart w:id="34" w:name="_Toc24572"/>
      <w:bookmarkStart w:id="35" w:name="_Toc17662"/>
      <w:bookmarkStart w:id="36" w:name="_Toc192925649"/>
      <w:r>
        <w:rPr>
          <w:rFonts w:ascii="仿宋" w:hAnsi="仿宋" w:eastAsia="仿宋"/>
          <w:color w:val="auto"/>
          <w:sz w:val="32"/>
          <w:highlight w:val="none"/>
        </w:rPr>
        <w:t xml:space="preserve">2. </w:t>
      </w:r>
      <w:r>
        <w:rPr>
          <w:rFonts w:hint="eastAsia" w:ascii="仿宋" w:hAnsi="仿宋" w:eastAsia="仿宋"/>
          <w:color w:val="auto"/>
          <w:sz w:val="32"/>
          <w:highlight w:val="none"/>
        </w:rPr>
        <w:t>定义</w:t>
      </w:r>
      <w:bookmarkEnd w:id="33"/>
      <w:bookmarkEnd w:id="34"/>
      <w:bookmarkEnd w:id="35"/>
      <w:bookmarkEnd w:id="36"/>
    </w:p>
    <w:p w14:paraId="78920DAA">
      <w:pPr>
        <w:spacing w:line="5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2.1</w:t>
      </w:r>
      <w:r>
        <w:rPr>
          <w:rFonts w:hint="eastAsia" w:ascii="仿宋" w:hAnsi="仿宋" w:eastAsia="仿宋"/>
          <w:color w:val="auto"/>
          <w:sz w:val="32"/>
          <w:szCs w:val="32"/>
          <w:highlight w:val="none"/>
        </w:rPr>
        <w:t xml:space="preserve"> “招标人”系指厦门国贸城市服务集团股份有限公司。</w:t>
      </w:r>
    </w:p>
    <w:p w14:paraId="4C322A4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2“投标人”系指获取了本招标文件，且已经提交或者准备提交本次投标文件的制造商或供货商。</w:t>
      </w:r>
    </w:p>
    <w:p w14:paraId="0AB2D4D4">
      <w:pPr>
        <w:pStyle w:val="4"/>
        <w:keepNext w:val="0"/>
        <w:keepLines w:val="0"/>
        <w:spacing w:before="0" w:after="0" w:line="500" w:lineRule="exact"/>
        <w:ind w:firstLine="643" w:firstLineChars="200"/>
        <w:rPr>
          <w:rFonts w:ascii="仿宋" w:hAnsi="仿宋" w:eastAsia="仿宋"/>
          <w:color w:val="auto"/>
          <w:sz w:val="32"/>
          <w:highlight w:val="none"/>
        </w:rPr>
      </w:pPr>
      <w:bookmarkStart w:id="37" w:name="_Toc5886"/>
      <w:bookmarkStart w:id="38" w:name="_Toc191892302"/>
      <w:bookmarkStart w:id="39" w:name="_Toc192925650"/>
      <w:bookmarkStart w:id="40" w:name="_Toc29952"/>
      <w:r>
        <w:rPr>
          <w:rFonts w:ascii="仿宋" w:hAnsi="仿宋" w:eastAsia="仿宋"/>
          <w:color w:val="auto"/>
          <w:sz w:val="32"/>
          <w:highlight w:val="none"/>
        </w:rPr>
        <w:t xml:space="preserve">3. </w:t>
      </w:r>
      <w:r>
        <w:rPr>
          <w:rFonts w:hint="eastAsia" w:ascii="仿宋" w:hAnsi="仿宋" w:eastAsia="仿宋"/>
          <w:color w:val="auto"/>
          <w:sz w:val="32"/>
          <w:highlight w:val="none"/>
        </w:rPr>
        <w:t>合格的投标人</w:t>
      </w:r>
      <w:bookmarkEnd w:id="37"/>
      <w:bookmarkEnd w:id="38"/>
      <w:bookmarkEnd w:id="39"/>
      <w:bookmarkEnd w:id="40"/>
    </w:p>
    <w:p w14:paraId="466DC79C">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3.1</w:t>
      </w:r>
      <w:r>
        <w:rPr>
          <w:rFonts w:hint="eastAsia" w:ascii="仿宋" w:hAnsi="仿宋" w:eastAsia="仿宋"/>
          <w:color w:val="auto"/>
          <w:sz w:val="32"/>
          <w:szCs w:val="32"/>
          <w:highlight w:val="none"/>
        </w:rPr>
        <w:t>凡有能力提供本招标文件所述货物及服务的，符合本招标文件规定资格要求（具体要求见 “投标资格要求与投标资格证明文件”），符合</w:t>
      </w:r>
      <w:bookmarkStart w:id="41" w:name="OLE_LINK2"/>
      <w:r>
        <w:rPr>
          <w:rFonts w:hint="eastAsia" w:ascii="仿宋" w:hAnsi="仿宋" w:eastAsia="仿宋"/>
          <w:color w:val="auto"/>
          <w:sz w:val="32"/>
          <w:szCs w:val="32"/>
          <w:highlight w:val="none"/>
        </w:rPr>
        <w:t>政府采购法</w:t>
      </w:r>
      <w:bookmarkEnd w:id="41"/>
      <w:r>
        <w:rPr>
          <w:rFonts w:hint="eastAsia" w:ascii="仿宋" w:hAnsi="仿宋" w:eastAsia="仿宋"/>
          <w:color w:val="auto"/>
          <w:sz w:val="32"/>
          <w:szCs w:val="32"/>
          <w:highlight w:val="none"/>
        </w:rPr>
        <w:t>第二十二条的规定的均可能成为合格的投标人。</w:t>
      </w:r>
    </w:p>
    <w:p w14:paraId="0BB7ADF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3.2</w:t>
      </w:r>
      <w:r>
        <w:rPr>
          <w:rFonts w:hint="eastAsia" w:ascii="仿宋" w:hAnsi="仿宋" w:eastAsia="仿宋"/>
          <w:color w:val="auto"/>
          <w:sz w:val="32"/>
          <w:szCs w:val="32"/>
          <w:highlight w:val="none"/>
        </w:rPr>
        <w:t xml:space="preserve"> 投标人应遵守中国的有关法律、法规和规章的规定</w:t>
      </w:r>
      <w:r>
        <w:rPr>
          <w:rFonts w:hint="eastAsia" w:ascii="仿宋" w:hAnsi="仿宋" w:eastAsia="仿宋"/>
          <w:bCs/>
          <w:color w:val="auto"/>
          <w:sz w:val="32"/>
          <w:szCs w:val="32"/>
          <w:highlight w:val="none"/>
        </w:rPr>
        <w:t>。</w:t>
      </w:r>
    </w:p>
    <w:p w14:paraId="6E8D843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 一个投标人对同一个合同包只能提交一个投标文件。如果投标人之间存在下列互为关联关系的情形之一的，不得同时参加本项目投标：</w:t>
      </w:r>
    </w:p>
    <w:p w14:paraId="72F36F7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法定代表人为同一人的两个及两个以上法人；</w:t>
      </w:r>
    </w:p>
    <w:p w14:paraId="01B467F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母公司、直接或间接持股50％及以上的被投资公司;</w:t>
      </w:r>
    </w:p>
    <w:p w14:paraId="65B8C44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 均为同一家母公司直接或间接持股50％及以上的被投资公司。</w:t>
      </w:r>
    </w:p>
    <w:p w14:paraId="644D1119">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3.4 本项目不接受联合体形式投标。</w:t>
      </w:r>
    </w:p>
    <w:p w14:paraId="74DC294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投标代理人在同一个合同包中只能接受一个投标人的委托参加投标。</w:t>
      </w:r>
    </w:p>
    <w:p w14:paraId="0A7F979A">
      <w:pPr>
        <w:pStyle w:val="4"/>
        <w:keepNext w:val="0"/>
        <w:keepLines w:val="0"/>
        <w:spacing w:before="0" w:after="0" w:line="500" w:lineRule="exact"/>
        <w:ind w:firstLine="643" w:firstLineChars="200"/>
        <w:rPr>
          <w:rFonts w:ascii="仿宋" w:hAnsi="仿宋" w:eastAsia="仿宋"/>
          <w:color w:val="auto"/>
          <w:sz w:val="32"/>
          <w:highlight w:val="none"/>
        </w:rPr>
      </w:pPr>
      <w:bookmarkStart w:id="42" w:name="_Toc32715"/>
      <w:bookmarkStart w:id="43" w:name="_Toc17393"/>
      <w:bookmarkStart w:id="44" w:name="_Toc191892303"/>
      <w:bookmarkStart w:id="45" w:name="_Toc192925651"/>
      <w:r>
        <w:rPr>
          <w:rFonts w:hint="eastAsia" w:ascii="仿宋" w:hAnsi="仿宋" w:eastAsia="仿宋"/>
          <w:color w:val="auto"/>
          <w:sz w:val="32"/>
          <w:highlight w:val="none"/>
        </w:rPr>
        <w:t>4</w:t>
      </w:r>
      <w:r>
        <w:rPr>
          <w:rFonts w:ascii="仿宋" w:hAnsi="仿宋" w:eastAsia="仿宋"/>
          <w:color w:val="auto"/>
          <w:sz w:val="32"/>
          <w:highlight w:val="none"/>
        </w:rPr>
        <w:t>.</w:t>
      </w:r>
      <w:r>
        <w:rPr>
          <w:rFonts w:hint="eastAsia" w:ascii="仿宋" w:hAnsi="仿宋" w:eastAsia="仿宋"/>
          <w:color w:val="auto"/>
          <w:sz w:val="32"/>
          <w:highlight w:val="none"/>
        </w:rPr>
        <w:t xml:space="preserve"> 投标费用</w:t>
      </w:r>
      <w:bookmarkEnd w:id="42"/>
      <w:bookmarkEnd w:id="43"/>
      <w:bookmarkEnd w:id="44"/>
      <w:bookmarkEnd w:id="45"/>
    </w:p>
    <w:p w14:paraId="61E6605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投标人自行承担其参加投标所涉及的一切费用。</w:t>
      </w:r>
    </w:p>
    <w:p w14:paraId="6EBE3B84">
      <w:pPr>
        <w:spacing w:line="500" w:lineRule="exact"/>
        <w:rPr>
          <w:rFonts w:ascii="仿宋" w:hAnsi="仿宋" w:eastAsia="仿宋"/>
          <w:color w:val="auto"/>
          <w:sz w:val="32"/>
          <w:szCs w:val="32"/>
          <w:highlight w:val="none"/>
        </w:rPr>
      </w:pPr>
      <w:bookmarkStart w:id="46" w:name="_Toc191892304"/>
      <w:bookmarkStart w:id="47" w:name="_Toc192925652"/>
    </w:p>
    <w:p w14:paraId="6112C51E">
      <w:pPr>
        <w:pStyle w:val="3"/>
        <w:keepNext w:val="0"/>
        <w:keepLines w:val="0"/>
        <w:spacing w:before="0" w:after="0" w:line="500" w:lineRule="exact"/>
        <w:jc w:val="center"/>
        <w:rPr>
          <w:rFonts w:ascii="仿宋" w:hAnsi="仿宋" w:eastAsia="仿宋"/>
          <w:color w:val="auto"/>
          <w:sz w:val="32"/>
          <w:highlight w:val="none"/>
        </w:rPr>
      </w:pPr>
      <w:bookmarkStart w:id="48" w:name="_Toc3891"/>
      <w:bookmarkStart w:id="49" w:name="_Toc29074"/>
      <w:r>
        <w:rPr>
          <w:rFonts w:hint="eastAsia" w:ascii="仿宋" w:hAnsi="仿宋" w:eastAsia="仿宋"/>
          <w:color w:val="auto"/>
          <w:sz w:val="32"/>
          <w:highlight w:val="none"/>
        </w:rPr>
        <w:t>第二节  招标文件说明</w:t>
      </w:r>
      <w:bookmarkEnd w:id="46"/>
      <w:bookmarkEnd w:id="47"/>
      <w:bookmarkEnd w:id="48"/>
      <w:bookmarkEnd w:id="49"/>
    </w:p>
    <w:p w14:paraId="6DC4A061">
      <w:pPr>
        <w:pStyle w:val="4"/>
        <w:keepNext w:val="0"/>
        <w:keepLines w:val="0"/>
        <w:spacing w:before="0" w:after="0" w:line="500" w:lineRule="exact"/>
        <w:ind w:firstLine="643" w:firstLineChars="200"/>
        <w:rPr>
          <w:rFonts w:ascii="仿宋" w:hAnsi="仿宋" w:eastAsia="仿宋"/>
          <w:color w:val="auto"/>
          <w:sz w:val="32"/>
          <w:highlight w:val="none"/>
        </w:rPr>
      </w:pPr>
      <w:bookmarkStart w:id="50" w:name="_Toc22200"/>
      <w:bookmarkStart w:id="51" w:name="_Toc192925653"/>
      <w:bookmarkStart w:id="52" w:name="_Toc191892305"/>
      <w:bookmarkStart w:id="53" w:name="_Toc17999"/>
      <w:r>
        <w:rPr>
          <w:rFonts w:hint="eastAsia" w:ascii="仿宋" w:hAnsi="仿宋" w:eastAsia="仿宋"/>
          <w:color w:val="auto"/>
          <w:sz w:val="32"/>
          <w:highlight w:val="none"/>
        </w:rPr>
        <w:t>5</w:t>
      </w:r>
      <w:r>
        <w:rPr>
          <w:rFonts w:ascii="仿宋" w:hAnsi="仿宋" w:eastAsia="仿宋"/>
          <w:color w:val="auto"/>
          <w:sz w:val="32"/>
          <w:highlight w:val="none"/>
        </w:rPr>
        <w:t xml:space="preserve">. </w:t>
      </w:r>
      <w:r>
        <w:rPr>
          <w:rFonts w:hint="eastAsia" w:ascii="仿宋" w:hAnsi="仿宋" w:eastAsia="仿宋"/>
          <w:color w:val="auto"/>
          <w:sz w:val="32"/>
          <w:highlight w:val="none"/>
        </w:rPr>
        <w:t>招标文件的组成</w:t>
      </w:r>
      <w:bookmarkEnd w:id="50"/>
      <w:bookmarkEnd w:id="51"/>
      <w:bookmarkEnd w:id="52"/>
      <w:bookmarkEnd w:id="53"/>
    </w:p>
    <w:p w14:paraId="4C4D122C">
      <w:pPr>
        <w:ind w:firstLine="640" w:firstLineChars="200"/>
        <w:rPr>
          <w:rFonts w:ascii="仿宋" w:hAnsi="仿宋" w:eastAsia="仿宋"/>
          <w:b/>
          <w:color w:val="auto"/>
          <w:sz w:val="32"/>
          <w:highlight w:val="none"/>
        </w:rPr>
      </w:pPr>
      <w:bookmarkStart w:id="54" w:name="_Toc523325329"/>
      <w:bookmarkStart w:id="55" w:name="_Toc523325149"/>
      <w:r>
        <w:rPr>
          <w:rFonts w:hint="eastAsia" w:ascii="仿宋" w:hAnsi="仿宋" w:eastAsia="仿宋"/>
          <w:color w:val="auto"/>
          <w:sz w:val="32"/>
          <w:highlight w:val="none"/>
        </w:rPr>
        <w:t>5.1招标文件用以阐明所需货物及服务招标程序和合同主要条款。招标文件由下述主要部分组成：</w:t>
      </w:r>
      <w:bookmarkEnd w:id="54"/>
      <w:bookmarkEnd w:id="55"/>
    </w:p>
    <w:p w14:paraId="2262B60A">
      <w:pPr>
        <w:ind w:firstLine="640" w:firstLineChars="200"/>
        <w:rPr>
          <w:rFonts w:ascii="仿宋" w:hAnsi="仿宋" w:eastAsia="仿宋"/>
          <w:b/>
          <w:color w:val="auto"/>
          <w:sz w:val="32"/>
          <w:highlight w:val="none"/>
        </w:rPr>
      </w:pPr>
      <w:bookmarkStart w:id="56" w:name="_Toc523325330"/>
      <w:bookmarkStart w:id="57" w:name="_Toc523325150"/>
      <w:r>
        <w:rPr>
          <w:rFonts w:hint="eastAsia" w:ascii="仿宋" w:hAnsi="仿宋" w:eastAsia="仿宋"/>
          <w:color w:val="auto"/>
          <w:sz w:val="32"/>
          <w:highlight w:val="none"/>
        </w:rPr>
        <w:t xml:space="preserve">⑴ </w:t>
      </w:r>
      <w:bookmarkEnd w:id="56"/>
      <w:bookmarkEnd w:id="57"/>
      <w:r>
        <w:rPr>
          <w:rFonts w:hint="eastAsia" w:ascii="仿宋" w:hAnsi="仿宋" w:eastAsia="仿宋"/>
          <w:color w:val="auto"/>
          <w:sz w:val="32"/>
          <w:highlight w:val="none"/>
        </w:rPr>
        <w:t>招标公告</w:t>
      </w:r>
    </w:p>
    <w:p w14:paraId="1A580C1E">
      <w:pPr>
        <w:ind w:firstLine="640" w:firstLineChars="200"/>
        <w:rPr>
          <w:rFonts w:ascii="仿宋" w:hAnsi="仿宋" w:eastAsia="仿宋"/>
          <w:b/>
          <w:color w:val="auto"/>
          <w:sz w:val="32"/>
          <w:highlight w:val="none"/>
        </w:rPr>
      </w:pPr>
      <w:bookmarkStart w:id="58" w:name="_Toc523325151"/>
      <w:bookmarkStart w:id="59" w:name="_Toc523325331"/>
      <w:r>
        <w:rPr>
          <w:rFonts w:hint="eastAsia" w:ascii="仿宋" w:hAnsi="仿宋" w:eastAsia="仿宋"/>
          <w:color w:val="auto"/>
          <w:sz w:val="32"/>
          <w:highlight w:val="none"/>
        </w:rPr>
        <w:t>⑵ 投标人须知</w:t>
      </w:r>
      <w:bookmarkEnd w:id="58"/>
      <w:bookmarkEnd w:id="59"/>
    </w:p>
    <w:p w14:paraId="255F5B67">
      <w:pPr>
        <w:ind w:firstLine="640" w:firstLineChars="200"/>
        <w:rPr>
          <w:rFonts w:ascii="仿宋" w:hAnsi="仿宋" w:eastAsia="仿宋"/>
          <w:b/>
          <w:color w:val="auto"/>
          <w:sz w:val="32"/>
          <w:highlight w:val="none"/>
        </w:rPr>
      </w:pPr>
      <w:bookmarkStart w:id="60" w:name="_Toc523325152"/>
      <w:bookmarkStart w:id="61" w:name="_Toc523325332"/>
      <w:r>
        <w:rPr>
          <w:rFonts w:hint="eastAsia" w:ascii="仿宋" w:hAnsi="仿宋" w:eastAsia="仿宋"/>
          <w:color w:val="auto"/>
          <w:sz w:val="32"/>
          <w:highlight w:val="none"/>
        </w:rPr>
        <w:t>⑶ 招标内容及要求</w:t>
      </w:r>
      <w:bookmarkEnd w:id="60"/>
      <w:bookmarkEnd w:id="61"/>
    </w:p>
    <w:p w14:paraId="0E96568F">
      <w:pPr>
        <w:ind w:firstLine="640" w:firstLineChars="200"/>
        <w:rPr>
          <w:rFonts w:ascii="仿宋" w:hAnsi="仿宋" w:eastAsia="仿宋"/>
          <w:color w:val="auto"/>
          <w:sz w:val="32"/>
          <w:highlight w:val="none"/>
        </w:rPr>
      </w:pPr>
      <w:bookmarkStart w:id="62" w:name="_Toc523325333"/>
      <w:bookmarkStart w:id="63" w:name="_Toc523325153"/>
      <w:r>
        <w:rPr>
          <w:rFonts w:hint="eastAsia" w:ascii="仿宋" w:hAnsi="仿宋" w:eastAsia="仿宋"/>
          <w:color w:val="auto"/>
          <w:sz w:val="32"/>
          <w:highlight w:val="none"/>
        </w:rPr>
        <w:t>⑷ 投标文件格式</w:t>
      </w:r>
      <w:bookmarkEnd w:id="62"/>
      <w:bookmarkEnd w:id="63"/>
      <w:bookmarkStart w:id="64" w:name="_Toc430488851"/>
      <w:bookmarkStart w:id="65" w:name="_Toc191892306"/>
      <w:bookmarkStart w:id="66" w:name="_Toc192925654"/>
      <w:bookmarkStart w:id="67" w:name="_Toc430490612"/>
      <w:bookmarkStart w:id="68" w:name="_Toc430488644"/>
      <w:bookmarkStart w:id="69" w:name="_Toc430489119"/>
      <w:bookmarkStart w:id="70" w:name="_Toc430422413"/>
      <w:bookmarkStart w:id="71" w:name="_Toc415567497"/>
      <w:bookmarkStart w:id="72" w:name="_Toc430492126"/>
    </w:p>
    <w:p w14:paraId="6249ADD3">
      <w:pPr>
        <w:pStyle w:val="4"/>
        <w:keepNext w:val="0"/>
        <w:keepLines w:val="0"/>
        <w:spacing w:before="0" w:after="0" w:line="500" w:lineRule="exact"/>
        <w:ind w:firstLine="643" w:firstLineChars="200"/>
        <w:rPr>
          <w:rFonts w:ascii="仿宋" w:hAnsi="仿宋" w:eastAsia="仿宋"/>
          <w:color w:val="auto"/>
          <w:sz w:val="32"/>
          <w:highlight w:val="none"/>
        </w:rPr>
      </w:pPr>
      <w:bookmarkStart w:id="73" w:name="_Toc26820"/>
      <w:bookmarkStart w:id="74" w:name="_Toc25864"/>
      <w:bookmarkStart w:id="75" w:name="_Toc23474"/>
      <w:r>
        <w:rPr>
          <w:rFonts w:ascii="仿宋" w:hAnsi="仿宋" w:eastAsia="仿宋"/>
          <w:color w:val="auto"/>
          <w:sz w:val="32"/>
          <w:highlight w:val="none"/>
        </w:rPr>
        <w:t>6. 招标文件的澄清</w:t>
      </w:r>
      <w:bookmarkEnd w:id="73"/>
      <w:bookmarkEnd w:id="74"/>
      <w:bookmarkEnd w:id="75"/>
    </w:p>
    <w:bookmarkEnd w:id="64"/>
    <w:bookmarkEnd w:id="65"/>
    <w:bookmarkEnd w:id="66"/>
    <w:bookmarkEnd w:id="67"/>
    <w:bookmarkEnd w:id="68"/>
    <w:bookmarkEnd w:id="69"/>
    <w:bookmarkEnd w:id="70"/>
    <w:bookmarkEnd w:id="71"/>
    <w:bookmarkEnd w:id="72"/>
    <w:p w14:paraId="5D75E9F8">
      <w:pPr>
        <w:spacing w:line="500" w:lineRule="exact"/>
        <w:ind w:firstLine="640" w:firstLineChars="200"/>
        <w:rPr>
          <w:rFonts w:ascii="仿宋" w:hAnsi="仿宋" w:eastAsia="仿宋"/>
          <w:color w:val="auto"/>
          <w:sz w:val="32"/>
          <w:szCs w:val="32"/>
          <w:highlight w:val="none"/>
        </w:rPr>
      </w:pPr>
      <w:bookmarkStart w:id="76" w:name="_Toc523325155"/>
      <w:bookmarkStart w:id="77" w:name="_Toc523325335"/>
      <w:bookmarkStart w:id="78" w:name="_Toc192925656"/>
      <w:bookmarkStart w:id="79" w:name="_Toc191892308"/>
      <w:r>
        <w:rPr>
          <w:rFonts w:hint="eastAsia" w:ascii="仿宋" w:hAnsi="仿宋" w:eastAsia="仿宋"/>
          <w:color w:val="auto"/>
          <w:sz w:val="32"/>
          <w:szCs w:val="32"/>
          <w:highlight w:val="none"/>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如采用公开招标）。该澄清内容为招标文件的组成部分。</w:t>
      </w:r>
      <w:bookmarkEnd w:id="76"/>
      <w:bookmarkEnd w:id="77"/>
      <w:bookmarkStart w:id="80" w:name="_Toc415567498"/>
      <w:bookmarkStart w:id="81" w:name="_Toc430488852"/>
      <w:bookmarkStart w:id="82" w:name="_Toc430489120"/>
      <w:bookmarkStart w:id="83" w:name="_Toc191892307"/>
      <w:bookmarkStart w:id="84" w:name="_Toc430490613"/>
      <w:bookmarkStart w:id="85" w:name="_Toc192925655"/>
      <w:bookmarkStart w:id="86" w:name="_Toc430422414"/>
      <w:bookmarkStart w:id="87" w:name="_Toc430488645"/>
      <w:bookmarkStart w:id="88" w:name="_Toc430492127"/>
    </w:p>
    <w:p w14:paraId="203E6469">
      <w:pPr>
        <w:pStyle w:val="4"/>
        <w:keepNext w:val="0"/>
        <w:keepLines w:val="0"/>
        <w:spacing w:before="0" w:after="0" w:line="500" w:lineRule="exact"/>
        <w:ind w:firstLine="643" w:firstLineChars="200"/>
        <w:rPr>
          <w:rFonts w:ascii="仿宋" w:hAnsi="仿宋" w:eastAsia="仿宋"/>
          <w:color w:val="auto"/>
          <w:sz w:val="32"/>
          <w:highlight w:val="none"/>
        </w:rPr>
      </w:pPr>
      <w:bookmarkStart w:id="89" w:name="_Toc22311"/>
      <w:bookmarkStart w:id="90" w:name="_Toc12984"/>
      <w:bookmarkStart w:id="91" w:name="_Toc31038"/>
      <w:r>
        <w:rPr>
          <w:rFonts w:ascii="仿宋" w:hAnsi="仿宋" w:eastAsia="仿宋"/>
          <w:color w:val="auto"/>
          <w:sz w:val="32"/>
          <w:highlight w:val="none"/>
        </w:rPr>
        <w:t xml:space="preserve">7. </w:t>
      </w:r>
      <w:r>
        <w:rPr>
          <w:rFonts w:hint="eastAsia" w:ascii="仿宋" w:hAnsi="仿宋" w:eastAsia="仿宋"/>
          <w:color w:val="auto"/>
          <w:sz w:val="32"/>
          <w:highlight w:val="none"/>
        </w:rPr>
        <w:t>招标文件的修改</w:t>
      </w:r>
      <w:bookmarkEnd w:id="80"/>
      <w:bookmarkEnd w:id="81"/>
      <w:bookmarkEnd w:id="82"/>
      <w:bookmarkEnd w:id="83"/>
      <w:bookmarkEnd w:id="84"/>
      <w:bookmarkEnd w:id="85"/>
      <w:bookmarkEnd w:id="86"/>
      <w:bookmarkEnd w:id="87"/>
      <w:bookmarkEnd w:id="88"/>
      <w:bookmarkEnd w:id="89"/>
      <w:bookmarkEnd w:id="90"/>
      <w:bookmarkEnd w:id="91"/>
    </w:p>
    <w:p w14:paraId="266EDCA7">
      <w:pPr>
        <w:spacing w:line="500" w:lineRule="exact"/>
        <w:ind w:firstLine="640" w:firstLineChars="200"/>
        <w:rPr>
          <w:rFonts w:ascii="仿宋" w:hAnsi="仿宋" w:eastAsia="仿宋"/>
          <w:color w:val="auto"/>
          <w:sz w:val="32"/>
          <w:szCs w:val="32"/>
          <w:highlight w:val="none"/>
        </w:rPr>
      </w:pPr>
      <w:bookmarkStart w:id="92" w:name="_Toc523325337"/>
      <w:bookmarkStart w:id="93" w:name="_Toc523325157"/>
      <w:r>
        <w:rPr>
          <w:rFonts w:hint="eastAsia" w:ascii="仿宋" w:hAnsi="仿宋" w:eastAsia="仿宋"/>
          <w:color w:val="auto"/>
          <w:sz w:val="32"/>
          <w:szCs w:val="32"/>
          <w:highlight w:val="none"/>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92"/>
      <w:bookmarkEnd w:id="93"/>
    </w:p>
    <w:p w14:paraId="5DFCEDD5">
      <w:pPr>
        <w:spacing w:line="500" w:lineRule="exact"/>
        <w:ind w:firstLine="640" w:firstLineChars="200"/>
        <w:rPr>
          <w:rFonts w:ascii="仿宋" w:hAnsi="仿宋" w:eastAsia="仿宋"/>
          <w:color w:val="auto"/>
          <w:sz w:val="32"/>
          <w:szCs w:val="32"/>
          <w:highlight w:val="none"/>
        </w:rPr>
      </w:pPr>
      <w:bookmarkStart w:id="94" w:name="_Toc523325338"/>
      <w:bookmarkStart w:id="95" w:name="_Toc523325158"/>
      <w:r>
        <w:rPr>
          <w:rFonts w:hint="eastAsia" w:ascii="仿宋" w:hAnsi="仿宋" w:eastAsia="仿宋"/>
          <w:color w:val="auto"/>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94"/>
      <w:bookmarkEnd w:id="95"/>
    </w:p>
    <w:p w14:paraId="2F07131B">
      <w:pPr>
        <w:spacing w:line="500" w:lineRule="exact"/>
        <w:rPr>
          <w:rFonts w:ascii="仿宋" w:hAnsi="仿宋" w:eastAsia="仿宋"/>
          <w:color w:val="auto"/>
          <w:sz w:val="32"/>
          <w:szCs w:val="32"/>
          <w:highlight w:val="none"/>
        </w:rPr>
      </w:pPr>
    </w:p>
    <w:p w14:paraId="5D8FAB21">
      <w:pPr>
        <w:pStyle w:val="3"/>
        <w:keepNext w:val="0"/>
        <w:keepLines w:val="0"/>
        <w:spacing w:before="0" w:after="0" w:line="500" w:lineRule="exact"/>
        <w:jc w:val="center"/>
        <w:rPr>
          <w:rFonts w:ascii="仿宋" w:hAnsi="仿宋" w:eastAsia="仿宋"/>
          <w:color w:val="auto"/>
          <w:sz w:val="32"/>
          <w:highlight w:val="none"/>
        </w:rPr>
      </w:pPr>
      <w:bookmarkStart w:id="96" w:name="_Toc21977"/>
      <w:bookmarkStart w:id="97" w:name="_Toc26330"/>
      <w:r>
        <w:rPr>
          <w:rFonts w:hint="eastAsia" w:ascii="仿宋" w:hAnsi="仿宋" w:eastAsia="仿宋"/>
          <w:color w:val="auto"/>
          <w:sz w:val="32"/>
          <w:highlight w:val="none"/>
        </w:rPr>
        <w:t>第三节  投标文件的编写</w:t>
      </w:r>
      <w:bookmarkEnd w:id="78"/>
      <w:bookmarkEnd w:id="79"/>
      <w:bookmarkEnd w:id="96"/>
      <w:bookmarkEnd w:id="97"/>
    </w:p>
    <w:p w14:paraId="0482B058">
      <w:pPr>
        <w:pStyle w:val="4"/>
        <w:keepNext w:val="0"/>
        <w:keepLines w:val="0"/>
        <w:spacing w:before="0" w:after="0" w:line="500" w:lineRule="exact"/>
        <w:ind w:firstLine="643" w:firstLineChars="200"/>
        <w:rPr>
          <w:rFonts w:ascii="仿宋" w:hAnsi="仿宋" w:eastAsia="仿宋"/>
          <w:color w:val="auto"/>
          <w:sz w:val="32"/>
          <w:highlight w:val="none"/>
        </w:rPr>
      </w:pPr>
      <w:bookmarkStart w:id="98" w:name="_Toc192925657"/>
      <w:bookmarkStart w:id="99" w:name="_Toc25258"/>
      <w:bookmarkStart w:id="100" w:name="_Toc12349"/>
      <w:bookmarkStart w:id="101" w:name="_Toc191892309"/>
      <w:r>
        <w:rPr>
          <w:rFonts w:hint="eastAsia" w:ascii="仿宋" w:hAnsi="仿宋" w:eastAsia="仿宋"/>
          <w:color w:val="auto"/>
          <w:sz w:val="32"/>
          <w:highlight w:val="none"/>
        </w:rPr>
        <w:t>8</w:t>
      </w:r>
      <w:r>
        <w:rPr>
          <w:rFonts w:ascii="仿宋" w:hAnsi="仿宋" w:eastAsia="仿宋"/>
          <w:color w:val="auto"/>
          <w:sz w:val="32"/>
          <w:highlight w:val="none"/>
        </w:rPr>
        <w:t xml:space="preserve">. </w:t>
      </w:r>
      <w:r>
        <w:rPr>
          <w:rFonts w:hint="eastAsia" w:ascii="仿宋" w:hAnsi="仿宋" w:eastAsia="仿宋"/>
          <w:color w:val="auto"/>
          <w:sz w:val="32"/>
          <w:highlight w:val="none"/>
        </w:rPr>
        <w:t>要求</w:t>
      </w:r>
      <w:bookmarkEnd w:id="98"/>
      <w:bookmarkEnd w:id="99"/>
      <w:bookmarkEnd w:id="100"/>
      <w:bookmarkEnd w:id="101"/>
    </w:p>
    <w:p w14:paraId="0441F62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6C727DC5">
      <w:pPr>
        <w:tabs>
          <w:tab w:val="left" w:pos="900"/>
        </w:tabs>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8.2除非有另外的规定，投标人可对招标项目一览表所列的全部合同包或部分合同包进行投标。招标人不接受有任何可选择性的报价，每一种服务只能有一个报价。</w:t>
      </w:r>
    </w:p>
    <w:p w14:paraId="5B9DCECB">
      <w:pPr>
        <w:pStyle w:val="4"/>
        <w:keepNext w:val="0"/>
        <w:keepLines w:val="0"/>
        <w:spacing w:before="0" w:after="0" w:line="500" w:lineRule="exact"/>
        <w:ind w:firstLine="643" w:firstLineChars="200"/>
        <w:rPr>
          <w:rFonts w:ascii="仿宋" w:hAnsi="仿宋" w:eastAsia="仿宋"/>
          <w:color w:val="auto"/>
          <w:sz w:val="32"/>
          <w:highlight w:val="none"/>
        </w:rPr>
      </w:pPr>
      <w:bookmarkStart w:id="102" w:name="_Toc191892310"/>
      <w:bookmarkStart w:id="103" w:name="_Toc31749"/>
      <w:bookmarkStart w:id="104" w:name="_Toc23713"/>
      <w:bookmarkStart w:id="105" w:name="_Toc192925658"/>
      <w:r>
        <w:rPr>
          <w:rFonts w:hint="eastAsia" w:ascii="仿宋" w:hAnsi="仿宋" w:eastAsia="仿宋"/>
          <w:color w:val="auto"/>
          <w:sz w:val="32"/>
          <w:highlight w:val="none"/>
        </w:rPr>
        <w:t>9</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投标文件语言</w:t>
      </w:r>
      <w:bookmarkEnd w:id="102"/>
      <w:bookmarkEnd w:id="103"/>
      <w:bookmarkEnd w:id="104"/>
      <w:bookmarkEnd w:id="105"/>
    </w:p>
    <w:p w14:paraId="34DA460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9.1投标文件应用中文书写。投标文件中所附或所引用的原件不是中文时，应附中文译本。各种计量单位及符号应采用国际上统一使用的公制计量单位和符号。</w:t>
      </w:r>
    </w:p>
    <w:p w14:paraId="01FA19F9">
      <w:pPr>
        <w:pStyle w:val="4"/>
        <w:keepNext w:val="0"/>
        <w:keepLines w:val="0"/>
        <w:spacing w:before="0" w:after="0" w:line="500" w:lineRule="exact"/>
        <w:ind w:firstLine="643" w:firstLineChars="200"/>
        <w:rPr>
          <w:rFonts w:ascii="仿宋" w:hAnsi="仿宋" w:eastAsia="仿宋"/>
          <w:color w:val="auto"/>
          <w:sz w:val="32"/>
          <w:highlight w:val="none"/>
        </w:rPr>
      </w:pPr>
      <w:bookmarkStart w:id="106" w:name="_Toc192925659"/>
      <w:bookmarkStart w:id="107" w:name="_Toc18753"/>
      <w:bookmarkStart w:id="108" w:name="_Toc191892311"/>
      <w:bookmarkStart w:id="109" w:name="_Toc16437"/>
      <w:r>
        <w:rPr>
          <w:rFonts w:hint="eastAsia" w:ascii="仿宋" w:hAnsi="仿宋" w:eastAsia="仿宋"/>
          <w:color w:val="auto"/>
          <w:sz w:val="32"/>
          <w:highlight w:val="none"/>
        </w:rPr>
        <w:t>10</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投标文件的组成</w:t>
      </w:r>
      <w:bookmarkEnd w:id="106"/>
      <w:bookmarkEnd w:id="107"/>
      <w:bookmarkEnd w:id="108"/>
      <w:bookmarkEnd w:id="109"/>
    </w:p>
    <w:p w14:paraId="4B8CF5F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10.1</w:t>
      </w:r>
      <w:r>
        <w:rPr>
          <w:rFonts w:hint="eastAsia" w:ascii="仿宋" w:hAnsi="仿宋" w:eastAsia="仿宋"/>
          <w:color w:val="auto"/>
          <w:sz w:val="32"/>
          <w:szCs w:val="32"/>
          <w:highlight w:val="none"/>
        </w:rPr>
        <w:t>投标文件应包括</w:t>
      </w:r>
      <w:r>
        <w:rPr>
          <w:rFonts w:hint="eastAsia" w:ascii="仿宋" w:hAnsi="仿宋" w:eastAsia="仿宋"/>
          <w:color w:val="auto"/>
          <w:sz w:val="32"/>
          <w:szCs w:val="32"/>
          <w:highlight w:val="none"/>
          <w:lang w:val="en-US" w:eastAsia="zh-CN"/>
        </w:rPr>
        <w:t>但不限于</w:t>
      </w:r>
      <w:r>
        <w:rPr>
          <w:rFonts w:hint="eastAsia" w:ascii="仿宋" w:hAnsi="仿宋" w:eastAsia="仿宋"/>
          <w:color w:val="auto"/>
          <w:sz w:val="32"/>
          <w:szCs w:val="32"/>
          <w:highlight w:val="none"/>
        </w:rPr>
        <w:t>下列部分：</w:t>
      </w:r>
    </w:p>
    <w:p w14:paraId="45218323">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1）投标书</w:t>
      </w:r>
    </w:p>
    <w:p w14:paraId="06D8B891">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1C4A05FA">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服务偏离表</w:t>
      </w:r>
    </w:p>
    <w:p w14:paraId="4800E665">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4CF8F558">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4FA1537C">
      <w:pPr>
        <w:pStyle w:val="8"/>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投标人在投标截止时间前仍在服务期限内的餐饮服务及相关证明材料（如合同等）</w:t>
      </w:r>
    </w:p>
    <w:p w14:paraId="034ED5D1">
      <w:pPr>
        <w:pStyle w:val="8"/>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2021年1月1日以来在福建合作写字楼食堂项目（只限承包制）或对外经营的餐饮门店及相关证明材料（如合同等）</w:t>
      </w:r>
    </w:p>
    <w:p w14:paraId="2BEE51D3">
      <w:pPr>
        <w:pStyle w:val="8"/>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8</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食材供应方式</w:t>
      </w:r>
    </w:p>
    <w:p w14:paraId="2F1F92A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9</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食品卫生安全、供应商管理</w:t>
      </w:r>
    </w:p>
    <w:p w14:paraId="6536BD0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10</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经营管理方案</w:t>
      </w:r>
    </w:p>
    <w:p w14:paraId="48CF2F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突发事故的处理预案</w:t>
      </w:r>
    </w:p>
    <w:p w14:paraId="11A9071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12</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承诺书</w:t>
      </w:r>
    </w:p>
    <w:p w14:paraId="244ABAA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13</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人员配备情况</w:t>
      </w:r>
    </w:p>
    <w:p w14:paraId="0F9344C4">
      <w:pPr>
        <w:pStyle w:val="8"/>
        <w:rPr>
          <w:rFonts w:eastAsia="仿宋"/>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14</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拟提供菜单</w:t>
      </w:r>
    </w:p>
    <w:p w14:paraId="52A91C5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投标人认为必要的其他资料</w:t>
      </w:r>
    </w:p>
    <w:p w14:paraId="13FA9EFF">
      <w:pPr>
        <w:pStyle w:val="8"/>
        <w:ind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16</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投标保证金</w:t>
      </w:r>
    </w:p>
    <w:p w14:paraId="34E6AA1B">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投标人所作的一切有效补充、修改文件，均被视为投标文件不可分割的部分。</w:t>
      </w:r>
    </w:p>
    <w:p w14:paraId="32E217D6">
      <w:pPr>
        <w:pStyle w:val="4"/>
        <w:keepNext w:val="0"/>
        <w:keepLines w:val="0"/>
        <w:spacing w:before="0" w:after="0" w:line="500" w:lineRule="exact"/>
        <w:ind w:firstLine="643" w:firstLineChars="200"/>
        <w:rPr>
          <w:rFonts w:ascii="仿宋" w:hAnsi="仿宋" w:eastAsia="仿宋"/>
          <w:color w:val="auto"/>
          <w:sz w:val="32"/>
          <w:highlight w:val="none"/>
        </w:rPr>
      </w:pPr>
      <w:bookmarkStart w:id="110" w:name="_Toc191892312"/>
      <w:bookmarkStart w:id="111" w:name="_Toc18667"/>
      <w:bookmarkStart w:id="112" w:name="_Toc192925660"/>
      <w:bookmarkStart w:id="113" w:name="_Toc5786"/>
      <w:r>
        <w:rPr>
          <w:rFonts w:hint="eastAsia" w:ascii="仿宋" w:hAnsi="仿宋" w:eastAsia="仿宋"/>
          <w:color w:val="auto"/>
          <w:sz w:val="32"/>
          <w:highlight w:val="none"/>
        </w:rPr>
        <w:t>11</w:t>
      </w:r>
      <w:r>
        <w:rPr>
          <w:rFonts w:ascii="仿宋" w:hAnsi="仿宋" w:eastAsia="仿宋"/>
          <w:color w:val="auto"/>
          <w:sz w:val="32"/>
          <w:highlight w:val="none"/>
        </w:rPr>
        <w:t xml:space="preserve">. </w:t>
      </w:r>
      <w:r>
        <w:rPr>
          <w:rFonts w:hint="eastAsia" w:ascii="仿宋" w:hAnsi="仿宋" w:eastAsia="仿宋"/>
          <w:color w:val="auto"/>
          <w:sz w:val="32"/>
          <w:highlight w:val="none"/>
        </w:rPr>
        <w:t>投标有效期</w:t>
      </w:r>
      <w:bookmarkEnd w:id="110"/>
      <w:bookmarkEnd w:id="111"/>
      <w:bookmarkEnd w:id="112"/>
      <w:bookmarkEnd w:id="113"/>
    </w:p>
    <w:p w14:paraId="4DA414A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11.1投标文件从“</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所规定的投标截止期之后开始生效，在“</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所规定的期限内保持有效。有效期不足将导致其投标文件被拒绝。</w:t>
      </w:r>
    </w:p>
    <w:p w14:paraId="5744754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5335AAF5">
      <w:pPr>
        <w:pStyle w:val="4"/>
        <w:keepNext w:val="0"/>
        <w:keepLines w:val="0"/>
        <w:spacing w:before="0" w:after="0" w:line="500" w:lineRule="exact"/>
        <w:ind w:firstLine="643" w:firstLineChars="200"/>
        <w:rPr>
          <w:rFonts w:ascii="仿宋" w:hAnsi="仿宋" w:eastAsia="仿宋"/>
          <w:color w:val="auto"/>
          <w:sz w:val="32"/>
          <w:highlight w:val="none"/>
        </w:rPr>
      </w:pPr>
      <w:bookmarkStart w:id="114" w:name="_Toc192925661"/>
      <w:bookmarkStart w:id="115" w:name="_Toc191892313"/>
      <w:bookmarkStart w:id="116" w:name="_Toc19604"/>
      <w:bookmarkStart w:id="117" w:name="_Toc2919"/>
      <w:r>
        <w:rPr>
          <w:rFonts w:hint="eastAsia" w:ascii="仿宋" w:hAnsi="仿宋" w:eastAsia="仿宋"/>
          <w:color w:val="auto"/>
          <w:sz w:val="32"/>
          <w:highlight w:val="none"/>
        </w:rPr>
        <w:t>12. 投标保证金</w:t>
      </w:r>
      <w:bookmarkEnd w:id="114"/>
      <w:bookmarkEnd w:id="115"/>
      <w:bookmarkEnd w:id="116"/>
      <w:bookmarkEnd w:id="117"/>
    </w:p>
    <w:p w14:paraId="79BA233B">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12.1 投标保证金</w:t>
      </w:r>
    </w:p>
    <w:p w14:paraId="275071C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12.1.1投标保证金为投标文件的组成部分之一。</w:t>
      </w:r>
    </w:p>
    <w:p w14:paraId="5FEDF5F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12.1.2 投标人应在提交投标文件之前，向招标人缴交“投标人须知前附表”要求的投标保证金。</w:t>
      </w:r>
    </w:p>
    <w:p w14:paraId="1A0700C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12.1.3 投标保证金用于保护本次招标活动免受投标人的行为而引起的风险。</w:t>
      </w:r>
    </w:p>
    <w:p w14:paraId="10B5C18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12.1.4 投标保证金以转账或电汇形式提交，必须于投标截止时间前到账。</w:t>
      </w:r>
    </w:p>
    <w:p w14:paraId="7017A26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12.1.5 未按规定缴交投标保证金的投标，将被视为无效投标。</w:t>
      </w:r>
    </w:p>
    <w:p w14:paraId="4DF5F1A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12.1.6中标通知书发出后，招标人</w:t>
      </w:r>
      <w:r>
        <w:rPr>
          <w:rFonts w:ascii="仿宋" w:hAnsi="仿宋" w:eastAsia="仿宋"/>
          <w:color w:val="auto"/>
          <w:sz w:val="32"/>
          <w:szCs w:val="32"/>
          <w:highlight w:val="none"/>
        </w:rPr>
        <w:t>将</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个工作日内予以原额无息退还未中标人的投标保证金。</w:t>
      </w:r>
    </w:p>
    <w:p w14:paraId="40648DC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12.1.7 发生</w:t>
      </w:r>
      <w:r>
        <w:rPr>
          <w:rFonts w:hint="eastAsia" w:ascii="仿宋" w:hAnsi="仿宋" w:eastAsia="仿宋"/>
          <w:b/>
          <w:color w:val="auto"/>
          <w:sz w:val="32"/>
          <w:szCs w:val="32"/>
          <w:highlight w:val="none"/>
        </w:rPr>
        <w:t>以下情况之一</w:t>
      </w:r>
      <w:r>
        <w:rPr>
          <w:rFonts w:hint="eastAsia" w:ascii="仿宋" w:hAnsi="仿宋" w:eastAsia="仿宋"/>
          <w:color w:val="auto"/>
          <w:sz w:val="32"/>
          <w:szCs w:val="32"/>
          <w:highlight w:val="none"/>
        </w:rPr>
        <w:t>的，投标保证金将</w:t>
      </w:r>
      <w:r>
        <w:rPr>
          <w:rFonts w:hint="eastAsia" w:ascii="仿宋" w:hAnsi="仿宋" w:eastAsia="仿宋"/>
          <w:b/>
          <w:color w:val="auto"/>
          <w:sz w:val="32"/>
          <w:szCs w:val="32"/>
          <w:highlight w:val="none"/>
        </w:rPr>
        <w:t>不予退还</w:t>
      </w:r>
      <w:r>
        <w:rPr>
          <w:rFonts w:hint="eastAsia" w:ascii="仿宋" w:hAnsi="仿宋" w:eastAsia="仿宋"/>
          <w:color w:val="auto"/>
          <w:sz w:val="32"/>
          <w:szCs w:val="32"/>
          <w:highlight w:val="none"/>
        </w:rPr>
        <w:t>：</w:t>
      </w:r>
    </w:p>
    <w:p w14:paraId="0C02800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⑴ 投标人在投标截止期后，投标有效期内撤回投标；</w:t>
      </w:r>
    </w:p>
    <w:p w14:paraId="5CF6344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⑵ 中标人未能做到按本须知第22条规定签订合同；</w:t>
      </w:r>
    </w:p>
    <w:p w14:paraId="3EDD96D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⑶</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中标人未按本招标文件规定提交银行履约保函或履约保证金的；</w:t>
      </w:r>
    </w:p>
    <w:p w14:paraId="72051B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⑷ 以他人名义投标或者以其他方式弄虚作假，骗取中标；</w:t>
      </w:r>
    </w:p>
    <w:p w14:paraId="0787C47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⑸ 本招标文件中规定的其他没收投标保证金的情形。</w:t>
      </w:r>
    </w:p>
    <w:p w14:paraId="48EF485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上述不予退还投标保证金的情况，如给招标人造成损失的，投标人还应承担赔偿责任。</w:t>
      </w:r>
    </w:p>
    <w:p w14:paraId="39F22BE5">
      <w:pPr>
        <w:pStyle w:val="4"/>
        <w:keepNext w:val="0"/>
        <w:keepLines w:val="0"/>
        <w:spacing w:before="0" w:after="0" w:line="500" w:lineRule="exact"/>
        <w:ind w:firstLine="643" w:firstLineChars="200"/>
        <w:rPr>
          <w:rFonts w:ascii="仿宋" w:hAnsi="仿宋" w:eastAsia="仿宋"/>
          <w:color w:val="auto"/>
          <w:sz w:val="32"/>
          <w:highlight w:val="none"/>
        </w:rPr>
      </w:pPr>
      <w:bookmarkStart w:id="118" w:name="_Toc191892314"/>
      <w:bookmarkStart w:id="119" w:name="_Toc2379"/>
      <w:bookmarkStart w:id="120" w:name="_Toc22784"/>
      <w:bookmarkStart w:id="121" w:name="_Toc192925662"/>
      <w:r>
        <w:rPr>
          <w:rFonts w:hint="eastAsia" w:ascii="仿宋" w:hAnsi="仿宋" w:eastAsia="仿宋"/>
          <w:color w:val="auto"/>
          <w:sz w:val="32"/>
          <w:highlight w:val="none"/>
        </w:rPr>
        <w:t>13</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投标文件的格式</w:t>
      </w:r>
      <w:bookmarkEnd w:id="118"/>
      <w:bookmarkEnd w:id="119"/>
      <w:bookmarkEnd w:id="120"/>
      <w:bookmarkEnd w:id="121"/>
    </w:p>
    <w:p w14:paraId="234CE2DA">
      <w:pPr>
        <w:spacing w:line="500" w:lineRule="exact"/>
        <w:ind w:firstLine="640" w:firstLineChars="200"/>
        <w:rPr>
          <w:rFonts w:ascii="仿宋" w:hAnsi="仿宋" w:eastAsia="仿宋"/>
          <w:b/>
          <w:bCs/>
          <w:color w:val="auto"/>
          <w:sz w:val="32"/>
          <w:szCs w:val="32"/>
          <w:highlight w:val="none"/>
        </w:rPr>
      </w:pPr>
      <w:r>
        <w:rPr>
          <w:rFonts w:hint="eastAsia" w:ascii="仿宋" w:hAnsi="仿宋" w:eastAsia="仿宋"/>
          <w:color w:val="auto"/>
          <w:sz w:val="32"/>
          <w:szCs w:val="32"/>
          <w:highlight w:val="none"/>
        </w:rPr>
        <w:t>13.1投标人须按照本招标文件规定，编制</w:t>
      </w:r>
      <w:r>
        <w:rPr>
          <w:rFonts w:hint="eastAsia" w:ascii="仿宋" w:hAnsi="仿宋" w:eastAsia="仿宋" w:cs="Times New Roman"/>
          <w:color w:val="auto"/>
          <w:sz w:val="32"/>
          <w:szCs w:val="32"/>
          <w:highlight w:val="none"/>
        </w:rPr>
        <w:t>投标文件的</w:t>
      </w:r>
      <w:r>
        <w:rPr>
          <w:rFonts w:hint="eastAsia" w:ascii="仿宋" w:hAnsi="仿宋" w:eastAsia="仿宋" w:cs="Times New Roman"/>
          <w:b/>
          <w:bCs/>
          <w:color w:val="auto"/>
          <w:sz w:val="32"/>
          <w:szCs w:val="32"/>
          <w:highlight w:val="none"/>
        </w:rPr>
        <w:t>正本一份，副本一份</w:t>
      </w:r>
      <w:r>
        <w:rPr>
          <w:rFonts w:hint="eastAsia" w:ascii="仿宋" w:hAnsi="仿宋" w:eastAsia="仿宋" w:cs="Times New Roman"/>
          <w:b/>
          <w:bCs/>
          <w:color w:val="auto"/>
          <w:sz w:val="32"/>
          <w:szCs w:val="32"/>
          <w:highlight w:val="none"/>
          <w:lang w:val="en-US" w:eastAsia="zh-CN"/>
        </w:rPr>
        <w:t>,</w:t>
      </w:r>
      <w:r>
        <w:rPr>
          <w:rFonts w:hint="eastAsia" w:ascii="仿宋" w:hAnsi="仿宋" w:eastAsia="仿宋" w:cs="Times New Roman"/>
          <w:b/>
          <w:bCs/>
          <w:color w:val="auto"/>
          <w:sz w:val="32"/>
          <w:szCs w:val="32"/>
          <w:highlight w:val="none"/>
        </w:rPr>
        <w:t>电子版一份</w:t>
      </w:r>
      <w:r>
        <w:rPr>
          <w:rFonts w:hint="eastAsia" w:ascii="仿宋" w:hAnsi="仿宋" w:eastAsia="仿宋" w:cs="Times New Roman"/>
          <w:b/>
          <w:bCs/>
          <w:color w:val="auto"/>
          <w:sz w:val="32"/>
          <w:szCs w:val="32"/>
          <w:highlight w:val="none"/>
          <w:lang w:val="en-US" w:eastAsia="zh-CN"/>
        </w:rPr>
        <w:t>(通过U盘介质提交）</w:t>
      </w:r>
      <w:r>
        <w:rPr>
          <w:rFonts w:hint="eastAsia" w:ascii="仿宋" w:hAnsi="仿宋" w:eastAsia="仿宋" w:cs="Times New Roman"/>
          <w:b/>
          <w:bCs/>
          <w:color w:val="auto"/>
          <w:sz w:val="32"/>
          <w:szCs w:val="32"/>
          <w:highlight w:val="none"/>
          <w:lang w:eastAsia="zh-CN"/>
        </w:rPr>
        <w:t>。</w:t>
      </w:r>
      <w:r>
        <w:rPr>
          <w:rFonts w:hint="eastAsia" w:ascii="仿宋" w:hAnsi="仿宋" w:eastAsia="仿宋" w:cs="Times New Roman"/>
          <w:b/>
          <w:bCs/>
          <w:color w:val="auto"/>
          <w:sz w:val="32"/>
          <w:szCs w:val="32"/>
          <w:highlight w:val="none"/>
        </w:rPr>
        <w:t>正</w:t>
      </w:r>
      <w:r>
        <w:rPr>
          <w:rFonts w:hint="eastAsia" w:ascii="仿宋" w:hAnsi="仿宋" w:eastAsia="仿宋"/>
          <w:b/>
          <w:bCs/>
          <w:color w:val="auto"/>
          <w:sz w:val="32"/>
          <w:szCs w:val="32"/>
          <w:highlight w:val="none"/>
        </w:rPr>
        <w:t>本必须用A4幅面纸张打印装订，副本可用正本的完整复印件，电子版应为加盖公章的投标文件正本原件扫描件</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并在封面标明“正本”、“副本”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字样。正本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如有不一致，则以正本为准。</w:t>
      </w:r>
    </w:p>
    <w:p w14:paraId="44520D6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13.2投标文件应由投标人的法定代表人或者其授权代表签字并加盖公章，如由后者签字，应提供“法定代表人授权委托书”。</w:t>
      </w:r>
    </w:p>
    <w:p w14:paraId="0FADE35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13.3 除非有另外的规定或许可外，投标使用货币均为人民币。</w:t>
      </w:r>
    </w:p>
    <w:p w14:paraId="4A02035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13.4投标人应提交证明其拟供货物符合招标文件要求的技术响应文件，该文件可以是文字资料、图纸和数据，并须提供货物主要技术性能的详细描述。</w:t>
      </w:r>
    </w:p>
    <w:p w14:paraId="6A704912">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 xml:space="preserve">.5 </w:t>
      </w:r>
      <w:r>
        <w:rPr>
          <w:rFonts w:hint="eastAsia" w:ascii="仿宋" w:hAnsi="仿宋" w:eastAsia="仿宋"/>
          <w:color w:val="auto"/>
          <w:sz w:val="32"/>
          <w:szCs w:val="32"/>
          <w:highlight w:val="none"/>
        </w:rPr>
        <w:t>投标文件的正本和全部副本均应使用不能擦去的墨料或墨水打印、书写或复印，并由法定代表人或其授权代表签署，盖投标人公章。</w:t>
      </w:r>
    </w:p>
    <w:p w14:paraId="316E6A8E">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.6</w:t>
      </w:r>
      <w:r>
        <w:rPr>
          <w:rFonts w:hint="eastAsia" w:ascii="仿宋" w:hAnsi="仿宋" w:eastAsia="仿宋"/>
          <w:color w:val="auto"/>
          <w:sz w:val="32"/>
          <w:szCs w:val="32"/>
          <w:highlight w:val="none"/>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1FB0CB5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13.7未按本招标文件规定的格式填写投标文件或投标文件字迹模糊不清的投标可能导致不利于投标人的评标结果。</w:t>
      </w:r>
    </w:p>
    <w:p w14:paraId="052C3A6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13.8 所有资格证明文件复印件，须加盖投标人公章。</w:t>
      </w:r>
    </w:p>
    <w:p w14:paraId="47751D19">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13.9 投标人应将投标文件按顺序装订成册、打印页码，并编列目录、资料清单，由于装订不规范或编排顺序混乱而导致投标文件被误读或漏读，投标人自行承担后果。</w:t>
      </w:r>
    </w:p>
    <w:p w14:paraId="7E41F7AC">
      <w:pPr>
        <w:spacing w:line="500" w:lineRule="exact"/>
        <w:ind w:firstLine="640" w:firstLineChars="200"/>
        <w:rPr>
          <w:rFonts w:hint="eastAsia" w:ascii="仿宋" w:hAnsi="仿宋" w:eastAsia="仿宋"/>
          <w:color w:val="auto"/>
          <w:sz w:val="32"/>
          <w:szCs w:val="32"/>
          <w:highlight w:val="none"/>
        </w:rPr>
      </w:pPr>
    </w:p>
    <w:p w14:paraId="7B4BF716">
      <w:pPr>
        <w:pStyle w:val="3"/>
        <w:keepNext w:val="0"/>
        <w:keepLines w:val="0"/>
        <w:spacing w:before="0" w:after="0" w:line="500" w:lineRule="exact"/>
        <w:jc w:val="center"/>
        <w:rPr>
          <w:rFonts w:ascii="仿宋" w:hAnsi="仿宋" w:eastAsia="仿宋"/>
          <w:color w:val="auto"/>
          <w:sz w:val="32"/>
          <w:highlight w:val="none"/>
        </w:rPr>
      </w:pPr>
      <w:bookmarkStart w:id="122" w:name="_Toc191892315"/>
      <w:bookmarkStart w:id="123" w:name="_Toc192925663"/>
      <w:bookmarkStart w:id="124" w:name="_Toc20319"/>
      <w:bookmarkStart w:id="125" w:name="_Toc28165"/>
      <w:r>
        <w:rPr>
          <w:rFonts w:hint="eastAsia" w:ascii="仿宋" w:hAnsi="仿宋" w:eastAsia="仿宋"/>
          <w:color w:val="auto"/>
          <w:sz w:val="32"/>
          <w:highlight w:val="none"/>
        </w:rPr>
        <w:t>第四节  投标文件的提交</w:t>
      </w:r>
      <w:bookmarkEnd w:id="122"/>
      <w:bookmarkEnd w:id="123"/>
      <w:bookmarkEnd w:id="124"/>
      <w:bookmarkEnd w:id="125"/>
    </w:p>
    <w:p w14:paraId="43347A9F">
      <w:pPr>
        <w:pStyle w:val="4"/>
        <w:keepNext w:val="0"/>
        <w:keepLines w:val="0"/>
        <w:spacing w:before="0" w:after="0" w:line="500" w:lineRule="exact"/>
        <w:ind w:firstLine="643" w:firstLineChars="200"/>
        <w:rPr>
          <w:rFonts w:ascii="仿宋" w:hAnsi="仿宋" w:eastAsia="仿宋"/>
          <w:color w:val="auto"/>
          <w:sz w:val="32"/>
          <w:highlight w:val="none"/>
        </w:rPr>
      </w:pPr>
      <w:bookmarkStart w:id="126" w:name="_Toc25931"/>
      <w:bookmarkStart w:id="127" w:name="_Toc191892316"/>
      <w:bookmarkStart w:id="128" w:name="_Toc192925664"/>
      <w:bookmarkStart w:id="129" w:name="_Toc22870"/>
      <w:r>
        <w:rPr>
          <w:rFonts w:hint="eastAsia" w:ascii="仿宋" w:hAnsi="仿宋" w:eastAsia="仿宋"/>
          <w:color w:val="auto"/>
          <w:sz w:val="32"/>
          <w:highlight w:val="none"/>
        </w:rPr>
        <w:t>14. 投标文件的密封、标记和递交</w:t>
      </w:r>
      <w:bookmarkEnd w:id="126"/>
      <w:bookmarkEnd w:id="127"/>
      <w:bookmarkEnd w:id="128"/>
      <w:bookmarkEnd w:id="129"/>
    </w:p>
    <w:p w14:paraId="430B349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14.1 投标人应将</w:t>
      </w:r>
      <w:r>
        <w:rPr>
          <w:rFonts w:hint="eastAsia" w:ascii="仿宋" w:hAnsi="仿宋" w:eastAsia="仿宋"/>
          <w:b/>
          <w:bCs/>
          <w:color w:val="auto"/>
          <w:sz w:val="32"/>
          <w:szCs w:val="32"/>
          <w:highlight w:val="none"/>
        </w:rPr>
        <w:t>投标文件正本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分别用信封密封</w:t>
      </w:r>
      <w:r>
        <w:rPr>
          <w:rFonts w:hint="eastAsia" w:ascii="仿宋" w:hAnsi="仿宋" w:eastAsia="仿宋"/>
          <w:color w:val="auto"/>
          <w:sz w:val="32"/>
          <w:szCs w:val="32"/>
          <w:highlight w:val="none"/>
        </w:rPr>
        <w:t>，并标明招标编号、招标项目名称、投标人名称等及“正本”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电子版”</w:t>
      </w:r>
      <w:r>
        <w:rPr>
          <w:rFonts w:hint="eastAsia" w:ascii="仿宋" w:hAnsi="仿宋" w:eastAsia="仿宋"/>
          <w:color w:val="auto"/>
          <w:sz w:val="32"/>
          <w:szCs w:val="32"/>
          <w:highlight w:val="none"/>
        </w:rPr>
        <w:t>字样。投标文件未密封将导致其投标被拒绝。</w:t>
      </w:r>
    </w:p>
    <w:p w14:paraId="2D515D2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14.2 </w:t>
      </w:r>
      <w:r>
        <w:rPr>
          <w:rFonts w:hint="eastAsia" w:ascii="仿宋" w:hAnsi="仿宋" w:eastAsia="仿宋"/>
          <w:b/>
          <w:bCs/>
          <w:color w:val="auto"/>
          <w:sz w:val="32"/>
          <w:szCs w:val="32"/>
          <w:highlight w:val="none"/>
        </w:rPr>
        <w:t>每一信封密封处应加盖投标人公章或由授权代表签字。</w:t>
      </w:r>
    </w:p>
    <w:p w14:paraId="5E96A1D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14.3投标人应将投标文件按照本须知第14.1条至第14.2条的规定进行密封和标记，按“投标人须知前附表”注明的地址和时间派专人送达接收人。</w:t>
      </w:r>
    </w:p>
    <w:p w14:paraId="76C1DA4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14.4如果未按上述规定进行密封和标记，招标人将不承担由此造成的对投标文件的误投或提前拆封的责任。</w:t>
      </w:r>
    </w:p>
    <w:p w14:paraId="7020436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14.5投标文件应在投标邀请中规定的截止时间前送达，迟到的投标文件为无效投标文件, 将被拒收。</w:t>
      </w:r>
    </w:p>
    <w:p w14:paraId="4C29EE5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14.6投标人在投标截止时间之前，允许对所提交的投标文件进行修改或者撤回，并书面通知招标人。修改的内容和撤回通知应当按本须知要求签署、盖章、密封，并作为投标文件的组成部分。</w:t>
      </w:r>
    </w:p>
    <w:p w14:paraId="06DFEA7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14.7投标人在投标截止时间后不得修改、撤回投标文件。投标人在投标截止时间后修改投标文件的，其投标将被拒绝。</w:t>
      </w:r>
    </w:p>
    <w:p w14:paraId="1614328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14.8投标截止时间结束后，参加投标的投标人不足三家的，本次招标程序终止。除采购任务取消情形外，招标人将依法重新组织招标或者采取竞争性谈判等其他方式采购。</w:t>
      </w:r>
      <w:bookmarkStart w:id="130" w:name="_Toc191892317"/>
      <w:bookmarkStart w:id="131" w:name="_Toc192925665"/>
    </w:p>
    <w:p w14:paraId="1BCE9E1A">
      <w:pPr>
        <w:spacing w:line="500" w:lineRule="exact"/>
        <w:ind w:firstLine="640" w:firstLineChars="200"/>
        <w:rPr>
          <w:rFonts w:ascii="仿宋" w:hAnsi="仿宋" w:eastAsia="仿宋"/>
          <w:color w:val="auto"/>
          <w:sz w:val="32"/>
          <w:szCs w:val="32"/>
          <w:highlight w:val="none"/>
        </w:rPr>
      </w:pPr>
    </w:p>
    <w:p w14:paraId="37DD4706">
      <w:pPr>
        <w:pStyle w:val="3"/>
        <w:keepNext w:val="0"/>
        <w:keepLines w:val="0"/>
        <w:spacing w:before="0" w:after="0" w:line="500" w:lineRule="exact"/>
        <w:jc w:val="center"/>
        <w:rPr>
          <w:rFonts w:ascii="仿宋" w:hAnsi="仿宋" w:eastAsia="仿宋"/>
          <w:color w:val="auto"/>
          <w:sz w:val="32"/>
          <w:highlight w:val="none"/>
        </w:rPr>
      </w:pPr>
      <w:bookmarkStart w:id="132" w:name="_Toc27862"/>
      <w:bookmarkStart w:id="133" w:name="_Toc5276"/>
      <w:r>
        <w:rPr>
          <w:rFonts w:hint="eastAsia" w:ascii="仿宋" w:hAnsi="仿宋" w:eastAsia="仿宋"/>
          <w:color w:val="auto"/>
          <w:sz w:val="32"/>
          <w:highlight w:val="none"/>
        </w:rPr>
        <w:t>第五节</w:t>
      </w:r>
      <w:r>
        <w:rPr>
          <w:rFonts w:hint="eastAsia" w:ascii="仿宋" w:hAnsi="仿宋" w:eastAsia="仿宋"/>
          <w:color w:val="auto"/>
          <w:sz w:val="32"/>
          <w:highlight w:val="none"/>
          <w:lang w:val="en-US" w:eastAsia="zh-CN"/>
        </w:rPr>
        <w:t xml:space="preserve"> </w:t>
      </w:r>
      <w:r>
        <w:rPr>
          <w:rFonts w:hint="eastAsia" w:ascii="仿宋" w:hAnsi="仿宋" w:eastAsia="仿宋"/>
          <w:color w:val="auto"/>
          <w:sz w:val="32"/>
          <w:highlight w:val="none"/>
        </w:rPr>
        <w:t>投标文件的评估和比较</w:t>
      </w:r>
      <w:bookmarkEnd w:id="130"/>
      <w:bookmarkEnd w:id="131"/>
      <w:bookmarkEnd w:id="132"/>
      <w:bookmarkEnd w:id="133"/>
    </w:p>
    <w:p w14:paraId="548EAD6D">
      <w:pPr>
        <w:pStyle w:val="4"/>
        <w:keepNext w:val="0"/>
        <w:keepLines w:val="0"/>
        <w:spacing w:before="0" w:after="0" w:line="500" w:lineRule="exact"/>
        <w:ind w:firstLine="643" w:firstLineChars="200"/>
        <w:rPr>
          <w:rFonts w:ascii="仿宋" w:hAnsi="仿宋" w:eastAsia="仿宋"/>
          <w:color w:val="auto"/>
          <w:sz w:val="32"/>
          <w:highlight w:val="none"/>
        </w:rPr>
      </w:pPr>
      <w:bookmarkStart w:id="134" w:name="_Toc24284"/>
      <w:bookmarkStart w:id="135" w:name="_Toc3123"/>
      <w:bookmarkStart w:id="136" w:name="_Toc192925666"/>
      <w:bookmarkStart w:id="137" w:name="_Toc191892318"/>
      <w:r>
        <w:rPr>
          <w:rFonts w:hint="eastAsia" w:ascii="仿宋" w:hAnsi="仿宋" w:eastAsia="仿宋"/>
          <w:color w:val="auto"/>
          <w:sz w:val="32"/>
          <w:highlight w:val="none"/>
        </w:rPr>
        <w:t>15．开标、评标时间</w:t>
      </w:r>
      <w:bookmarkEnd w:id="134"/>
      <w:bookmarkEnd w:id="135"/>
      <w:bookmarkEnd w:id="136"/>
      <w:bookmarkEnd w:id="137"/>
    </w:p>
    <w:p w14:paraId="7FF0980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15.1 在“投标人须知前附表”（有延期通知的以延期通知为准）中所规定的时间、地点开标。</w:t>
      </w:r>
    </w:p>
    <w:p w14:paraId="6905925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15.2招标人负责组建评标委员会，评标委员会负责评标工作。</w:t>
      </w:r>
    </w:p>
    <w:p w14:paraId="30FC62C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15.3本项目采用综合评分法评选方法评定，公司纪检人员进行监督。</w:t>
      </w:r>
    </w:p>
    <w:p w14:paraId="27BD11C7">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38" w:name="_Toc13617"/>
      <w:bookmarkStart w:id="139" w:name="_Toc20979"/>
      <w:r>
        <w:rPr>
          <w:rFonts w:hint="eastAsia" w:ascii="仿宋" w:hAnsi="仿宋" w:eastAsia="仿宋"/>
          <w:color w:val="auto"/>
          <w:sz w:val="32"/>
          <w:highlight w:val="none"/>
        </w:rPr>
        <w:t>16．评标委员会</w:t>
      </w:r>
      <w:bookmarkEnd w:id="138"/>
      <w:bookmarkEnd w:id="139"/>
    </w:p>
    <w:p w14:paraId="33F689D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39B0A371">
      <w:pPr>
        <w:pStyle w:val="4"/>
        <w:keepNext w:val="0"/>
        <w:keepLines w:val="0"/>
        <w:spacing w:before="0" w:after="0" w:line="500" w:lineRule="exact"/>
        <w:ind w:firstLine="643" w:firstLineChars="200"/>
        <w:rPr>
          <w:rFonts w:ascii="仿宋" w:hAnsi="仿宋" w:eastAsia="仿宋"/>
          <w:color w:val="auto"/>
          <w:sz w:val="32"/>
          <w:highlight w:val="none"/>
        </w:rPr>
      </w:pPr>
      <w:bookmarkStart w:id="140" w:name="_Toc6627"/>
      <w:bookmarkStart w:id="141" w:name="_Toc192925668"/>
      <w:bookmarkStart w:id="142" w:name="_Toc191892320"/>
      <w:bookmarkStart w:id="143" w:name="_Toc16604"/>
      <w:r>
        <w:rPr>
          <w:rFonts w:hint="eastAsia" w:ascii="仿宋" w:hAnsi="仿宋" w:eastAsia="仿宋"/>
          <w:color w:val="auto"/>
          <w:sz w:val="32"/>
          <w:highlight w:val="none"/>
        </w:rPr>
        <w:t>17</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投标文件的初审</w:t>
      </w:r>
      <w:bookmarkEnd w:id="140"/>
      <w:bookmarkEnd w:id="141"/>
      <w:bookmarkEnd w:id="142"/>
      <w:bookmarkEnd w:id="143"/>
    </w:p>
    <w:p w14:paraId="05A6FF2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对所有投标人的评估，都采用相同的程序和标准。评议过程将严格按照招标文件的要求和条件进行。</w:t>
      </w:r>
    </w:p>
    <w:p w14:paraId="337269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有关投标文件的审查、澄清、评估和比较以及推荐中标候选人的一切情况，都不得透露给任一投标人或与上述评标工作无关的人员。</w:t>
      </w:r>
    </w:p>
    <w:p w14:paraId="66176DF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投标人任何试图影响评委会对投标文件的评估、比较或者推荐候选人的行为，都将导致其投标被拒绝，并被没收投标保证金。</w:t>
      </w:r>
    </w:p>
    <w:p w14:paraId="5F7C744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17.1评标委员会将对投标文件进行审查，以确定投标文件是否完整、有无计算上的错误、是否提交了投标保证金、文件是否已正确签署。</w:t>
      </w:r>
    </w:p>
    <w:p w14:paraId="723B82E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17.2 算术错误将按以下方法更正：</w:t>
      </w:r>
    </w:p>
    <w:p w14:paraId="49F4977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如投标文件中“开标一览表(报价表)”内容与投标文件中的明细表内容不一致的，以“开标一览表(报价表)”为准。</w:t>
      </w:r>
    </w:p>
    <w:p w14:paraId="75DB65C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6B3123E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如果投标人不接受按上述方法对投标文件中的算术错误进行更正，其投标将被拒绝并</w:t>
      </w:r>
      <w:r>
        <w:rPr>
          <w:rFonts w:hint="eastAsia" w:ascii="仿宋" w:hAnsi="仿宋" w:eastAsia="仿宋"/>
          <w:color w:val="auto"/>
          <w:sz w:val="32"/>
          <w:szCs w:val="32"/>
          <w:highlight w:val="none"/>
          <w:lang w:val="en-US" w:eastAsia="zh-CN"/>
        </w:rPr>
        <w:t>不退还</w:t>
      </w:r>
      <w:r>
        <w:rPr>
          <w:rFonts w:hint="eastAsia" w:ascii="仿宋" w:hAnsi="仿宋" w:eastAsia="仿宋"/>
          <w:color w:val="auto"/>
          <w:sz w:val="32"/>
          <w:szCs w:val="32"/>
          <w:highlight w:val="none"/>
        </w:rPr>
        <w:t>其投标保证金。</w:t>
      </w:r>
    </w:p>
    <w:p w14:paraId="729CF90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17.3 资格性检查和符合性检查 </w:t>
      </w:r>
    </w:p>
    <w:p w14:paraId="21663AD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w:t>
      </w:r>
      <w:r>
        <w:rPr>
          <w:rFonts w:ascii="仿宋" w:hAnsi="仿宋" w:eastAsia="仿宋"/>
          <w:color w:val="auto"/>
          <w:sz w:val="32"/>
          <w:szCs w:val="32"/>
          <w:highlight w:val="none"/>
        </w:rPr>
        <w:t>1</w:t>
      </w:r>
      <w:r>
        <w:rPr>
          <w:rFonts w:hint="eastAsia" w:ascii="仿宋" w:hAnsi="仿宋" w:eastAsia="仿宋"/>
          <w:color w:val="auto"/>
          <w:sz w:val="32"/>
          <w:szCs w:val="32"/>
          <w:highlight w:val="none"/>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5CB3CC3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17.3.2符合性检查。依据招标文件的规定，评标委员会还将从投标文件的有效性、完整性和对招标文件的响应程度进行审查，以确定是否符合对招标文件的实质性要求做出响应。</w:t>
      </w:r>
    </w:p>
    <w:p w14:paraId="13290B5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实质性偏离是指：（</w:t>
      </w:r>
      <w:r>
        <w:rPr>
          <w:rFonts w:ascii="仿宋" w:hAnsi="仿宋" w:eastAsia="仿宋"/>
          <w:color w:val="auto"/>
          <w:sz w:val="32"/>
          <w:szCs w:val="32"/>
          <w:highlight w:val="none"/>
        </w:rPr>
        <w:t>1</w:t>
      </w:r>
      <w:r>
        <w:rPr>
          <w:rFonts w:hint="eastAsia" w:ascii="仿宋" w:hAnsi="仿宋" w:eastAsia="仿宋"/>
          <w:color w:val="auto"/>
          <w:sz w:val="32"/>
          <w:szCs w:val="32"/>
          <w:highlight w:val="none"/>
        </w:rPr>
        <w:t>）实质性影响合同的范围、质量和履行；（</w:t>
      </w:r>
      <w:r>
        <w:rPr>
          <w:rFonts w:ascii="仿宋" w:hAnsi="仿宋" w:eastAsia="仿宋"/>
          <w:color w:val="auto"/>
          <w:sz w:val="32"/>
          <w:szCs w:val="32"/>
          <w:highlight w:val="none"/>
        </w:rPr>
        <w:t>2</w:t>
      </w:r>
      <w:r>
        <w:rPr>
          <w:rFonts w:hint="eastAsia" w:ascii="仿宋" w:hAnsi="仿宋" w:eastAsia="仿宋"/>
          <w:color w:val="auto"/>
          <w:sz w:val="32"/>
          <w:szCs w:val="32"/>
          <w:highlight w:val="none"/>
        </w:rPr>
        <w:t>）实质性违背招标文件，限制了招标人的权利和中标人合同项下的义务；（</w:t>
      </w:r>
      <w:r>
        <w:rPr>
          <w:rFonts w:ascii="仿宋" w:hAnsi="仿宋" w:eastAsia="仿宋"/>
          <w:color w:val="auto"/>
          <w:sz w:val="32"/>
          <w:szCs w:val="32"/>
          <w:highlight w:val="none"/>
        </w:rPr>
        <w:t>3</w:t>
      </w:r>
      <w:r>
        <w:rPr>
          <w:rFonts w:hint="eastAsia" w:ascii="仿宋" w:hAnsi="仿宋" w:eastAsia="仿宋"/>
          <w:color w:val="auto"/>
          <w:sz w:val="32"/>
          <w:szCs w:val="32"/>
          <w:highlight w:val="none"/>
        </w:rPr>
        <w:t>）不公正地影响了其它作出实质性响应的投标人的竞争地位。</w:t>
      </w:r>
    </w:p>
    <w:p w14:paraId="24BAB2D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对没有实质性响应的投标文件将不进行评估，其投标将被拒绝。</w:t>
      </w:r>
    </w:p>
    <w:p w14:paraId="0C79000E">
      <w:pPr>
        <w:spacing w:line="5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凡有</w:t>
      </w:r>
      <w:r>
        <w:rPr>
          <w:rFonts w:hint="eastAsia" w:ascii="仿宋" w:hAnsi="仿宋" w:eastAsia="仿宋"/>
          <w:b/>
          <w:color w:val="auto"/>
          <w:sz w:val="32"/>
          <w:szCs w:val="32"/>
          <w:highlight w:val="none"/>
        </w:rPr>
        <w:t>下列情况之一</w:t>
      </w:r>
      <w:r>
        <w:rPr>
          <w:rFonts w:hint="eastAsia" w:ascii="仿宋" w:hAnsi="仿宋" w:eastAsia="仿宋"/>
          <w:color w:val="auto"/>
          <w:sz w:val="32"/>
          <w:szCs w:val="32"/>
          <w:highlight w:val="none"/>
        </w:rPr>
        <w:t>者，投标文件也将被视为</w:t>
      </w:r>
      <w:r>
        <w:rPr>
          <w:rFonts w:hint="eastAsia" w:ascii="仿宋" w:hAnsi="仿宋" w:eastAsia="仿宋"/>
          <w:b/>
          <w:color w:val="auto"/>
          <w:sz w:val="32"/>
          <w:szCs w:val="32"/>
          <w:highlight w:val="none"/>
        </w:rPr>
        <w:t>未实质性响应招标文件要求：</w:t>
      </w:r>
    </w:p>
    <w:p w14:paraId="2B8D7CB9">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 投标文件未按照本须知第14条的规定进行密封、标记的；</w:t>
      </w:r>
    </w:p>
    <w:p w14:paraId="56F177E1">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(2) 未按规定由投标人的法定代表人或其授权代表签字，或未加盖投标人公章的；或签字人未提供法定代表人有效授权委托书原件的；</w:t>
      </w:r>
    </w:p>
    <w:p w14:paraId="711C374E">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(3) 未按规定提交投标保证金的；</w:t>
      </w:r>
    </w:p>
    <w:p w14:paraId="14386EA7">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(4) 投标有效期不满足招标文件要求的；</w:t>
      </w:r>
    </w:p>
    <w:p w14:paraId="046188E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(5) 投标内容与招标内容及要求有重大偏离或保留的；</w:t>
      </w:r>
    </w:p>
    <w:p w14:paraId="3637A2EE">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(6) 投标人提交的是可选择的报价；</w:t>
      </w:r>
    </w:p>
    <w:p w14:paraId="2800528C">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(7) 投标人未按规定对投标进行分项报价；</w:t>
      </w:r>
    </w:p>
    <w:p w14:paraId="02E4218A">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(8) 一个投标人对同一个合同包不止投一个标的；</w:t>
      </w:r>
    </w:p>
    <w:p w14:paraId="0E99B3F6">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(9) 投标文件组成不符合招标文件要求的；</w:t>
      </w:r>
    </w:p>
    <w:p w14:paraId="288BD3A2">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(10) 投标文件中提供虚假或失实资料的；</w:t>
      </w:r>
    </w:p>
    <w:p w14:paraId="6685D190">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(11) 不符合招标文件中规定的</w:t>
      </w:r>
      <w:r>
        <w:rPr>
          <w:rFonts w:hint="eastAsia" w:ascii="仿宋" w:hAnsi="仿宋" w:eastAsia="仿宋"/>
          <w:color w:val="auto"/>
          <w:sz w:val="28"/>
          <w:szCs w:val="28"/>
          <w:highlight w:val="none"/>
        </w:rPr>
        <w:t>★</w:t>
      </w:r>
      <w:r>
        <w:rPr>
          <w:rFonts w:hint="eastAsia" w:ascii="仿宋" w:hAnsi="仿宋" w:eastAsia="仿宋"/>
          <w:b/>
          <w:color w:val="auto"/>
          <w:sz w:val="32"/>
          <w:szCs w:val="32"/>
          <w:highlight w:val="none"/>
        </w:rPr>
        <w:t>号条款或其它实质性条款要求的。</w:t>
      </w:r>
    </w:p>
    <w:p w14:paraId="36319D5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投标人存在</w:t>
      </w:r>
      <w:r>
        <w:rPr>
          <w:rFonts w:hint="eastAsia" w:ascii="仿宋" w:hAnsi="仿宋" w:eastAsia="仿宋"/>
          <w:b/>
          <w:bCs/>
          <w:color w:val="auto"/>
          <w:sz w:val="32"/>
          <w:szCs w:val="32"/>
          <w:highlight w:val="none"/>
        </w:rPr>
        <w:t>下列情形之一</w:t>
      </w:r>
      <w:r>
        <w:rPr>
          <w:rFonts w:hint="eastAsia" w:ascii="仿宋" w:hAnsi="仿宋" w:eastAsia="仿宋"/>
          <w:color w:val="auto"/>
          <w:sz w:val="32"/>
          <w:szCs w:val="32"/>
          <w:highlight w:val="none"/>
        </w:rPr>
        <w:t>的，将被认定为</w:t>
      </w:r>
      <w:r>
        <w:rPr>
          <w:rFonts w:hint="eastAsia" w:ascii="仿宋" w:hAnsi="仿宋" w:eastAsia="仿宋"/>
          <w:b/>
          <w:bCs/>
          <w:color w:val="auto"/>
          <w:sz w:val="32"/>
          <w:szCs w:val="32"/>
          <w:highlight w:val="none"/>
        </w:rPr>
        <w:t>串通投标行为并作无效投标处理</w:t>
      </w:r>
      <w:r>
        <w:rPr>
          <w:rFonts w:hint="eastAsia" w:ascii="仿宋" w:hAnsi="仿宋" w:eastAsia="仿宋"/>
          <w:color w:val="auto"/>
          <w:sz w:val="32"/>
          <w:szCs w:val="32"/>
          <w:highlight w:val="none"/>
        </w:rPr>
        <w:t>：</w:t>
      </w:r>
    </w:p>
    <w:p w14:paraId="036F83A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（1）投标人之间协商投标报价等投标文件的实质性内容；</w:t>
      </w:r>
    </w:p>
    <w:p w14:paraId="0B9DF5F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（2）投标人之间约定中标供应商；</w:t>
      </w:r>
    </w:p>
    <w:p w14:paraId="00B49E5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（3）投标人之间约定部分投标人放弃投标或者中标；</w:t>
      </w:r>
    </w:p>
    <w:p w14:paraId="0CD4821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（4）属于同一集团、协会、商会等组织成员的投标人按照该组织要求协同投标；</w:t>
      </w:r>
    </w:p>
    <w:p w14:paraId="6F57EF7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（5）投标人之间为谋取中标或者排斥特定投标人而采取的其他联合行动；</w:t>
      </w:r>
    </w:p>
    <w:p w14:paraId="2EFAF91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（6）不同投标人的投标文件由同一单位或者个人编制；</w:t>
      </w:r>
    </w:p>
    <w:p w14:paraId="791DF6A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（7）不同投标人委托同一单位或者个人办理投标事宜；</w:t>
      </w:r>
    </w:p>
    <w:p w14:paraId="0C459C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（8）不同投标人的投标文件载明的项目管理成员为同一人；</w:t>
      </w:r>
    </w:p>
    <w:p w14:paraId="661D820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（9）不同投标人的投标文件异常一致或者投标报价呈规律性差异；</w:t>
      </w:r>
    </w:p>
    <w:p w14:paraId="3FEB565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（10）不同投标人的投标文件相互混装；</w:t>
      </w:r>
    </w:p>
    <w:p w14:paraId="1F626F9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（11）不同投标人的投标保证金从同一单位或者个人的账户转出。</w:t>
      </w:r>
    </w:p>
    <w:p w14:paraId="79B2E6A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（12）不同投标人的投标文件错、漏之处一致或雷同，且不能合理解释的；</w:t>
      </w:r>
    </w:p>
    <w:p w14:paraId="1F2BD5A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（13）不同的投标人的法定代表人、委托代理人等由同一个单位缴纳社会保险的；</w:t>
      </w:r>
    </w:p>
    <w:p w14:paraId="75E2A18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6024CEA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（15）有关法律、法规或规章规定的其他串通投标行为。</w:t>
      </w:r>
    </w:p>
    <w:p w14:paraId="0C58F1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评标委员会决定投标的响应性，只根据投标文件本身的内容，而不寻求其他的外部证据。</w:t>
      </w:r>
    </w:p>
    <w:p w14:paraId="6B916506">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44" w:name="_Toc28819"/>
      <w:bookmarkStart w:id="145" w:name="_Toc24556"/>
      <w:r>
        <w:rPr>
          <w:rFonts w:hint="eastAsia" w:ascii="仿宋" w:hAnsi="仿宋" w:eastAsia="仿宋"/>
          <w:color w:val="auto"/>
          <w:sz w:val="32"/>
          <w:highlight w:val="none"/>
          <w:lang w:val="en-US" w:eastAsia="zh-CN"/>
        </w:rPr>
        <w:t xml:space="preserve">18. </w:t>
      </w:r>
      <w:r>
        <w:rPr>
          <w:rFonts w:hint="eastAsia" w:ascii="仿宋" w:hAnsi="仿宋" w:eastAsia="仿宋"/>
          <w:color w:val="auto"/>
          <w:sz w:val="32"/>
          <w:highlight w:val="none"/>
        </w:rPr>
        <w:t>评标办法</w:t>
      </w:r>
      <w:bookmarkEnd w:id="144"/>
      <w:bookmarkEnd w:id="145"/>
    </w:p>
    <w:p w14:paraId="2EF80526">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本次招标采用综合评分法评标。</w:t>
      </w:r>
    </w:p>
    <w:p w14:paraId="30851365">
      <w:pPr>
        <w:pStyle w:val="6"/>
        <w:snapToGrid w:val="0"/>
        <w:spacing w:line="500" w:lineRule="exact"/>
        <w:ind w:left="0" w:firstLine="643" w:firstLineChars="200"/>
        <w:rPr>
          <w:rFonts w:ascii="仿宋" w:hAnsi="仿宋" w:eastAsia="仿宋" w:cs="华文细黑"/>
          <w:b/>
          <w:color w:val="auto"/>
          <w:sz w:val="32"/>
          <w:szCs w:val="32"/>
          <w:highlight w:val="none"/>
          <w:lang w:eastAsia="zh-CN"/>
        </w:rPr>
      </w:pPr>
      <w:r>
        <w:rPr>
          <w:rFonts w:hint="eastAsia" w:ascii="仿宋" w:hAnsi="仿宋" w:eastAsia="仿宋" w:cs="华文细黑"/>
          <w:b/>
          <w:color w:val="auto"/>
          <w:sz w:val="32"/>
          <w:szCs w:val="32"/>
          <w:highlight w:val="none"/>
          <w:lang w:eastAsia="zh-CN"/>
        </w:rPr>
        <w:t>18.1具体的评标标准（评标办法）</w:t>
      </w:r>
    </w:p>
    <w:p w14:paraId="7FC03156">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18.1.1初审合格（即资格性、符合性检查合格并按其他相关条款审查后）的投标人在三家以上（含三家）的，评标委员会将按以下评标方法与标准，对初审合格的投标文件进行商务和技术评估，综合比较与评价。</w:t>
      </w:r>
    </w:p>
    <w:p w14:paraId="7EFB49A5">
      <w:pPr>
        <w:numPr>
          <w:ilvl w:val="0"/>
          <w:numId w:val="1"/>
        </w:numPr>
        <w:spacing w:line="500" w:lineRule="exact"/>
        <w:ind w:firstLine="472" w:firstLineChars="147"/>
        <w:rPr>
          <w:rFonts w:hint="eastAsia" w:ascii="仿宋" w:hAnsi="仿宋" w:eastAsia="仿宋" w:cs="仿宋"/>
          <w:b/>
          <w:color w:val="auto"/>
          <w:sz w:val="32"/>
          <w:szCs w:val="32"/>
          <w:highlight w:val="none"/>
        </w:rPr>
      </w:pPr>
      <w:r>
        <w:rPr>
          <w:rStyle w:val="22"/>
          <w:rFonts w:hint="eastAsia" w:ascii="仿宋" w:hAnsi="仿宋" w:eastAsia="仿宋" w:cs="华文细黑"/>
          <w:color w:val="auto"/>
          <w:sz w:val="32"/>
          <w:szCs w:val="32"/>
          <w:highlight w:val="none"/>
        </w:rPr>
        <w:t>技术分F1</w:t>
      </w:r>
      <w:r>
        <w:rPr>
          <w:rStyle w:val="22"/>
          <w:rFonts w:hint="eastAsia" w:ascii="仿宋" w:hAnsi="仿宋" w:eastAsia="仿宋" w:cs="华文细黑"/>
          <w:color w:val="auto"/>
          <w:sz w:val="32"/>
          <w:szCs w:val="32"/>
          <w:highlight w:val="none"/>
          <w:lang w:eastAsia="zh-CN"/>
        </w:rPr>
        <w:t>（</w:t>
      </w:r>
      <w:r>
        <w:rPr>
          <w:rStyle w:val="22"/>
          <w:rFonts w:hint="eastAsia" w:ascii="仿宋" w:hAnsi="仿宋" w:eastAsia="仿宋" w:cs="华文细黑"/>
          <w:color w:val="auto"/>
          <w:sz w:val="32"/>
          <w:szCs w:val="32"/>
          <w:highlight w:val="none"/>
          <w:lang w:val="en-US" w:eastAsia="zh-CN"/>
        </w:rPr>
        <w:t>满分30分）</w:t>
      </w:r>
    </w:p>
    <w:tbl>
      <w:tblPr>
        <w:tblStyle w:val="19"/>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470"/>
        <w:gridCol w:w="874"/>
      </w:tblGrid>
      <w:tr w14:paraId="6688A5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2291D437">
            <w:pPr>
              <w:pStyle w:val="28"/>
              <w:autoSpaceDE/>
              <w:autoSpaceDN/>
              <w:adjustRightInd/>
              <w:spacing w:line="500" w:lineRule="exact"/>
              <w:rPr>
                <w:rFonts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842" w:type="dxa"/>
            <w:vAlign w:val="center"/>
          </w:tcPr>
          <w:p w14:paraId="34BD335C">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470" w:type="dxa"/>
            <w:vAlign w:val="center"/>
          </w:tcPr>
          <w:p w14:paraId="1C86B24F">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874" w:type="dxa"/>
            <w:vAlign w:val="center"/>
          </w:tcPr>
          <w:p w14:paraId="00446DF1">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00FB5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14:paraId="07858C5C">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1-1</w:t>
            </w:r>
          </w:p>
        </w:tc>
        <w:tc>
          <w:tcPr>
            <w:tcW w:w="1842" w:type="dxa"/>
            <w:vMerge w:val="restart"/>
            <w:vAlign w:val="center"/>
          </w:tcPr>
          <w:p w14:paraId="41E89E61">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服务方案及日常运营管理（</w:t>
            </w:r>
            <w:r>
              <w:rPr>
                <w:rFonts w:hint="eastAsia" w:ascii="仿宋" w:hAnsi="仿宋" w:eastAsia="仿宋" w:cs="华文细黑"/>
                <w:color w:val="auto"/>
                <w:sz w:val="28"/>
                <w:szCs w:val="28"/>
                <w:highlight w:val="none"/>
                <w:lang w:val="en-US" w:eastAsia="zh-CN"/>
              </w:rPr>
              <w:t>20</w:t>
            </w:r>
            <w:r>
              <w:rPr>
                <w:rFonts w:hint="eastAsia" w:ascii="仿宋" w:hAnsi="仿宋" w:eastAsia="仿宋" w:cs="华文细黑"/>
                <w:color w:val="auto"/>
                <w:sz w:val="28"/>
                <w:szCs w:val="28"/>
                <w:highlight w:val="none"/>
              </w:rPr>
              <w:t>分）</w:t>
            </w:r>
          </w:p>
        </w:tc>
        <w:tc>
          <w:tcPr>
            <w:tcW w:w="5470" w:type="dxa"/>
            <w:vAlign w:val="center"/>
          </w:tcPr>
          <w:p w14:paraId="177B88CE">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根据投标人投标经营管理方案符合招标人实际情况进行综合评定：</w:t>
            </w:r>
          </w:p>
          <w:p w14:paraId="7DA1AED1">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投标人对本项目的经营管理目标、场地规划、餐厅布置等方面的完整合理符合招标要求的方案优得</w:t>
            </w:r>
            <w:r>
              <w:rPr>
                <w:rFonts w:hint="eastAsia" w:ascii="仿宋" w:hAnsi="仿宋" w:eastAsia="仿宋" w:cs="华文细黑"/>
                <w:color w:val="auto"/>
                <w:sz w:val="28"/>
                <w:szCs w:val="28"/>
                <w:highlight w:val="none"/>
                <w:lang w:val="en-US" w:eastAsia="zh-CN"/>
              </w:rPr>
              <w:t>7</w:t>
            </w:r>
            <w:r>
              <w:rPr>
                <w:rFonts w:hint="eastAsia" w:ascii="仿宋" w:hAnsi="仿宋" w:eastAsia="仿宋" w:cs="华文细黑"/>
                <w:color w:val="auto"/>
                <w:sz w:val="28"/>
                <w:szCs w:val="28"/>
                <w:highlight w:val="none"/>
              </w:rPr>
              <w:t>分，良得</w:t>
            </w:r>
            <w:r>
              <w:rPr>
                <w:rFonts w:hint="eastAsia" w:ascii="仿宋" w:hAnsi="仿宋" w:eastAsia="仿宋" w:cs="华文细黑"/>
                <w:color w:val="auto"/>
                <w:sz w:val="28"/>
                <w:szCs w:val="28"/>
                <w:highlight w:val="none"/>
                <w:lang w:val="en-US" w:eastAsia="zh-CN"/>
              </w:rPr>
              <w:t>4</w:t>
            </w:r>
            <w:r>
              <w:rPr>
                <w:rFonts w:hint="eastAsia" w:ascii="仿宋" w:hAnsi="仿宋" w:eastAsia="仿宋" w:cs="华文细黑"/>
                <w:color w:val="auto"/>
                <w:sz w:val="28"/>
                <w:szCs w:val="28"/>
                <w:highlight w:val="none"/>
              </w:rPr>
              <w:t>分，一般得</w:t>
            </w: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w:t>
            </w:r>
          </w:p>
        </w:tc>
        <w:tc>
          <w:tcPr>
            <w:tcW w:w="874" w:type="dxa"/>
            <w:vAlign w:val="center"/>
          </w:tcPr>
          <w:p w14:paraId="5F862B06">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7</w:t>
            </w:r>
            <w:r>
              <w:rPr>
                <w:rFonts w:hint="eastAsia" w:ascii="仿宋" w:hAnsi="仿宋" w:eastAsia="仿宋" w:cs="华文细黑"/>
                <w:color w:val="auto"/>
                <w:sz w:val="28"/>
                <w:szCs w:val="28"/>
                <w:highlight w:val="none"/>
              </w:rPr>
              <w:t>分</w:t>
            </w:r>
          </w:p>
        </w:tc>
      </w:tr>
      <w:tr w14:paraId="5FE11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087D3D4A">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1F813244">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06A64D56">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根据投标人提供的菜品多样化情况等进行综合评审。优得</w:t>
            </w:r>
            <w:r>
              <w:rPr>
                <w:rFonts w:hint="eastAsia" w:ascii="仿宋" w:hAnsi="仿宋" w:eastAsia="仿宋" w:cs="华文细黑"/>
                <w:color w:val="auto"/>
                <w:sz w:val="28"/>
                <w:szCs w:val="28"/>
                <w:highlight w:val="none"/>
                <w:lang w:val="en-US" w:eastAsia="zh-CN"/>
              </w:rPr>
              <w:t>4</w:t>
            </w:r>
            <w:r>
              <w:rPr>
                <w:rFonts w:hint="eastAsia" w:ascii="仿宋" w:hAnsi="仿宋" w:eastAsia="仿宋" w:cs="华文细黑"/>
                <w:color w:val="auto"/>
                <w:sz w:val="28"/>
                <w:szCs w:val="28"/>
                <w:highlight w:val="none"/>
              </w:rPr>
              <w:t>分，良得</w:t>
            </w: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分，一般得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c>
          <w:tcPr>
            <w:tcW w:w="874" w:type="dxa"/>
            <w:vAlign w:val="center"/>
          </w:tcPr>
          <w:p w14:paraId="54E9A876">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4</w:t>
            </w:r>
            <w:r>
              <w:rPr>
                <w:rFonts w:hint="eastAsia" w:ascii="仿宋" w:hAnsi="仿宋" w:eastAsia="仿宋" w:cs="华文细黑"/>
                <w:color w:val="auto"/>
                <w:sz w:val="28"/>
                <w:szCs w:val="28"/>
                <w:highlight w:val="none"/>
              </w:rPr>
              <w:t>分</w:t>
            </w:r>
          </w:p>
        </w:tc>
      </w:tr>
      <w:tr w14:paraId="1FBF44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7E55953A">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3273EE67">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5B1BEEB7">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投标人提供的管理制度包含卫生管理制度、岗位职责、食品留样制度、热菜加工制作制度、库房管理制度、应急预案等内容的，每包含一项完整合理制度方案的得0.5分，满分</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w:t>
            </w:r>
          </w:p>
        </w:tc>
        <w:tc>
          <w:tcPr>
            <w:tcW w:w="874" w:type="dxa"/>
            <w:vAlign w:val="center"/>
          </w:tcPr>
          <w:p w14:paraId="6997956B">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w:t>
            </w:r>
          </w:p>
        </w:tc>
      </w:tr>
      <w:tr w14:paraId="7C7E2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vAlign w:val="center"/>
          </w:tcPr>
          <w:p w14:paraId="5D714EDE">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4FD32548">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1B2E497D">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投标人服务承诺方案中有公布投诉电话，有反映意见的多种渠道且有改进方案（或反馈流程）的每提供一项得0.5分，满分1分。</w:t>
            </w:r>
          </w:p>
        </w:tc>
        <w:tc>
          <w:tcPr>
            <w:tcW w:w="874" w:type="dxa"/>
            <w:vAlign w:val="center"/>
          </w:tcPr>
          <w:p w14:paraId="724B6C0D">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6C5EB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240BDCD1">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3EE01E1A">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7A241613">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投标人针对有害生物防制防治提出相关管理办法及制度，基本满足要求得0.5分，满足得1分。</w:t>
            </w:r>
          </w:p>
        </w:tc>
        <w:tc>
          <w:tcPr>
            <w:tcW w:w="874" w:type="dxa"/>
            <w:vAlign w:val="center"/>
          </w:tcPr>
          <w:p w14:paraId="3C2FDC28">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5B1B6C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7962DFD4">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5F343B39">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4CD07889">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投标人针对燃料管理提出相关办法及制度基本满足要求得0.5分，满足得1分。</w:t>
            </w:r>
          </w:p>
        </w:tc>
        <w:tc>
          <w:tcPr>
            <w:tcW w:w="874" w:type="dxa"/>
            <w:vAlign w:val="center"/>
          </w:tcPr>
          <w:p w14:paraId="025D0A52">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387FFB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4D83413E">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5F9C17C5">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07A4BBAD">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投标人针对废弃物提出相关管理办法及制度基本满足要求得0.5分，满足得1分。</w:t>
            </w:r>
          </w:p>
        </w:tc>
        <w:tc>
          <w:tcPr>
            <w:tcW w:w="874" w:type="dxa"/>
            <w:vAlign w:val="center"/>
          </w:tcPr>
          <w:p w14:paraId="26B88BF2">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5C9FD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2A0A8A6C">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257222DD">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5051ABAA">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投标人针对高危易腐食品提出相关管理办法及制度，基本满足要求得0.5分，满足得1分。</w:t>
            </w:r>
          </w:p>
        </w:tc>
        <w:tc>
          <w:tcPr>
            <w:tcW w:w="874" w:type="dxa"/>
            <w:vAlign w:val="center"/>
          </w:tcPr>
          <w:p w14:paraId="4EA73F94">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7D75E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73A65698">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7A237408">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5ADB6A93">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投标人针对人员健康管理提出相关管理办法及制度，基本满足要求得0.5分，满足得1分。</w:t>
            </w:r>
          </w:p>
        </w:tc>
        <w:tc>
          <w:tcPr>
            <w:tcW w:w="874" w:type="dxa"/>
            <w:vAlign w:val="center"/>
          </w:tcPr>
          <w:p w14:paraId="5F45564A">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1分</w:t>
            </w:r>
          </w:p>
        </w:tc>
      </w:tr>
      <w:tr w14:paraId="76794C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45C99D50">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1-2</w:t>
            </w:r>
          </w:p>
        </w:tc>
        <w:tc>
          <w:tcPr>
            <w:tcW w:w="1842" w:type="dxa"/>
            <w:vAlign w:val="center"/>
          </w:tcPr>
          <w:p w14:paraId="5BBA597D">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食品卫生安全（3分）</w:t>
            </w:r>
          </w:p>
        </w:tc>
        <w:tc>
          <w:tcPr>
            <w:tcW w:w="5470" w:type="dxa"/>
            <w:vAlign w:val="center"/>
          </w:tcPr>
          <w:p w14:paraId="2FB69429">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根据投标人提供的原材料采购源头、 检测（投标人提供大米、食用油、小白菜、腐竹、草鱼、猪肉第三方检测报告）、储存、运输方案进行评定，满分</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分，缺一项不得分。</w:t>
            </w:r>
          </w:p>
        </w:tc>
        <w:tc>
          <w:tcPr>
            <w:tcW w:w="874" w:type="dxa"/>
            <w:vAlign w:val="center"/>
          </w:tcPr>
          <w:p w14:paraId="02B1F900">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3分</w:t>
            </w:r>
          </w:p>
        </w:tc>
      </w:tr>
      <w:tr w14:paraId="28C13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2C472824">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1-3</w:t>
            </w:r>
          </w:p>
        </w:tc>
        <w:tc>
          <w:tcPr>
            <w:tcW w:w="1842" w:type="dxa"/>
            <w:vAlign w:val="center"/>
          </w:tcPr>
          <w:p w14:paraId="6163304F">
            <w:pPr>
              <w:spacing w:line="500" w:lineRule="exact"/>
              <w:ind w:right="31" w:rightChars="15"/>
              <w:jc w:val="center"/>
              <w:rPr>
                <w:rFonts w:ascii="仿宋" w:hAnsi="仿宋" w:eastAsia="仿宋" w:cs="华文细黑"/>
                <w:color w:val="auto"/>
                <w:sz w:val="28"/>
                <w:szCs w:val="28"/>
                <w:highlight w:val="none"/>
              </w:rPr>
            </w:pPr>
          </w:p>
          <w:p w14:paraId="0E6EB5C8">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供应商管理（</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p w14:paraId="1D637B9D">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0FF8925D">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投标人提出果蔬类食品、肉类食品、大米、冻品类食品、调味品类食品等收货验收管理制度，基本满足要求得0.5分，满足得1分，满分</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c>
          <w:tcPr>
            <w:tcW w:w="874" w:type="dxa"/>
            <w:vAlign w:val="center"/>
          </w:tcPr>
          <w:p w14:paraId="5E3E9B10">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14FC6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14:paraId="0EA3F156">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1-4</w:t>
            </w:r>
          </w:p>
        </w:tc>
        <w:tc>
          <w:tcPr>
            <w:tcW w:w="1842" w:type="dxa"/>
            <w:vMerge w:val="restart"/>
            <w:vAlign w:val="center"/>
          </w:tcPr>
          <w:p w14:paraId="4936C23D">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服务团队</w:t>
            </w:r>
          </w:p>
          <w:p w14:paraId="08B0627C">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w:t>
            </w:r>
          </w:p>
        </w:tc>
        <w:tc>
          <w:tcPr>
            <w:tcW w:w="5470" w:type="dxa"/>
            <w:vAlign w:val="center"/>
          </w:tcPr>
          <w:p w14:paraId="70A6DF14">
            <w:pPr>
              <w:pStyle w:val="17"/>
              <w:keepNext w:val="0"/>
              <w:keepLines w:val="0"/>
              <w:widowControl/>
              <w:suppressLineNumbers w:val="0"/>
              <w:spacing w:beforeAutospacing="1" w:afterAutospacing="1"/>
              <w:jc w:val="left"/>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明确团队结构（如厨师长1名、厨师2名，大堂经理1名，服务人员5名），所有人员持健康证上岗，定期培训提升技能得1分。</w:t>
            </w:r>
          </w:p>
        </w:tc>
        <w:tc>
          <w:tcPr>
            <w:tcW w:w="874" w:type="dxa"/>
            <w:vAlign w:val="center"/>
          </w:tcPr>
          <w:p w14:paraId="3CC52389">
            <w:pPr>
              <w:spacing w:line="500" w:lineRule="exact"/>
              <w:jc w:val="center"/>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1分</w:t>
            </w:r>
          </w:p>
        </w:tc>
      </w:tr>
      <w:tr w14:paraId="7F82D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29BDD053">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5127EB19">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1779A73A">
            <w:pPr>
              <w:spacing w:line="500" w:lineRule="exact"/>
              <w:ind w:right="31" w:rightChars="15"/>
              <w:jc w:val="left"/>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投标人承诺为本项目配备的服务人员中，同时具备中式面点师职业资格证书和中级（含）以上中式烹调师职业资格证书（可不由同一人持有），各提供一本的，得0.5分。</w:t>
            </w:r>
          </w:p>
        </w:tc>
        <w:tc>
          <w:tcPr>
            <w:tcW w:w="874" w:type="dxa"/>
            <w:vAlign w:val="center"/>
          </w:tcPr>
          <w:p w14:paraId="72CA3A4A">
            <w:pPr>
              <w:spacing w:line="500" w:lineRule="exact"/>
              <w:ind w:right="31" w:rightChars="15"/>
              <w:jc w:val="center"/>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0.5分</w:t>
            </w:r>
          </w:p>
        </w:tc>
      </w:tr>
      <w:tr w14:paraId="30F68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01" w:type="dxa"/>
            <w:vMerge w:val="continue"/>
            <w:vAlign w:val="center"/>
          </w:tcPr>
          <w:p w14:paraId="17DF3DE4">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0162A71D">
            <w:pPr>
              <w:spacing w:line="500" w:lineRule="exact"/>
              <w:ind w:right="31" w:rightChars="15"/>
              <w:jc w:val="center"/>
              <w:rPr>
                <w:rFonts w:ascii="仿宋" w:hAnsi="仿宋" w:eastAsia="仿宋" w:cs="华文细黑"/>
                <w:color w:val="auto"/>
                <w:sz w:val="28"/>
                <w:szCs w:val="28"/>
                <w:highlight w:val="none"/>
              </w:rPr>
            </w:pPr>
          </w:p>
        </w:tc>
        <w:tc>
          <w:tcPr>
            <w:tcW w:w="5470" w:type="dxa"/>
            <w:vAlign w:val="center"/>
          </w:tcPr>
          <w:p w14:paraId="7BDA9568">
            <w:pPr>
              <w:spacing w:line="500" w:lineRule="exact"/>
              <w:ind w:right="31" w:rightChars="15"/>
              <w:jc w:val="left"/>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投标人承诺为本项目配备的服务人员中，同时具备食品安全管理员和餐饮环境管理员职业资格证书（可不由同一人持有），各提供一本的，得0.5分。</w:t>
            </w:r>
          </w:p>
        </w:tc>
        <w:tc>
          <w:tcPr>
            <w:tcW w:w="874" w:type="dxa"/>
            <w:vAlign w:val="center"/>
          </w:tcPr>
          <w:p w14:paraId="16AEDE2F">
            <w:pPr>
              <w:spacing w:line="500" w:lineRule="exact"/>
              <w:ind w:right="31" w:rightChars="15"/>
              <w:jc w:val="center"/>
              <w:rPr>
                <w:rFonts w:hint="eastAsia" w:ascii="仿宋" w:hAnsi="仿宋" w:eastAsia="仿宋" w:cs="华文细黑"/>
                <w:color w:val="auto"/>
                <w:kern w:val="2"/>
                <w:sz w:val="28"/>
                <w:szCs w:val="28"/>
                <w:highlight w:val="none"/>
                <w:lang w:val="en-US" w:eastAsia="zh-CN" w:bidi="ar-SA"/>
              </w:rPr>
            </w:pPr>
            <w:r>
              <w:rPr>
                <w:rFonts w:hint="eastAsia" w:ascii="仿宋" w:hAnsi="仿宋" w:eastAsia="仿宋" w:cs="华文细黑"/>
                <w:color w:val="auto"/>
                <w:kern w:val="2"/>
                <w:sz w:val="28"/>
                <w:szCs w:val="28"/>
                <w:highlight w:val="none"/>
                <w:lang w:val="en-US" w:eastAsia="zh-CN" w:bidi="ar-SA"/>
              </w:rPr>
              <w:t>0.5分</w:t>
            </w:r>
          </w:p>
        </w:tc>
      </w:tr>
    </w:tbl>
    <w:p w14:paraId="57F83442">
      <w:pPr>
        <w:numPr>
          <w:ilvl w:val="0"/>
          <w:numId w:val="0"/>
        </w:numPr>
        <w:spacing w:line="500" w:lineRule="exact"/>
        <w:rPr>
          <w:rFonts w:hint="eastAsia" w:ascii="仿宋" w:hAnsi="仿宋" w:eastAsia="仿宋" w:cs="华文细黑"/>
          <w:b/>
          <w:color w:val="auto"/>
          <w:sz w:val="32"/>
          <w:szCs w:val="32"/>
          <w:highlight w:val="none"/>
        </w:rPr>
      </w:pPr>
    </w:p>
    <w:p w14:paraId="7E598215">
      <w:pPr>
        <w:numPr>
          <w:ilvl w:val="0"/>
          <w:numId w:val="1"/>
        </w:numPr>
        <w:spacing w:before="120" w:beforeLines="50" w:after="120" w:afterLines="50" w:line="500" w:lineRule="exact"/>
        <w:ind w:left="0" w:leftChars="0" w:right="-78"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商务分F2（满分</w:t>
      </w:r>
      <w:r>
        <w:rPr>
          <w:rFonts w:hint="eastAsia" w:ascii="仿宋" w:hAnsi="仿宋" w:eastAsia="仿宋" w:cs="华文细黑"/>
          <w:b/>
          <w:color w:val="auto"/>
          <w:sz w:val="32"/>
          <w:szCs w:val="32"/>
          <w:highlight w:val="none"/>
          <w:lang w:val="en-US" w:eastAsia="zh-CN"/>
        </w:rPr>
        <w:t>20</w:t>
      </w:r>
      <w:r>
        <w:rPr>
          <w:rFonts w:hint="eastAsia" w:ascii="仿宋" w:hAnsi="仿宋" w:eastAsia="仿宋" w:cs="华文细黑"/>
          <w:b/>
          <w:color w:val="auto"/>
          <w:sz w:val="32"/>
          <w:szCs w:val="32"/>
          <w:highlight w:val="none"/>
        </w:rPr>
        <w:t>分）</w:t>
      </w:r>
    </w:p>
    <w:tbl>
      <w:tblPr>
        <w:tblStyle w:val="19"/>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7C3989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5C84DD3A">
            <w:pPr>
              <w:pStyle w:val="28"/>
              <w:autoSpaceDE/>
              <w:autoSpaceDN/>
              <w:adjustRightInd/>
              <w:spacing w:line="500" w:lineRule="exact"/>
              <w:rPr>
                <w:rFonts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842" w:type="dxa"/>
            <w:vAlign w:val="center"/>
          </w:tcPr>
          <w:p w14:paraId="0E4AA1D5">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245" w:type="dxa"/>
            <w:vAlign w:val="center"/>
          </w:tcPr>
          <w:p w14:paraId="1BE0834E">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099" w:type="dxa"/>
            <w:vAlign w:val="center"/>
          </w:tcPr>
          <w:p w14:paraId="7EF7E3B1">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5A52A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5EA22AF8">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2-1</w:t>
            </w:r>
          </w:p>
        </w:tc>
        <w:tc>
          <w:tcPr>
            <w:tcW w:w="1842" w:type="dxa"/>
            <w:vAlign w:val="center"/>
          </w:tcPr>
          <w:p w14:paraId="7CF74BEB">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经营年限情况（</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c>
          <w:tcPr>
            <w:tcW w:w="5245" w:type="dxa"/>
            <w:vAlign w:val="center"/>
          </w:tcPr>
          <w:p w14:paraId="47AE533D">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投标人经营年限在5周年（含）以上的得</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 xml:space="preserve">分，3周年（含）以上得2分，3周年以下的不得分。 </w:t>
            </w:r>
          </w:p>
          <w:p w14:paraId="4DFD0C41">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注：以营业执照或社会信用统一代码证上的成立时间为基准。</w:t>
            </w:r>
          </w:p>
        </w:tc>
        <w:tc>
          <w:tcPr>
            <w:tcW w:w="1099" w:type="dxa"/>
            <w:vAlign w:val="center"/>
          </w:tcPr>
          <w:p w14:paraId="0DC6CCE4">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5BE225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4C2CBEC">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2-2</w:t>
            </w:r>
          </w:p>
        </w:tc>
        <w:tc>
          <w:tcPr>
            <w:tcW w:w="1842" w:type="dxa"/>
            <w:vAlign w:val="center"/>
          </w:tcPr>
          <w:p w14:paraId="0E7252D9">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经营业绩</w:t>
            </w:r>
          </w:p>
          <w:p w14:paraId="62ACAE60">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w:t>
            </w:r>
          </w:p>
          <w:p w14:paraId="6AED6451">
            <w:pPr>
              <w:spacing w:line="500" w:lineRule="exact"/>
              <w:ind w:right="31" w:rightChars="15"/>
              <w:jc w:val="center"/>
              <w:rPr>
                <w:rFonts w:hint="eastAsia" w:ascii="仿宋" w:hAnsi="仿宋" w:eastAsia="仿宋" w:cs="华文细黑"/>
                <w:color w:val="auto"/>
                <w:sz w:val="28"/>
                <w:szCs w:val="28"/>
                <w:highlight w:val="none"/>
              </w:rPr>
            </w:pPr>
          </w:p>
        </w:tc>
        <w:tc>
          <w:tcPr>
            <w:tcW w:w="5245" w:type="dxa"/>
            <w:vAlign w:val="center"/>
          </w:tcPr>
          <w:p w14:paraId="5AF8BE92">
            <w:pPr>
              <w:spacing w:line="500" w:lineRule="exact"/>
              <w:ind w:right="31" w:rightChars="15"/>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color w:val="auto"/>
                <w:sz w:val="28"/>
                <w:szCs w:val="28"/>
                <w:highlight w:val="none"/>
              </w:rPr>
              <w:t>投标人在投标截止时间前仍在服务期限内的食堂服务项目，每提供1个合同得</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5593F8C4">
            <w:pPr>
              <w:spacing w:line="500" w:lineRule="exact"/>
              <w:ind w:right="31" w:rightChars="15"/>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②</w:t>
            </w:r>
            <w:r>
              <w:rPr>
                <w:rFonts w:hint="eastAsia" w:ascii="仿宋" w:hAnsi="仿宋" w:eastAsia="仿宋" w:cs="仿宋"/>
                <w:color w:val="auto"/>
                <w:sz w:val="28"/>
                <w:szCs w:val="28"/>
                <w:highlight w:val="none"/>
                <w:lang w:val="en-US" w:eastAsia="zh-CN"/>
              </w:rPr>
              <w:t>2021</w:t>
            </w:r>
            <w:r>
              <w:rPr>
                <w:rFonts w:hint="eastAsia" w:ascii="仿宋" w:hAnsi="仿宋" w:eastAsia="仿宋" w:cs="仿宋"/>
                <w:color w:val="auto"/>
                <w:sz w:val="28"/>
                <w:szCs w:val="28"/>
                <w:highlight w:val="none"/>
              </w:rPr>
              <w:t>年1月1日以来在福建合作写字楼食堂项目（只限承包制）或对外经营的餐饮门店，每提供1个合同得0.5分；满分</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48D4D444">
            <w:pPr>
              <w:spacing w:line="500" w:lineRule="exact"/>
              <w:ind w:right="31" w:rightChars="15"/>
              <w:jc w:val="left"/>
              <w:rPr>
                <w:rFonts w:hint="default" w:ascii="仿宋" w:hAnsi="仿宋" w:eastAsia="仿宋" w:cs="华文细黑"/>
                <w:color w:val="auto"/>
                <w:sz w:val="28"/>
                <w:szCs w:val="28"/>
                <w:highlight w:val="none"/>
                <w:lang w:val="en-US" w:eastAsia="zh-CN"/>
              </w:rPr>
            </w:pPr>
            <w:r>
              <w:rPr>
                <w:rFonts w:hint="eastAsia" w:ascii="仿宋" w:hAnsi="仿宋" w:eastAsia="仿宋" w:cs="仿宋"/>
                <w:color w:val="auto"/>
                <w:kern w:val="0"/>
                <w:sz w:val="28"/>
                <w:szCs w:val="28"/>
                <w:highlight w:val="none"/>
              </w:rPr>
              <w:t>③</w:t>
            </w:r>
            <w:r>
              <w:rPr>
                <w:rFonts w:hint="eastAsia" w:ascii="仿宋" w:hAnsi="仿宋" w:eastAsia="仿宋" w:cs="仿宋"/>
                <w:color w:val="auto"/>
                <w:sz w:val="28"/>
                <w:szCs w:val="28"/>
                <w:highlight w:val="none"/>
                <w:lang w:val="en-US" w:eastAsia="zh-CN"/>
              </w:rPr>
              <w:t>丰富社会类餐饮经验（指</w:t>
            </w:r>
            <w:r>
              <w:rPr>
                <w:rFonts w:hint="eastAsia" w:ascii="仿宋" w:hAnsi="仿宋" w:eastAsia="仿宋" w:cs="仿宋"/>
                <w:i w:val="0"/>
                <w:iCs w:val="0"/>
                <w:caps w:val="0"/>
                <w:color w:val="auto"/>
                <w:spacing w:val="0"/>
                <w:sz w:val="28"/>
                <w:szCs w:val="28"/>
                <w:highlight w:val="none"/>
                <w:shd w:val="clear"/>
              </w:rPr>
              <w:t>学校、写字楼、商业</w:t>
            </w:r>
            <w:r>
              <w:rPr>
                <w:rFonts w:hint="eastAsia" w:ascii="仿宋" w:hAnsi="仿宋" w:eastAsia="仿宋" w:cs="华文细黑"/>
                <w:i w:val="0"/>
                <w:iCs w:val="0"/>
                <w:caps w:val="0"/>
                <w:color w:val="auto"/>
                <w:spacing w:val="0"/>
                <w:sz w:val="28"/>
                <w:szCs w:val="28"/>
                <w:highlight w:val="none"/>
                <w:shd w:val="clear"/>
              </w:rPr>
              <w:t>等不同业态</w:t>
            </w:r>
            <w:r>
              <w:rPr>
                <w:rFonts w:hint="eastAsia" w:ascii="仿宋" w:hAnsi="仿宋" w:eastAsia="仿宋" w:cs="华文细黑"/>
                <w:i w:val="0"/>
                <w:iCs w:val="0"/>
                <w:caps w:val="0"/>
                <w:color w:val="auto"/>
                <w:spacing w:val="0"/>
                <w:sz w:val="28"/>
                <w:szCs w:val="28"/>
                <w:highlight w:val="none"/>
                <w:shd w:val="clear"/>
                <w:lang w:eastAsia="zh-CN"/>
              </w:rPr>
              <w:t>）</w:t>
            </w:r>
            <w:r>
              <w:rPr>
                <w:rFonts w:hint="eastAsia" w:ascii="仿宋" w:hAnsi="仿宋" w:eastAsia="仿宋" w:cs="华文细黑"/>
                <w:color w:val="auto"/>
                <w:sz w:val="28"/>
                <w:szCs w:val="28"/>
                <w:highlight w:val="none"/>
                <w:lang w:val="en-US" w:eastAsia="zh-CN"/>
              </w:rPr>
              <w:t>，每个不同品类得0.5分，满分1分；</w:t>
            </w:r>
          </w:p>
          <w:p w14:paraId="387E4C33">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注：</w:t>
            </w:r>
            <w:r>
              <w:rPr>
                <w:rFonts w:hint="eastAsia" w:ascii="仿宋" w:hAnsi="仿宋" w:eastAsia="仿宋" w:cs="华文细黑"/>
                <w:color w:val="auto"/>
                <w:sz w:val="28"/>
                <w:szCs w:val="28"/>
                <w:highlight w:val="none"/>
                <w:lang w:eastAsia="zh-CN"/>
              </w:rPr>
              <w:t>提供资料有效复印件（原件备查）</w:t>
            </w:r>
            <w:r>
              <w:rPr>
                <w:rFonts w:hint="eastAsia" w:ascii="仿宋" w:hAnsi="仿宋" w:eastAsia="仿宋" w:cs="华文细黑"/>
                <w:color w:val="auto"/>
                <w:sz w:val="28"/>
                <w:szCs w:val="28"/>
                <w:highlight w:val="none"/>
              </w:rPr>
              <w:t>。</w:t>
            </w:r>
          </w:p>
        </w:tc>
        <w:tc>
          <w:tcPr>
            <w:tcW w:w="1099" w:type="dxa"/>
            <w:vAlign w:val="center"/>
          </w:tcPr>
          <w:p w14:paraId="60E57B05">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w:t>
            </w:r>
          </w:p>
        </w:tc>
      </w:tr>
      <w:tr w14:paraId="106B64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01" w:type="dxa"/>
            <w:vAlign w:val="center"/>
          </w:tcPr>
          <w:p w14:paraId="4CC2C2C8">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2-3</w:t>
            </w:r>
          </w:p>
        </w:tc>
        <w:tc>
          <w:tcPr>
            <w:tcW w:w="1842" w:type="dxa"/>
            <w:vAlign w:val="center"/>
          </w:tcPr>
          <w:p w14:paraId="156739C4">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企业商标</w:t>
            </w:r>
            <w:r>
              <w:rPr>
                <w:rFonts w:hint="eastAsia" w:ascii="仿宋" w:hAnsi="仿宋" w:eastAsia="仿宋" w:cs="华文细黑"/>
                <w:color w:val="auto"/>
                <w:sz w:val="28"/>
                <w:szCs w:val="28"/>
                <w:highlight w:val="none"/>
                <w:lang w:val="en-US" w:eastAsia="zh-CN"/>
              </w:rPr>
              <w:t xml:space="preserve">  </w:t>
            </w: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c>
          <w:tcPr>
            <w:tcW w:w="5245" w:type="dxa"/>
            <w:vAlign w:val="center"/>
          </w:tcPr>
          <w:p w14:paraId="6915042F">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投标人具有企业商标注册证的得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分，需提供相关材料证明，未提供证书不得分。</w:t>
            </w:r>
          </w:p>
        </w:tc>
        <w:tc>
          <w:tcPr>
            <w:tcW w:w="1099" w:type="dxa"/>
            <w:vAlign w:val="center"/>
          </w:tcPr>
          <w:p w14:paraId="6D21CB3C">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r>
      <w:tr w14:paraId="1A17A0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14:paraId="4B61A403">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2-4</w:t>
            </w:r>
          </w:p>
        </w:tc>
        <w:tc>
          <w:tcPr>
            <w:tcW w:w="1842" w:type="dxa"/>
            <w:vMerge w:val="restart"/>
            <w:vAlign w:val="center"/>
          </w:tcPr>
          <w:p w14:paraId="449B9C4E">
            <w:pPr>
              <w:spacing w:line="500" w:lineRule="exact"/>
              <w:ind w:right="31" w:rightChars="15"/>
              <w:jc w:val="center"/>
              <w:rPr>
                <w:rFonts w:hint="eastAsia" w:ascii="仿宋" w:hAnsi="仿宋" w:eastAsia="仿宋" w:cs="华文细黑"/>
                <w:color w:val="auto"/>
                <w:sz w:val="28"/>
                <w:szCs w:val="28"/>
                <w:highlight w:val="none"/>
              </w:rPr>
            </w:pPr>
          </w:p>
          <w:p w14:paraId="1F5E2AAA">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企业实力</w:t>
            </w:r>
          </w:p>
          <w:p w14:paraId="7769B283">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8</w:t>
            </w:r>
            <w:r>
              <w:rPr>
                <w:rFonts w:hint="eastAsia" w:ascii="仿宋" w:hAnsi="仿宋" w:eastAsia="仿宋" w:cs="华文细黑"/>
                <w:color w:val="auto"/>
                <w:sz w:val="28"/>
                <w:szCs w:val="28"/>
                <w:highlight w:val="none"/>
              </w:rPr>
              <w:t>分）</w:t>
            </w:r>
          </w:p>
          <w:p w14:paraId="17E00CA0">
            <w:pPr>
              <w:spacing w:line="500" w:lineRule="exact"/>
              <w:ind w:right="31" w:rightChars="15"/>
              <w:jc w:val="center"/>
              <w:rPr>
                <w:rFonts w:hint="eastAsia" w:ascii="仿宋" w:hAnsi="仿宋" w:eastAsia="仿宋" w:cs="华文细黑"/>
                <w:color w:val="auto"/>
                <w:sz w:val="28"/>
                <w:szCs w:val="28"/>
                <w:highlight w:val="none"/>
              </w:rPr>
            </w:pPr>
          </w:p>
        </w:tc>
        <w:tc>
          <w:tcPr>
            <w:tcW w:w="5245" w:type="dxa"/>
            <w:vAlign w:val="center"/>
          </w:tcPr>
          <w:p w14:paraId="19C5FD69">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食材供应方式：有保障本市配送能力的配送中心的得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分，需提供相关材料证明，如配送中心的营业执照、合同等。</w:t>
            </w:r>
          </w:p>
        </w:tc>
        <w:tc>
          <w:tcPr>
            <w:tcW w:w="1099" w:type="dxa"/>
            <w:vAlign w:val="center"/>
          </w:tcPr>
          <w:p w14:paraId="429AF30B">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r>
      <w:tr w14:paraId="03446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252EFC3B">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4224A353">
            <w:pPr>
              <w:spacing w:line="500" w:lineRule="exact"/>
              <w:ind w:right="31" w:rightChars="15"/>
              <w:jc w:val="left"/>
              <w:rPr>
                <w:rFonts w:hint="eastAsia" w:ascii="仿宋" w:hAnsi="仿宋" w:eastAsia="仿宋" w:cs="华文细黑"/>
                <w:color w:val="auto"/>
                <w:sz w:val="28"/>
                <w:szCs w:val="28"/>
                <w:highlight w:val="none"/>
              </w:rPr>
            </w:pPr>
          </w:p>
        </w:tc>
        <w:tc>
          <w:tcPr>
            <w:tcW w:w="5245" w:type="dxa"/>
            <w:vAlign w:val="center"/>
          </w:tcPr>
          <w:p w14:paraId="2A3A844D">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投标人具有已在经营的用餐单位面积在</w:t>
            </w:r>
            <w:r>
              <w:rPr>
                <w:rFonts w:hint="eastAsia" w:ascii="仿宋" w:hAnsi="仿宋" w:eastAsia="仿宋" w:cs="华文细黑"/>
                <w:color w:val="auto"/>
                <w:sz w:val="28"/>
                <w:szCs w:val="28"/>
                <w:highlight w:val="none"/>
                <w:lang w:val="en-US" w:eastAsia="zh-CN"/>
              </w:rPr>
              <w:t>800</w:t>
            </w:r>
            <w:r>
              <w:rPr>
                <w:rFonts w:hint="eastAsia" w:ascii="仿宋" w:hAnsi="仿宋" w:eastAsia="仿宋" w:cs="华文细黑"/>
                <w:color w:val="auto"/>
                <w:sz w:val="28"/>
                <w:szCs w:val="28"/>
                <w:highlight w:val="none"/>
              </w:rPr>
              <w:t>平米以上的得2分（需提供证明面积的房屋租赁合同复印件</w:t>
            </w:r>
            <w:r>
              <w:rPr>
                <w:rFonts w:hint="eastAsia" w:ascii="仿宋" w:hAnsi="仿宋" w:eastAsia="仿宋" w:cs="华文细黑"/>
                <w:color w:val="auto"/>
                <w:sz w:val="28"/>
                <w:szCs w:val="28"/>
                <w:highlight w:val="none"/>
                <w:lang w:val="en-US" w:eastAsia="zh-CN"/>
              </w:rPr>
              <w:t>或用餐单位的面积说明</w:t>
            </w:r>
            <w:r>
              <w:rPr>
                <w:rFonts w:hint="eastAsia" w:ascii="仿宋" w:hAnsi="仿宋" w:eastAsia="仿宋" w:cs="华文细黑"/>
                <w:color w:val="auto"/>
                <w:sz w:val="28"/>
                <w:szCs w:val="28"/>
                <w:highlight w:val="none"/>
              </w:rPr>
              <w:t>）。</w:t>
            </w:r>
          </w:p>
        </w:tc>
        <w:tc>
          <w:tcPr>
            <w:tcW w:w="1099" w:type="dxa"/>
            <w:vAlign w:val="center"/>
          </w:tcPr>
          <w:p w14:paraId="2FDA3BAD">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2分</w:t>
            </w:r>
          </w:p>
        </w:tc>
      </w:tr>
      <w:tr w14:paraId="79D62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5859DFAA">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129D312E">
            <w:pPr>
              <w:spacing w:line="500" w:lineRule="exact"/>
              <w:ind w:right="31" w:rightChars="15"/>
              <w:jc w:val="left"/>
              <w:rPr>
                <w:rFonts w:hint="eastAsia" w:ascii="仿宋" w:hAnsi="仿宋" w:eastAsia="仿宋" w:cs="华文细黑"/>
                <w:color w:val="auto"/>
                <w:sz w:val="28"/>
                <w:szCs w:val="28"/>
                <w:highlight w:val="none"/>
              </w:rPr>
            </w:pPr>
          </w:p>
        </w:tc>
        <w:tc>
          <w:tcPr>
            <w:tcW w:w="5245" w:type="dxa"/>
            <w:vAlign w:val="center"/>
          </w:tcPr>
          <w:p w14:paraId="04DB4FCA">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投标人须承诺中标后对餐饮中心的就餐环境进行提升改造，改造时间中标后40个工作日完成；提供承诺书、附上设计图、提供改造期间供餐方案得</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分，缺一项均不得分。</w:t>
            </w:r>
          </w:p>
        </w:tc>
        <w:tc>
          <w:tcPr>
            <w:tcW w:w="1099" w:type="dxa"/>
            <w:vAlign w:val="center"/>
          </w:tcPr>
          <w:p w14:paraId="5C81496E">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28227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14:paraId="28D267F2">
            <w:pPr>
              <w:adjustRightInd w:val="0"/>
              <w:snapToGrid w:val="0"/>
              <w:spacing w:line="500" w:lineRule="exact"/>
              <w:jc w:val="center"/>
              <w:rPr>
                <w:rFonts w:ascii="仿宋" w:hAnsi="仿宋" w:eastAsia="仿宋" w:cs="华文细黑"/>
                <w:color w:val="auto"/>
                <w:sz w:val="28"/>
                <w:szCs w:val="28"/>
                <w:highlight w:val="none"/>
              </w:rPr>
            </w:pPr>
          </w:p>
        </w:tc>
        <w:tc>
          <w:tcPr>
            <w:tcW w:w="1842" w:type="dxa"/>
            <w:vMerge w:val="continue"/>
            <w:vAlign w:val="center"/>
          </w:tcPr>
          <w:p w14:paraId="313BCF97">
            <w:pPr>
              <w:spacing w:line="500" w:lineRule="exact"/>
              <w:ind w:right="31" w:rightChars="15"/>
              <w:jc w:val="left"/>
              <w:rPr>
                <w:rFonts w:hint="eastAsia" w:ascii="仿宋" w:hAnsi="仿宋" w:eastAsia="仿宋" w:cs="华文细黑"/>
                <w:color w:val="auto"/>
                <w:sz w:val="28"/>
                <w:szCs w:val="28"/>
                <w:highlight w:val="none"/>
              </w:rPr>
            </w:pPr>
          </w:p>
        </w:tc>
        <w:tc>
          <w:tcPr>
            <w:tcW w:w="6344" w:type="dxa"/>
            <w:gridSpan w:val="2"/>
            <w:vAlign w:val="center"/>
          </w:tcPr>
          <w:p w14:paraId="46D94CBB">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注：投标人证明必须真实，若有弄虚作假，则按响应性评审不合格处理。</w:t>
            </w:r>
          </w:p>
        </w:tc>
      </w:tr>
      <w:tr w14:paraId="4DBAB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1350026B">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2-5</w:t>
            </w:r>
          </w:p>
        </w:tc>
        <w:tc>
          <w:tcPr>
            <w:tcW w:w="1842" w:type="dxa"/>
            <w:vAlign w:val="center"/>
          </w:tcPr>
          <w:p w14:paraId="3A8DF8B4">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社会责任</w:t>
            </w:r>
          </w:p>
          <w:p w14:paraId="625468A3">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c>
          <w:tcPr>
            <w:tcW w:w="5245" w:type="dxa"/>
            <w:vAlign w:val="center"/>
          </w:tcPr>
          <w:p w14:paraId="26F83AD6">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投标人须承诺2021年以来在经营过程中未发现违反市场管理法律、法规而受到处罚，提供承诺书得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分，否则不得分。</w:t>
            </w:r>
          </w:p>
        </w:tc>
        <w:tc>
          <w:tcPr>
            <w:tcW w:w="1099" w:type="dxa"/>
            <w:vAlign w:val="center"/>
          </w:tcPr>
          <w:p w14:paraId="6741D525">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tc>
      </w:tr>
      <w:tr w14:paraId="02213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4FE5A386">
            <w:pPr>
              <w:adjustRightInd w:val="0"/>
              <w:snapToGrid w:val="0"/>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2-</w:t>
            </w:r>
            <w:r>
              <w:rPr>
                <w:rFonts w:ascii="仿宋" w:hAnsi="仿宋" w:eastAsia="仿宋" w:cs="华文细黑"/>
                <w:color w:val="auto"/>
                <w:sz w:val="28"/>
                <w:szCs w:val="28"/>
                <w:highlight w:val="none"/>
              </w:rPr>
              <w:t>6</w:t>
            </w:r>
          </w:p>
        </w:tc>
        <w:tc>
          <w:tcPr>
            <w:tcW w:w="1842" w:type="dxa"/>
            <w:vAlign w:val="center"/>
          </w:tcPr>
          <w:p w14:paraId="24AA761C">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安全保障</w:t>
            </w:r>
          </w:p>
          <w:p w14:paraId="11FF4351">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w:t>
            </w:r>
          </w:p>
        </w:tc>
        <w:tc>
          <w:tcPr>
            <w:tcW w:w="5245" w:type="dxa"/>
            <w:vAlign w:val="center"/>
          </w:tcPr>
          <w:p w14:paraId="7756018C">
            <w:pPr>
              <w:spacing w:line="500" w:lineRule="exact"/>
              <w:ind w:right="31" w:rightChars="15"/>
              <w:jc w:val="left"/>
              <w:rPr>
                <w:rFonts w:hint="eastAsia"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rPr>
              <w:t>①投标人以投保公共责任险≧1000万或投标人针对在营食堂在有效期内的投标餐厅“食品安全责任险”保额1000万的一份</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rPr>
              <w:t>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r>
              <w:rPr>
                <w:rFonts w:hint="eastAsia" w:ascii="仿宋" w:hAnsi="仿宋" w:eastAsia="仿宋" w:cs="华文细黑"/>
                <w:color w:val="auto"/>
                <w:sz w:val="28"/>
                <w:szCs w:val="28"/>
                <w:highlight w:val="none"/>
                <w:lang w:eastAsia="zh-CN"/>
              </w:rPr>
              <w:t>；</w:t>
            </w:r>
          </w:p>
          <w:p w14:paraId="7E272408">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②承诺中标后就本项目餐厅购买公众责任险金额1000万或投保餐厅“食品安全责任险”的</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rPr>
              <w:t>得</w:t>
            </w: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分。</w:t>
            </w:r>
          </w:p>
          <w:p w14:paraId="2E873872">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未提供证明文件、未承诺不得分。</w:t>
            </w:r>
          </w:p>
        </w:tc>
        <w:tc>
          <w:tcPr>
            <w:tcW w:w="1099" w:type="dxa"/>
            <w:vAlign w:val="center"/>
          </w:tcPr>
          <w:p w14:paraId="78D2534B">
            <w:pPr>
              <w:spacing w:line="500" w:lineRule="exact"/>
              <w:ind w:right="31" w:rightChars="15"/>
              <w:jc w:val="center"/>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w:t>
            </w:r>
          </w:p>
        </w:tc>
      </w:tr>
    </w:tbl>
    <w:p w14:paraId="6A77898C">
      <w:pPr>
        <w:numPr>
          <w:ilvl w:val="0"/>
          <w:numId w:val="0"/>
        </w:numPr>
        <w:spacing w:before="120" w:beforeLines="50" w:after="120" w:afterLines="50" w:line="500" w:lineRule="exact"/>
        <w:ind w:leftChars="147" w:right="-78" w:rightChars="0"/>
        <w:rPr>
          <w:rFonts w:hint="eastAsia" w:ascii="仿宋" w:hAnsi="仿宋" w:eastAsia="仿宋" w:cs="华文细黑"/>
          <w:b/>
          <w:color w:val="auto"/>
          <w:sz w:val="32"/>
          <w:szCs w:val="32"/>
          <w:highlight w:val="none"/>
        </w:rPr>
      </w:pPr>
    </w:p>
    <w:p w14:paraId="3E40A4C8">
      <w:pPr>
        <w:numPr>
          <w:ilvl w:val="0"/>
          <w:numId w:val="1"/>
        </w:numPr>
        <w:spacing w:before="120" w:beforeLines="50" w:line="500" w:lineRule="exact"/>
        <w:ind w:left="0" w:leftChars="0"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价格分F3（满分</w:t>
      </w:r>
      <w:r>
        <w:rPr>
          <w:rFonts w:hint="eastAsia" w:ascii="仿宋" w:hAnsi="仿宋" w:eastAsia="仿宋" w:cs="华文细黑"/>
          <w:color w:val="auto"/>
          <w:sz w:val="32"/>
          <w:szCs w:val="32"/>
          <w:highlight w:val="none"/>
          <w:lang w:val="en-US" w:eastAsia="zh-CN"/>
        </w:rPr>
        <w:t>50</w:t>
      </w:r>
      <w:r>
        <w:rPr>
          <w:rFonts w:hint="eastAsia" w:ascii="仿宋" w:hAnsi="仿宋" w:eastAsia="仿宋" w:cs="华文细黑"/>
          <w:b/>
          <w:color w:val="auto"/>
          <w:sz w:val="32"/>
          <w:szCs w:val="32"/>
          <w:highlight w:val="none"/>
        </w:rPr>
        <w:t>分）</w:t>
      </w:r>
    </w:p>
    <w:p w14:paraId="3A350835">
      <w:pPr>
        <w:pStyle w:val="8"/>
        <w:numPr>
          <w:ilvl w:val="255"/>
          <w:numId w:val="0"/>
        </w:numPr>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报价组成：报价明确场地租金、水、电、燃气、公共能耗费用及其他餐饮中心运营管理费用均由中标人承担，评标对场地租金进行评分，场地租金按保底价格收取；评分分</w:t>
      </w:r>
      <w:r>
        <w:rPr>
          <w:rFonts w:hint="eastAsia" w:ascii="仿宋" w:hAnsi="仿宋" w:eastAsia="仿宋" w:cs="华文细黑"/>
          <w:color w:val="auto"/>
          <w:sz w:val="32"/>
          <w:szCs w:val="32"/>
          <w:highlight w:val="none"/>
          <w:lang w:val="en-US" w:eastAsia="zh-CN"/>
        </w:rPr>
        <w:t>三</w:t>
      </w:r>
      <w:r>
        <w:rPr>
          <w:rFonts w:hint="eastAsia" w:ascii="仿宋" w:hAnsi="仿宋" w:eastAsia="仿宋" w:cs="华文细黑"/>
          <w:color w:val="auto"/>
          <w:sz w:val="32"/>
          <w:szCs w:val="32"/>
          <w:highlight w:val="none"/>
        </w:rPr>
        <w:t>部分。中标方无需承担物业管理服务费。</w:t>
      </w:r>
    </w:p>
    <w:tbl>
      <w:tblPr>
        <w:tblStyle w:val="19"/>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03A84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32A09BDD">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序号</w:t>
            </w:r>
          </w:p>
        </w:tc>
        <w:tc>
          <w:tcPr>
            <w:tcW w:w="1842" w:type="dxa"/>
            <w:vAlign w:val="center"/>
          </w:tcPr>
          <w:p w14:paraId="1C80DB1D">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245" w:type="dxa"/>
            <w:vAlign w:val="center"/>
          </w:tcPr>
          <w:p w14:paraId="563D602F">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099" w:type="dxa"/>
            <w:vAlign w:val="center"/>
          </w:tcPr>
          <w:p w14:paraId="3C1D18F1">
            <w:pPr>
              <w:pStyle w:val="28"/>
              <w:autoSpaceDE/>
              <w:autoSpaceDN/>
              <w:adjustRightInd/>
              <w:spacing w:line="500" w:lineRule="exact"/>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3C0F1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101" w:type="dxa"/>
            <w:vAlign w:val="center"/>
          </w:tcPr>
          <w:p w14:paraId="3ECF72DA">
            <w:pPr>
              <w:adjustRightInd w:val="0"/>
              <w:snapToGrid w:val="0"/>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p>
        </w:tc>
        <w:tc>
          <w:tcPr>
            <w:tcW w:w="1842" w:type="dxa"/>
            <w:vAlign w:val="center"/>
          </w:tcPr>
          <w:p w14:paraId="003E1ED2">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保底价格</w:t>
            </w:r>
          </w:p>
        </w:tc>
        <w:tc>
          <w:tcPr>
            <w:tcW w:w="5245" w:type="dxa"/>
            <w:vAlign w:val="center"/>
          </w:tcPr>
          <w:p w14:paraId="51CD5BDC">
            <w:pPr>
              <w:spacing w:line="500" w:lineRule="exact"/>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本项目月场地</w:t>
            </w:r>
            <w:r>
              <w:rPr>
                <w:rFonts w:hint="eastAsia" w:ascii="仿宋" w:hAnsi="仿宋" w:eastAsia="仿宋" w:cs="华文细黑"/>
                <w:color w:val="auto"/>
                <w:sz w:val="28"/>
                <w:szCs w:val="28"/>
                <w:highlight w:val="none"/>
                <w:lang w:val="en-US" w:eastAsia="zh-CN"/>
              </w:rPr>
              <w:t>租金以</w:t>
            </w:r>
            <w:r>
              <w:rPr>
                <w:rFonts w:hint="eastAsia" w:ascii="仿宋" w:hAnsi="仿宋" w:eastAsia="仿宋" w:cs="华文细黑"/>
                <w:color w:val="auto"/>
                <w:sz w:val="28"/>
                <w:szCs w:val="28"/>
                <w:highlight w:val="none"/>
              </w:rPr>
              <w:t>保底价</w:t>
            </w:r>
            <w:r>
              <w:rPr>
                <w:rFonts w:hint="eastAsia" w:ascii="仿宋" w:hAnsi="仿宋" w:eastAsia="仿宋" w:cs="华文细黑"/>
                <w:color w:val="auto"/>
                <w:sz w:val="28"/>
                <w:szCs w:val="28"/>
                <w:highlight w:val="none"/>
                <w:lang w:val="en-US" w:eastAsia="zh-CN"/>
              </w:rPr>
              <w:t>7000</w:t>
            </w:r>
            <w:r>
              <w:rPr>
                <w:rFonts w:hint="eastAsia" w:ascii="仿宋" w:hAnsi="仿宋" w:eastAsia="仿宋" w:cs="华文细黑"/>
                <w:color w:val="auto"/>
                <w:sz w:val="28"/>
                <w:szCs w:val="28"/>
                <w:highlight w:val="none"/>
              </w:rPr>
              <w:t>元</w:t>
            </w:r>
            <w:r>
              <w:rPr>
                <w:rFonts w:hint="eastAsia" w:ascii="仿宋" w:hAnsi="仿宋" w:eastAsia="仿宋" w:cs="华文细黑"/>
                <w:color w:val="auto"/>
                <w:sz w:val="28"/>
                <w:szCs w:val="28"/>
                <w:highlight w:val="none"/>
                <w:lang w:val="en-US" w:eastAsia="zh-CN"/>
              </w:rPr>
              <w:t>为基准</w:t>
            </w: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报价</w:t>
            </w:r>
            <w:r>
              <w:rPr>
                <w:rFonts w:hint="eastAsia" w:ascii="仿宋" w:hAnsi="仿宋" w:eastAsia="仿宋" w:cs="华文细黑"/>
                <w:color w:val="auto"/>
                <w:sz w:val="28"/>
                <w:szCs w:val="28"/>
                <w:highlight w:val="none"/>
              </w:rPr>
              <w:t>等于</w:t>
            </w:r>
            <w:r>
              <w:rPr>
                <w:rFonts w:hint="eastAsia" w:ascii="仿宋" w:hAnsi="仿宋" w:eastAsia="仿宋" w:cs="华文细黑"/>
                <w:color w:val="auto"/>
                <w:sz w:val="28"/>
                <w:szCs w:val="28"/>
                <w:highlight w:val="none"/>
                <w:lang w:val="en-US" w:eastAsia="zh-CN"/>
              </w:rPr>
              <w:t>7000元</w:t>
            </w:r>
            <w:r>
              <w:rPr>
                <w:rFonts w:hint="eastAsia" w:ascii="仿宋" w:hAnsi="仿宋" w:eastAsia="仿宋" w:cs="华文细黑"/>
                <w:color w:val="auto"/>
                <w:sz w:val="28"/>
                <w:szCs w:val="28"/>
                <w:highlight w:val="none"/>
              </w:rPr>
              <w:t>得10分</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lang w:val="en-US" w:eastAsia="zh-CN"/>
              </w:rPr>
              <w:t>报价高于7000元的，</w:t>
            </w:r>
            <w:r>
              <w:rPr>
                <w:rFonts w:hint="eastAsia" w:ascii="仿宋" w:hAnsi="仿宋" w:eastAsia="仿宋" w:cs="华文细黑"/>
                <w:color w:val="auto"/>
                <w:sz w:val="28"/>
                <w:szCs w:val="28"/>
                <w:highlight w:val="none"/>
              </w:rPr>
              <w:t>每增加</w:t>
            </w:r>
            <w:r>
              <w:rPr>
                <w:rFonts w:hint="eastAsia" w:ascii="仿宋" w:hAnsi="仿宋" w:eastAsia="仿宋" w:cs="华文细黑"/>
                <w:color w:val="auto"/>
                <w:sz w:val="28"/>
                <w:szCs w:val="28"/>
                <w:highlight w:val="none"/>
                <w:lang w:val="en-US" w:eastAsia="zh-CN"/>
              </w:rPr>
              <w:t>1000</w:t>
            </w:r>
            <w:r>
              <w:rPr>
                <w:rFonts w:hint="eastAsia" w:ascii="仿宋" w:hAnsi="仿宋" w:eastAsia="仿宋" w:cs="华文细黑"/>
                <w:color w:val="auto"/>
                <w:sz w:val="28"/>
                <w:szCs w:val="28"/>
                <w:highlight w:val="none"/>
              </w:rPr>
              <w:t>元</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lang w:val="en-US" w:eastAsia="zh-CN"/>
              </w:rPr>
              <w:t>不足1000元部分不计）</w:t>
            </w:r>
            <w:r>
              <w:rPr>
                <w:rFonts w:hint="eastAsia" w:ascii="仿宋" w:hAnsi="仿宋" w:eastAsia="仿宋" w:cs="华文细黑"/>
                <w:color w:val="auto"/>
                <w:sz w:val="28"/>
                <w:szCs w:val="28"/>
                <w:highlight w:val="none"/>
              </w:rPr>
              <w:t>加</w:t>
            </w: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分，满分</w:t>
            </w:r>
            <w:r>
              <w:rPr>
                <w:rFonts w:hint="eastAsia" w:ascii="仿宋" w:hAnsi="仿宋" w:eastAsia="仿宋" w:cs="华文细黑"/>
                <w:color w:val="auto"/>
                <w:sz w:val="28"/>
                <w:szCs w:val="28"/>
                <w:highlight w:val="none"/>
                <w:lang w:val="en-US" w:eastAsia="zh-CN"/>
              </w:rPr>
              <w:t>20</w:t>
            </w:r>
            <w:r>
              <w:rPr>
                <w:rFonts w:hint="eastAsia" w:ascii="仿宋" w:hAnsi="仿宋" w:eastAsia="仿宋" w:cs="华文细黑"/>
                <w:color w:val="auto"/>
                <w:sz w:val="28"/>
                <w:szCs w:val="28"/>
                <w:highlight w:val="none"/>
              </w:rPr>
              <w:t xml:space="preserve"> 分。</w:t>
            </w:r>
          </w:p>
        </w:tc>
        <w:tc>
          <w:tcPr>
            <w:tcW w:w="1099" w:type="dxa"/>
            <w:vAlign w:val="center"/>
          </w:tcPr>
          <w:p w14:paraId="31768F2A">
            <w:pPr>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0分</w:t>
            </w:r>
          </w:p>
        </w:tc>
      </w:tr>
      <w:tr w14:paraId="482F6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shd w:val="clear" w:color="auto" w:fill="auto"/>
            <w:vAlign w:val="center"/>
          </w:tcPr>
          <w:p w14:paraId="4437FF7B">
            <w:pPr>
              <w:spacing w:line="4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3-2</w:t>
            </w:r>
          </w:p>
        </w:tc>
        <w:tc>
          <w:tcPr>
            <w:tcW w:w="1842" w:type="dxa"/>
            <w:shd w:val="clear" w:color="auto" w:fill="auto"/>
            <w:vAlign w:val="center"/>
          </w:tcPr>
          <w:p w14:paraId="56E5C502">
            <w:pPr>
              <w:spacing w:line="400" w:lineRule="exact"/>
              <w:jc w:val="center"/>
              <w:rPr>
                <w:rFonts w:hint="eastAsia" w:ascii="宋体" w:hAnsi="宋体" w:eastAsia="宋体" w:cs="Times New Roman"/>
                <w:color w:val="auto"/>
                <w:kern w:val="2"/>
                <w:sz w:val="28"/>
                <w:szCs w:val="28"/>
                <w:highlight w:val="none"/>
                <w:lang w:val="en-US" w:eastAsia="zh-CN" w:bidi="ar-SA"/>
              </w:rPr>
            </w:pPr>
            <w:r>
              <w:rPr>
                <w:rFonts w:hint="eastAsia" w:ascii="仿宋" w:hAnsi="仿宋" w:eastAsia="仿宋" w:cs="华文细黑"/>
                <w:color w:val="auto"/>
                <w:sz w:val="28"/>
                <w:szCs w:val="28"/>
                <w:highlight w:val="none"/>
                <w:lang w:val="en-US" w:eastAsia="zh-CN"/>
              </w:rPr>
              <w:t>营业收入提成比例</w:t>
            </w:r>
          </w:p>
        </w:tc>
        <w:tc>
          <w:tcPr>
            <w:tcW w:w="5245" w:type="dxa"/>
            <w:shd w:val="clear" w:color="auto" w:fill="auto"/>
            <w:vAlign w:val="center"/>
          </w:tcPr>
          <w:p w14:paraId="32FAD698">
            <w:pPr>
              <w:spacing w:line="500" w:lineRule="exact"/>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i w:val="0"/>
                <w:iCs w:val="0"/>
                <w:caps w:val="0"/>
                <w:color w:val="auto"/>
                <w:spacing w:val="0"/>
                <w:sz w:val="28"/>
                <w:szCs w:val="28"/>
                <w:highlight w:val="none"/>
                <w:shd w:val="clear"/>
              </w:rPr>
              <w:t>本项目</w:t>
            </w:r>
            <w:r>
              <w:rPr>
                <w:rFonts w:hint="eastAsia" w:ascii="仿宋" w:hAnsi="仿宋" w:eastAsia="仿宋" w:cs="华文细黑"/>
                <w:i w:val="0"/>
                <w:iCs w:val="0"/>
                <w:caps w:val="0"/>
                <w:color w:val="auto"/>
                <w:spacing w:val="0"/>
                <w:sz w:val="28"/>
                <w:szCs w:val="28"/>
                <w:highlight w:val="none"/>
                <w:shd w:val="clear"/>
                <w:lang w:val="en-US" w:eastAsia="zh-CN"/>
              </w:rPr>
              <w:t>场地</w:t>
            </w:r>
            <w:r>
              <w:rPr>
                <w:rFonts w:hint="eastAsia" w:ascii="仿宋" w:hAnsi="仿宋" w:eastAsia="仿宋" w:cs="华文细黑"/>
                <w:i w:val="0"/>
                <w:iCs w:val="0"/>
                <w:caps w:val="0"/>
                <w:color w:val="auto"/>
                <w:spacing w:val="0"/>
                <w:sz w:val="28"/>
                <w:szCs w:val="28"/>
                <w:highlight w:val="none"/>
                <w:shd w:val="clear"/>
              </w:rPr>
              <w:t>租金由保底租金和超额提成</w:t>
            </w:r>
            <w:r>
              <w:rPr>
                <w:rFonts w:hint="eastAsia" w:ascii="仿宋" w:hAnsi="仿宋" w:eastAsia="仿宋" w:cs="华文细黑"/>
                <w:i w:val="0"/>
                <w:iCs w:val="0"/>
                <w:caps w:val="0"/>
                <w:color w:val="auto"/>
                <w:spacing w:val="0"/>
                <w:sz w:val="28"/>
                <w:szCs w:val="28"/>
                <w:highlight w:val="none"/>
                <w:shd w:val="clear"/>
                <w:lang w:val="en-US" w:eastAsia="zh-CN"/>
              </w:rPr>
              <w:t>租金</w:t>
            </w:r>
            <w:r>
              <w:rPr>
                <w:rFonts w:hint="eastAsia" w:ascii="仿宋" w:hAnsi="仿宋" w:eastAsia="仿宋" w:cs="华文细黑"/>
                <w:i w:val="0"/>
                <w:iCs w:val="0"/>
                <w:caps w:val="0"/>
                <w:color w:val="auto"/>
                <w:spacing w:val="0"/>
                <w:sz w:val="28"/>
                <w:szCs w:val="28"/>
                <w:highlight w:val="none"/>
                <w:shd w:val="clear"/>
              </w:rPr>
              <w:t>两部分组成。当月营业收入在15万元（含）以内时，仅收取保底租金；当月营业收入超过15万元时，除保底租金外，超出部分按投标人所报提成比例计算超额提成租金。投标人须在报价中填报超额提成</w:t>
            </w:r>
            <w:r>
              <w:rPr>
                <w:rFonts w:hint="eastAsia" w:ascii="仿宋" w:hAnsi="仿宋" w:eastAsia="仿宋" w:cs="华文细黑"/>
                <w:i w:val="0"/>
                <w:iCs w:val="0"/>
                <w:caps w:val="0"/>
                <w:color w:val="auto"/>
                <w:spacing w:val="0"/>
                <w:sz w:val="28"/>
                <w:szCs w:val="28"/>
                <w:highlight w:val="none"/>
                <w:shd w:val="clear"/>
                <w:lang w:val="en-US" w:eastAsia="zh-CN"/>
              </w:rPr>
              <w:t>租金</w:t>
            </w:r>
            <w:r>
              <w:rPr>
                <w:rFonts w:hint="eastAsia" w:ascii="仿宋" w:hAnsi="仿宋" w:eastAsia="仿宋" w:cs="华文细黑"/>
                <w:i w:val="0"/>
                <w:iCs w:val="0"/>
                <w:caps w:val="0"/>
                <w:color w:val="auto"/>
                <w:spacing w:val="0"/>
                <w:sz w:val="28"/>
                <w:szCs w:val="28"/>
                <w:highlight w:val="none"/>
                <w:shd w:val="clear"/>
              </w:rPr>
              <w:t>比例（以百分比表示</w:t>
            </w:r>
            <w:r>
              <w:rPr>
                <w:rFonts w:hint="eastAsia" w:ascii="仿宋" w:hAnsi="仿宋" w:eastAsia="仿宋" w:cs="华文细黑"/>
                <w:i w:val="0"/>
                <w:iCs w:val="0"/>
                <w:caps w:val="0"/>
                <w:color w:val="auto"/>
                <w:spacing w:val="0"/>
                <w:sz w:val="28"/>
                <w:szCs w:val="28"/>
                <w:highlight w:val="none"/>
                <w:shd w:val="clear"/>
                <w:lang w:eastAsia="zh-CN"/>
              </w:rPr>
              <w:t>，</w:t>
            </w:r>
            <w:r>
              <w:rPr>
                <w:rFonts w:hint="eastAsia" w:ascii="仿宋" w:hAnsi="仿宋" w:eastAsia="仿宋" w:cs="华文细黑"/>
                <w:i w:val="0"/>
                <w:iCs w:val="0"/>
                <w:caps w:val="0"/>
                <w:color w:val="auto"/>
                <w:spacing w:val="0"/>
                <w:sz w:val="28"/>
                <w:szCs w:val="28"/>
                <w:highlight w:val="none"/>
                <w:shd w:val="clear"/>
                <w:lang w:val="en-US" w:eastAsia="zh-CN"/>
              </w:rPr>
              <w:t>即%</w:t>
            </w:r>
            <w:r>
              <w:rPr>
                <w:rFonts w:hint="eastAsia" w:ascii="仿宋" w:hAnsi="仿宋" w:eastAsia="仿宋" w:cs="华文细黑"/>
                <w:i w:val="0"/>
                <w:iCs w:val="0"/>
                <w:caps w:val="0"/>
                <w:color w:val="auto"/>
                <w:spacing w:val="0"/>
                <w:sz w:val="28"/>
                <w:szCs w:val="28"/>
                <w:highlight w:val="none"/>
                <w:shd w:val="clear"/>
              </w:rPr>
              <w:t>）。评分标准：</w:t>
            </w:r>
            <w:r>
              <w:rPr>
                <w:rFonts w:hint="eastAsia" w:ascii="仿宋" w:hAnsi="仿宋" w:eastAsia="仿宋" w:cs="华文细黑"/>
                <w:i w:val="0"/>
                <w:iCs w:val="0"/>
                <w:caps w:val="0"/>
                <w:color w:val="auto"/>
                <w:spacing w:val="0"/>
                <w:sz w:val="28"/>
                <w:szCs w:val="28"/>
                <w:highlight w:val="none"/>
                <w:shd w:val="clear"/>
                <w:lang w:val="en-US" w:eastAsia="zh-CN"/>
              </w:rPr>
              <w:t>提成租金比例低于5%得0分；</w:t>
            </w:r>
            <w:r>
              <w:rPr>
                <w:rFonts w:hint="eastAsia" w:ascii="仿宋" w:hAnsi="仿宋" w:eastAsia="仿宋" w:cs="华文细黑"/>
                <w:i w:val="0"/>
                <w:iCs w:val="0"/>
                <w:caps w:val="0"/>
                <w:color w:val="auto"/>
                <w:spacing w:val="0"/>
                <w:sz w:val="28"/>
                <w:szCs w:val="28"/>
                <w:highlight w:val="none"/>
                <w:shd w:val="clear"/>
              </w:rPr>
              <w:t>提成</w:t>
            </w:r>
            <w:r>
              <w:rPr>
                <w:rFonts w:hint="eastAsia" w:ascii="仿宋" w:hAnsi="仿宋" w:eastAsia="仿宋" w:cs="华文细黑"/>
                <w:i w:val="0"/>
                <w:iCs w:val="0"/>
                <w:caps w:val="0"/>
                <w:color w:val="auto"/>
                <w:spacing w:val="0"/>
                <w:sz w:val="28"/>
                <w:szCs w:val="28"/>
                <w:highlight w:val="none"/>
                <w:shd w:val="clear"/>
                <w:lang w:val="en-US" w:eastAsia="zh-CN"/>
              </w:rPr>
              <w:t>租金</w:t>
            </w:r>
            <w:r>
              <w:rPr>
                <w:rFonts w:hint="eastAsia" w:ascii="仿宋" w:hAnsi="仿宋" w:eastAsia="仿宋" w:cs="华文细黑"/>
                <w:i w:val="0"/>
                <w:iCs w:val="0"/>
                <w:caps w:val="0"/>
                <w:color w:val="auto"/>
                <w:spacing w:val="0"/>
                <w:sz w:val="28"/>
                <w:szCs w:val="28"/>
                <w:highlight w:val="none"/>
                <w:shd w:val="clear"/>
              </w:rPr>
              <w:t>比例为5%得10分，每增加1</w:t>
            </w:r>
            <w:r>
              <w:rPr>
                <w:rFonts w:hint="eastAsia" w:ascii="仿宋" w:hAnsi="仿宋" w:eastAsia="仿宋" w:cs="华文细黑"/>
                <w:i w:val="0"/>
                <w:iCs w:val="0"/>
                <w:caps w:val="0"/>
                <w:color w:val="auto"/>
                <w:spacing w:val="0"/>
                <w:sz w:val="28"/>
                <w:szCs w:val="28"/>
                <w:highlight w:val="none"/>
                <w:shd w:val="clear"/>
                <w:lang w:val="en-US" w:eastAsia="zh-CN"/>
              </w:rPr>
              <w:t>%</w:t>
            </w:r>
            <w:r>
              <w:rPr>
                <w:rFonts w:hint="eastAsia" w:ascii="仿宋" w:hAnsi="仿宋" w:eastAsia="仿宋" w:cs="华文细黑"/>
                <w:i w:val="0"/>
                <w:iCs w:val="0"/>
                <w:caps w:val="0"/>
                <w:color w:val="auto"/>
                <w:spacing w:val="0"/>
                <w:sz w:val="28"/>
                <w:szCs w:val="28"/>
                <w:highlight w:val="none"/>
                <w:shd w:val="clear"/>
              </w:rPr>
              <w:t>（以整数部分计，小数点后部分不计）加2分，满分20分。</w:t>
            </w:r>
          </w:p>
        </w:tc>
        <w:tc>
          <w:tcPr>
            <w:tcW w:w="1099" w:type="dxa"/>
            <w:shd w:val="clear" w:color="auto" w:fill="auto"/>
            <w:vAlign w:val="center"/>
          </w:tcPr>
          <w:p w14:paraId="6823F5C0">
            <w:pPr>
              <w:spacing w:line="400" w:lineRule="exact"/>
              <w:jc w:val="center"/>
              <w:rPr>
                <w:rFonts w:hint="default" w:ascii="宋体" w:hAnsi="宋体" w:eastAsia="宋体" w:cs="Times New Roman"/>
                <w:bCs/>
                <w:color w:val="auto"/>
                <w:kern w:val="2"/>
                <w:sz w:val="24"/>
                <w:szCs w:val="24"/>
                <w:highlight w:val="none"/>
                <w:lang w:val="en-US" w:eastAsia="zh-CN" w:bidi="ar-SA"/>
              </w:rPr>
            </w:pPr>
            <w:r>
              <w:rPr>
                <w:rFonts w:hint="eastAsia" w:ascii="仿宋" w:hAnsi="仿宋" w:eastAsia="仿宋" w:cs="华文细黑"/>
                <w:color w:val="auto"/>
                <w:sz w:val="28"/>
                <w:szCs w:val="28"/>
                <w:highlight w:val="none"/>
                <w:lang w:val="en-US" w:eastAsia="zh-CN"/>
              </w:rPr>
              <w:t>20分</w:t>
            </w:r>
          </w:p>
        </w:tc>
      </w:tr>
      <w:tr w14:paraId="3F57AF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5D8B6BB0">
            <w:pPr>
              <w:adjustRightInd w:val="0"/>
              <w:snapToGrid w:val="0"/>
              <w:spacing w:line="500" w:lineRule="exact"/>
              <w:jc w:val="center"/>
              <w:rPr>
                <w:rFonts w:hint="eastAsia"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rPr>
              <w:t>3-</w:t>
            </w:r>
            <w:r>
              <w:rPr>
                <w:rFonts w:hint="eastAsia" w:ascii="仿宋" w:hAnsi="仿宋" w:eastAsia="仿宋" w:cs="华文细黑"/>
                <w:color w:val="auto"/>
                <w:sz w:val="28"/>
                <w:szCs w:val="28"/>
                <w:highlight w:val="none"/>
                <w:lang w:val="en-US" w:eastAsia="zh-CN"/>
              </w:rPr>
              <w:t>3</w:t>
            </w:r>
          </w:p>
        </w:tc>
        <w:tc>
          <w:tcPr>
            <w:tcW w:w="1842" w:type="dxa"/>
            <w:vAlign w:val="center"/>
          </w:tcPr>
          <w:p w14:paraId="7301B84A">
            <w:pPr>
              <w:spacing w:line="500" w:lineRule="exact"/>
              <w:ind w:right="31" w:rightChars="15"/>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免租期</w:t>
            </w:r>
          </w:p>
        </w:tc>
        <w:tc>
          <w:tcPr>
            <w:tcW w:w="5245" w:type="dxa"/>
            <w:vAlign w:val="center"/>
          </w:tcPr>
          <w:p w14:paraId="7171EE47">
            <w:pPr>
              <w:keepNext w:val="0"/>
              <w:keepLines w:val="0"/>
              <w:widowControl/>
              <w:numPr>
                <w:ilvl w:val="0"/>
                <w:numId w:val="2"/>
              </w:numPr>
              <w:suppressLineNumbers w:val="0"/>
              <w:spacing w:before="0" w:beforeAutospacing="1" w:after="0" w:afterAutospacing="1" w:line="500" w:lineRule="exact"/>
              <w:ind w:left="0" w:hanging="363"/>
              <w:jc w:val="left"/>
              <w:rPr>
                <w:color w:val="auto"/>
                <w:sz w:val="28"/>
                <w:szCs w:val="28"/>
                <w:highlight w:val="none"/>
              </w:rPr>
            </w:pPr>
            <w:r>
              <w:rPr>
                <w:rFonts w:hint="eastAsia" w:ascii="仿宋" w:hAnsi="仿宋" w:eastAsia="仿宋" w:cs="华文细黑"/>
                <w:color w:val="auto"/>
                <w:sz w:val="28"/>
                <w:szCs w:val="28"/>
                <w:highlight w:val="none"/>
              </w:rPr>
              <w:t>最长免租期不得超过1个月</w:t>
            </w:r>
            <w:r>
              <w:rPr>
                <w:rFonts w:hint="eastAsia" w:ascii="仿宋" w:hAnsi="仿宋" w:eastAsia="仿宋" w:cs="华文细黑"/>
                <w:color w:val="auto"/>
                <w:sz w:val="28"/>
                <w:szCs w:val="28"/>
                <w:highlight w:val="none"/>
                <w:lang w:eastAsia="zh-CN"/>
              </w:rPr>
              <w:t>。</w:t>
            </w:r>
          </w:p>
          <w:p w14:paraId="286A9919">
            <w:pPr>
              <w:widowControl/>
              <w:numPr>
                <w:ilvl w:val="0"/>
                <w:numId w:val="2"/>
              </w:numPr>
              <w:spacing w:beforeAutospacing="1" w:afterAutospacing="1" w:line="500" w:lineRule="exact"/>
              <w:ind w:left="0" w:right="0" w:rightChars="0" w:hanging="363"/>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①报价免租期</w:t>
            </w:r>
            <w:r>
              <w:rPr>
                <w:rFonts w:hint="eastAsia" w:ascii="仿宋" w:hAnsi="仿宋" w:eastAsia="仿宋" w:cs="华文细黑"/>
                <w:color w:val="auto"/>
                <w:sz w:val="28"/>
                <w:szCs w:val="28"/>
                <w:highlight w:val="none"/>
                <w:lang w:val="en-US" w:eastAsia="zh-CN"/>
              </w:rPr>
              <w:t>大于0个月且不超过</w:t>
            </w:r>
            <w:r>
              <w:rPr>
                <w:rFonts w:hint="eastAsia" w:ascii="仿宋" w:hAnsi="仿宋" w:eastAsia="仿宋" w:cs="华文细黑"/>
                <w:color w:val="auto"/>
                <w:sz w:val="28"/>
                <w:szCs w:val="28"/>
                <w:highlight w:val="none"/>
              </w:rPr>
              <w:t>1个月</w:t>
            </w:r>
            <w:r>
              <w:rPr>
                <w:rFonts w:hint="eastAsia" w:ascii="仿宋" w:hAnsi="仿宋" w:eastAsia="仿宋" w:cs="华文细黑"/>
                <w:color w:val="auto"/>
                <w:sz w:val="28"/>
                <w:szCs w:val="28"/>
                <w:highlight w:val="none"/>
                <w:lang w:val="en-US" w:eastAsia="zh-CN"/>
              </w:rPr>
              <w:t>的，</w:t>
            </w:r>
            <w:r>
              <w:rPr>
                <w:rFonts w:hint="eastAsia" w:ascii="仿宋" w:hAnsi="仿宋" w:eastAsia="仿宋" w:cs="华文细黑"/>
                <w:color w:val="auto"/>
                <w:sz w:val="28"/>
                <w:szCs w:val="28"/>
                <w:highlight w:val="none"/>
              </w:rPr>
              <w:t>得</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r>
              <w:rPr>
                <w:rFonts w:hint="eastAsia" w:ascii="仿宋" w:hAnsi="仿宋" w:eastAsia="仿宋" w:cs="华文细黑"/>
                <w:color w:val="auto"/>
                <w:sz w:val="28"/>
                <w:szCs w:val="28"/>
                <w:highlight w:val="none"/>
                <w:lang w:eastAsia="zh-CN"/>
              </w:rPr>
              <w:t>；</w:t>
            </w:r>
          </w:p>
          <w:p w14:paraId="0E6C529E">
            <w:pPr>
              <w:widowControl/>
              <w:numPr>
                <w:ilvl w:val="0"/>
                <w:numId w:val="2"/>
              </w:numPr>
              <w:spacing w:beforeAutospacing="1" w:afterAutospacing="1" w:line="500" w:lineRule="exact"/>
              <w:ind w:left="0" w:right="0" w:rightChars="0" w:hanging="363"/>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②</w:t>
            </w:r>
            <w:r>
              <w:rPr>
                <w:rFonts w:hint="eastAsia" w:ascii="仿宋" w:hAnsi="仿宋" w:eastAsia="仿宋" w:cs="华文细黑"/>
                <w:color w:val="auto"/>
                <w:sz w:val="28"/>
                <w:szCs w:val="28"/>
                <w:highlight w:val="none"/>
                <w:lang w:eastAsia="zh-CN"/>
              </w:rPr>
              <w:t>报价</w:t>
            </w:r>
            <w:r>
              <w:rPr>
                <w:rFonts w:hint="eastAsia" w:ascii="仿宋" w:hAnsi="仿宋" w:eastAsia="仿宋" w:cs="华文细黑"/>
                <w:color w:val="auto"/>
                <w:sz w:val="28"/>
                <w:szCs w:val="28"/>
                <w:highlight w:val="none"/>
                <w:lang w:val="en-US" w:eastAsia="zh-CN"/>
              </w:rPr>
              <w:t>为0个月，即</w:t>
            </w:r>
            <w:r>
              <w:rPr>
                <w:rFonts w:hint="eastAsia" w:ascii="仿宋" w:hAnsi="仿宋" w:eastAsia="仿宋" w:cs="华文细黑"/>
                <w:color w:val="auto"/>
                <w:sz w:val="28"/>
                <w:szCs w:val="28"/>
                <w:highlight w:val="none"/>
                <w:lang w:eastAsia="zh-CN"/>
              </w:rPr>
              <w:t>无需免租期</w:t>
            </w:r>
            <w:r>
              <w:rPr>
                <w:rFonts w:hint="eastAsia" w:ascii="仿宋" w:hAnsi="仿宋" w:eastAsia="仿宋" w:cs="华文细黑"/>
                <w:color w:val="auto"/>
                <w:sz w:val="28"/>
                <w:szCs w:val="28"/>
                <w:highlight w:val="none"/>
                <w:lang w:val="en-US" w:eastAsia="zh-CN"/>
              </w:rPr>
              <w:t>的，</w:t>
            </w:r>
            <w:r>
              <w:rPr>
                <w:rFonts w:hint="eastAsia" w:ascii="仿宋" w:hAnsi="仿宋" w:eastAsia="仿宋" w:cs="华文细黑"/>
                <w:color w:val="auto"/>
                <w:sz w:val="28"/>
                <w:szCs w:val="28"/>
                <w:highlight w:val="none"/>
                <w:lang w:eastAsia="zh-CN"/>
              </w:rPr>
              <w:t>得</w:t>
            </w:r>
            <w:r>
              <w:rPr>
                <w:rFonts w:hint="eastAsia" w:ascii="仿宋" w:hAnsi="仿宋" w:eastAsia="仿宋" w:cs="华文细黑"/>
                <w:color w:val="auto"/>
                <w:sz w:val="28"/>
                <w:szCs w:val="28"/>
                <w:highlight w:val="none"/>
                <w:lang w:val="en-US" w:eastAsia="zh-CN"/>
              </w:rPr>
              <w:t>10分。</w:t>
            </w:r>
          </w:p>
        </w:tc>
        <w:tc>
          <w:tcPr>
            <w:tcW w:w="1099" w:type="dxa"/>
            <w:vAlign w:val="center"/>
          </w:tcPr>
          <w:p w14:paraId="7FBE9079">
            <w:pPr>
              <w:spacing w:line="500" w:lineRule="exact"/>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10分</w:t>
            </w:r>
          </w:p>
        </w:tc>
      </w:tr>
    </w:tbl>
    <w:p w14:paraId="101F3B57">
      <w:pPr>
        <w:spacing w:line="500" w:lineRule="exact"/>
        <w:rPr>
          <w:rFonts w:hint="eastAsia" w:ascii="仿宋" w:hAnsi="仿宋" w:eastAsia="仿宋" w:cs="华文细黑"/>
          <w:color w:val="auto"/>
          <w:sz w:val="32"/>
          <w:szCs w:val="32"/>
          <w:highlight w:val="none"/>
        </w:rPr>
      </w:pPr>
    </w:p>
    <w:p w14:paraId="31A9DD81">
      <w:pPr>
        <w:spacing w:line="500" w:lineRule="exact"/>
        <w:ind w:firstLine="321" w:firstLineChars="1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 xml:space="preserve">（4）各初审合格投标人综合得分= F1＋F2＋F3 </w:t>
      </w:r>
    </w:p>
    <w:p w14:paraId="72416ACE">
      <w:pPr>
        <w:spacing w:line="500" w:lineRule="exact"/>
        <w:ind w:firstLine="320" w:firstLineChars="1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说明：计算技术汇总得分、商务汇总得分及价格分时，经四舍五入后保留三位小数，计算投标人综合得分时，经四舍五入后保留两位小数。</w:t>
      </w:r>
    </w:p>
    <w:p w14:paraId="0CA4E142">
      <w:pPr>
        <w:spacing w:line="500" w:lineRule="exact"/>
        <w:ind w:firstLine="643" w:firstLineChars="2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18.2推荐中标候选人原则</w:t>
      </w:r>
    </w:p>
    <w:p w14:paraId="78C169C8">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18.2.1排名及排名规则：评标委员会根据以下原则对初审合格的投标人进行排名：</w:t>
      </w:r>
    </w:p>
    <w:p w14:paraId="7F80306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（1）综合得分高者排名在前，即：综合得分最高者排名第一，综合得分次高者排名第二，以此类推。</w:t>
      </w:r>
    </w:p>
    <w:p w14:paraId="3CBE3D4F">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（2）综合得分相同时，投标报价低者排名在前；</w:t>
      </w:r>
    </w:p>
    <w:p w14:paraId="6EA9A979">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（3）综合得分相同且投标报价相同时，技术分得分高者（即F1得分高者）排名在前；</w:t>
      </w:r>
    </w:p>
    <w:p w14:paraId="7231EC2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（4）以上办法都不能确定排名时，评标委员会根据有利于项目实施的原则确定排名。</w:t>
      </w:r>
    </w:p>
    <w:p w14:paraId="7E1F45A3">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18.2.2推荐中标候选人：评标委员会将按比较与评价最优先原则，推荐出中标候选单位，其余的合格投标单位为备选供应商。</w:t>
      </w:r>
    </w:p>
    <w:p w14:paraId="5D7C574A">
      <w:pPr>
        <w:ind w:firstLine="643" w:firstLineChars="200"/>
        <w:rPr>
          <w:rFonts w:ascii="仿宋" w:hAnsi="仿宋" w:eastAsia="仿宋"/>
          <w:b/>
          <w:color w:val="auto"/>
          <w:sz w:val="32"/>
          <w:highlight w:val="none"/>
        </w:rPr>
      </w:pPr>
    </w:p>
    <w:p w14:paraId="3913AC09">
      <w:pPr>
        <w:ind w:firstLine="643" w:firstLineChars="200"/>
        <w:rPr>
          <w:rFonts w:ascii="仿宋" w:hAnsi="仿宋" w:eastAsia="仿宋"/>
          <w:b/>
          <w:color w:val="auto"/>
          <w:sz w:val="32"/>
          <w:highlight w:val="none"/>
        </w:rPr>
      </w:pPr>
      <w:r>
        <w:rPr>
          <w:rFonts w:hint="eastAsia" w:ascii="仿宋" w:hAnsi="仿宋" w:eastAsia="仿宋"/>
          <w:b/>
          <w:color w:val="auto"/>
          <w:sz w:val="32"/>
          <w:highlight w:val="none"/>
        </w:rPr>
        <w:t>18.3.定标准则</w:t>
      </w:r>
    </w:p>
    <w:p w14:paraId="344AE5BE">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1招标人将按照评标报告中推荐的中标候选人顺序确定拟中标人。</w:t>
      </w:r>
    </w:p>
    <w:p w14:paraId="0D4DF081">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2招标人将审查拟中标人的投标人资格、信誉、生产条件、产品技术状态、性能以及其它投标人认为有必要了解的问题。</w:t>
      </w:r>
    </w:p>
    <w:p w14:paraId="72A22DDE">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3如果确定拟中标人无能力履行合同，其投标将被拒绝，招标人将对下一个可能中标的投标人做类似审查。</w:t>
      </w:r>
    </w:p>
    <w:p w14:paraId="2236CD49">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18.3.4接受审查的拟中标人必须如实回答询问或接受招标人的考察，并提供所需的有关资料。</w:t>
      </w:r>
    </w:p>
    <w:p w14:paraId="538B7DF0">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013E65A">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招标人有权在任何时间终止本项目的招标程序，投标人应承担项目终止的所有风险，招标人对此不承担任何责任并且无需向投标人作出任何解释。</w:t>
      </w:r>
    </w:p>
    <w:p w14:paraId="576BECA0">
      <w:pPr>
        <w:pStyle w:val="4"/>
        <w:keepNext w:val="0"/>
        <w:keepLines w:val="0"/>
        <w:spacing w:before="0" w:after="0" w:line="500" w:lineRule="exact"/>
        <w:ind w:firstLine="643" w:firstLineChars="200"/>
        <w:rPr>
          <w:rFonts w:ascii="仿宋" w:hAnsi="仿宋" w:eastAsia="仿宋"/>
          <w:color w:val="auto"/>
          <w:sz w:val="32"/>
          <w:highlight w:val="none"/>
        </w:rPr>
      </w:pPr>
      <w:bookmarkStart w:id="146" w:name="_Toc28650"/>
      <w:bookmarkStart w:id="147" w:name="_Toc191892321"/>
      <w:bookmarkStart w:id="148" w:name="_Toc192925669"/>
      <w:bookmarkStart w:id="149" w:name="_Toc30027"/>
      <w:r>
        <w:rPr>
          <w:rFonts w:hint="eastAsia" w:ascii="仿宋" w:hAnsi="仿宋" w:eastAsia="仿宋"/>
          <w:color w:val="auto"/>
          <w:sz w:val="32"/>
          <w:highlight w:val="none"/>
        </w:rPr>
        <w:t>19. 投标文件的澄清</w:t>
      </w:r>
      <w:bookmarkEnd w:id="146"/>
      <w:bookmarkEnd w:id="147"/>
      <w:bookmarkEnd w:id="148"/>
      <w:bookmarkEnd w:id="149"/>
    </w:p>
    <w:p w14:paraId="077725D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25018AE">
      <w:pPr>
        <w:pStyle w:val="4"/>
        <w:keepNext w:val="0"/>
        <w:keepLines w:val="0"/>
        <w:spacing w:before="0" w:after="0" w:line="500" w:lineRule="exact"/>
        <w:ind w:firstLine="643" w:firstLineChars="200"/>
        <w:rPr>
          <w:rFonts w:ascii="仿宋" w:hAnsi="仿宋" w:eastAsia="仿宋"/>
          <w:color w:val="auto"/>
          <w:sz w:val="32"/>
          <w:highlight w:val="none"/>
        </w:rPr>
      </w:pPr>
      <w:bookmarkStart w:id="150" w:name="_Toc20471"/>
      <w:bookmarkStart w:id="151" w:name="_Toc191892322"/>
      <w:bookmarkStart w:id="152" w:name="_Toc7762"/>
      <w:bookmarkStart w:id="153" w:name="_Toc192925670"/>
      <w:r>
        <w:rPr>
          <w:rFonts w:hint="eastAsia" w:ascii="仿宋" w:hAnsi="仿宋" w:eastAsia="仿宋"/>
          <w:color w:val="auto"/>
          <w:sz w:val="32"/>
          <w:highlight w:val="none"/>
        </w:rPr>
        <w:t>20. 比较与评价</w:t>
      </w:r>
      <w:bookmarkEnd w:id="150"/>
      <w:bookmarkEnd w:id="151"/>
      <w:bookmarkEnd w:id="152"/>
      <w:bookmarkEnd w:id="153"/>
    </w:p>
    <w:p w14:paraId="74139B5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20.1 评标委员会将根据评标方法与标准，对资格性检查和符合性检查合格的投标文件，进行商务和技术评估，综合比较与评价。  </w:t>
      </w:r>
    </w:p>
    <w:p w14:paraId="004BE73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4EB48E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2647608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20.4评标委员会将按比较与评价最优在先原则, 排列评价顺序, 根据在投标人须知前附表中确定的</w:t>
      </w:r>
      <w:bookmarkStart w:id="154" w:name="OLE_LINK1"/>
      <w:r>
        <w:rPr>
          <w:rFonts w:hint="eastAsia" w:ascii="仿宋" w:hAnsi="仿宋" w:eastAsia="仿宋"/>
          <w:color w:val="auto"/>
          <w:sz w:val="32"/>
          <w:szCs w:val="32"/>
          <w:highlight w:val="none"/>
        </w:rPr>
        <w:t>中标候选人</w:t>
      </w:r>
      <w:bookmarkEnd w:id="154"/>
      <w:r>
        <w:rPr>
          <w:rFonts w:hint="eastAsia" w:ascii="仿宋" w:hAnsi="仿宋" w:eastAsia="仿宋"/>
          <w:color w:val="auto"/>
          <w:sz w:val="32"/>
          <w:szCs w:val="32"/>
          <w:highlight w:val="none"/>
        </w:rPr>
        <w:t>数量，推荐出中标候选人。</w:t>
      </w:r>
    </w:p>
    <w:p w14:paraId="7ECC472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20.5 在评标期间，若出现符合本须知规定的所有投标条件的投标人不足三家情形的，本次招标程序终止，除招标任务取消情形外，招标人将依法重新组织招标或者采取竞争性谈判等其他方式采购。</w:t>
      </w:r>
    </w:p>
    <w:p w14:paraId="3B850E05">
      <w:pPr>
        <w:pStyle w:val="3"/>
        <w:keepNext w:val="0"/>
        <w:keepLines w:val="0"/>
        <w:spacing w:before="0" w:after="0" w:line="500" w:lineRule="exact"/>
        <w:jc w:val="center"/>
        <w:rPr>
          <w:rFonts w:ascii="仿宋" w:hAnsi="仿宋" w:eastAsia="仿宋"/>
          <w:color w:val="auto"/>
          <w:sz w:val="32"/>
          <w:highlight w:val="none"/>
        </w:rPr>
      </w:pPr>
      <w:bookmarkStart w:id="155" w:name="_Toc10718"/>
      <w:bookmarkStart w:id="156" w:name="_Toc191892323"/>
      <w:bookmarkStart w:id="157" w:name="_Toc192925671"/>
      <w:bookmarkStart w:id="158" w:name="_Toc22566"/>
      <w:r>
        <w:rPr>
          <w:rFonts w:hint="eastAsia" w:ascii="仿宋" w:hAnsi="仿宋" w:eastAsia="仿宋"/>
          <w:color w:val="auto"/>
          <w:sz w:val="32"/>
          <w:highlight w:val="none"/>
        </w:rPr>
        <w:t>第六节 定标与签订合同</w:t>
      </w:r>
      <w:bookmarkEnd w:id="155"/>
      <w:bookmarkEnd w:id="156"/>
      <w:bookmarkEnd w:id="157"/>
      <w:bookmarkEnd w:id="158"/>
    </w:p>
    <w:p w14:paraId="0DF130E5">
      <w:pPr>
        <w:pStyle w:val="4"/>
        <w:keepNext w:val="0"/>
        <w:keepLines w:val="0"/>
        <w:spacing w:before="0" w:after="0" w:line="500" w:lineRule="exact"/>
        <w:ind w:firstLine="643" w:firstLineChars="200"/>
        <w:rPr>
          <w:rFonts w:ascii="仿宋" w:hAnsi="仿宋" w:eastAsia="仿宋"/>
          <w:color w:val="auto"/>
          <w:sz w:val="32"/>
          <w:highlight w:val="none"/>
        </w:rPr>
      </w:pPr>
      <w:bookmarkStart w:id="159" w:name="_Toc16118"/>
      <w:bookmarkStart w:id="160" w:name="_Toc27933"/>
      <w:bookmarkStart w:id="161" w:name="_Toc191892324"/>
      <w:bookmarkStart w:id="162" w:name="_Toc192925672"/>
      <w:r>
        <w:rPr>
          <w:rFonts w:hint="eastAsia" w:ascii="仿宋" w:hAnsi="仿宋" w:eastAsia="仿宋"/>
          <w:color w:val="auto"/>
          <w:sz w:val="32"/>
          <w:highlight w:val="none"/>
        </w:rPr>
        <w:t>21</w:t>
      </w:r>
      <w:r>
        <w:rPr>
          <w:rFonts w:ascii="仿宋" w:hAnsi="仿宋" w:eastAsia="仿宋"/>
          <w:color w:val="auto"/>
          <w:sz w:val="32"/>
          <w:highlight w:val="none"/>
        </w:rPr>
        <w:t>.</w:t>
      </w:r>
      <w:r>
        <w:rPr>
          <w:rFonts w:hint="eastAsia" w:ascii="仿宋" w:hAnsi="仿宋" w:eastAsia="仿宋"/>
          <w:color w:val="auto"/>
          <w:sz w:val="32"/>
          <w:highlight w:val="none"/>
        </w:rPr>
        <w:t xml:space="preserve"> 定标准则</w:t>
      </w:r>
      <w:bookmarkEnd w:id="159"/>
      <w:bookmarkEnd w:id="160"/>
      <w:bookmarkEnd w:id="161"/>
      <w:bookmarkEnd w:id="162"/>
    </w:p>
    <w:p w14:paraId="258F660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投标人的投标文件符合招标文件要求，按招标文件确定评标标准、方法，经评委评审并推荐中标候选人。</w:t>
      </w:r>
    </w:p>
    <w:p w14:paraId="2B689C37">
      <w:pPr>
        <w:pStyle w:val="4"/>
        <w:keepNext w:val="0"/>
        <w:keepLines w:val="0"/>
        <w:spacing w:before="0" w:after="0" w:line="500" w:lineRule="exact"/>
        <w:ind w:firstLine="643" w:firstLineChars="200"/>
        <w:rPr>
          <w:rFonts w:ascii="仿宋" w:hAnsi="仿宋" w:eastAsia="仿宋"/>
          <w:color w:val="auto"/>
          <w:sz w:val="32"/>
          <w:highlight w:val="none"/>
        </w:rPr>
      </w:pPr>
      <w:bookmarkStart w:id="163" w:name="_Toc29856"/>
      <w:bookmarkStart w:id="164" w:name="_Toc191892325"/>
      <w:bookmarkStart w:id="165" w:name="_Toc13099"/>
      <w:bookmarkStart w:id="166" w:name="_Toc192925673"/>
      <w:r>
        <w:rPr>
          <w:rFonts w:hint="eastAsia" w:ascii="仿宋" w:hAnsi="仿宋" w:eastAsia="仿宋"/>
          <w:color w:val="auto"/>
          <w:sz w:val="32"/>
          <w:highlight w:val="none"/>
        </w:rPr>
        <w:t>22</w:t>
      </w:r>
      <w:r>
        <w:rPr>
          <w:rFonts w:ascii="仿宋" w:hAnsi="仿宋" w:eastAsia="仿宋"/>
          <w:color w:val="auto"/>
          <w:sz w:val="32"/>
          <w:highlight w:val="none"/>
        </w:rPr>
        <w:t xml:space="preserve">. </w:t>
      </w:r>
      <w:r>
        <w:rPr>
          <w:rFonts w:hint="eastAsia" w:ascii="仿宋" w:hAnsi="仿宋" w:eastAsia="仿宋"/>
          <w:color w:val="auto"/>
          <w:sz w:val="32"/>
          <w:highlight w:val="none"/>
        </w:rPr>
        <w:t>中标通知</w:t>
      </w:r>
      <w:bookmarkEnd w:id="163"/>
      <w:bookmarkEnd w:id="164"/>
      <w:bookmarkEnd w:id="165"/>
      <w:bookmarkEnd w:id="166"/>
    </w:p>
    <w:p w14:paraId="4D21E28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 xml:space="preserve">.1 </w:t>
      </w:r>
      <w:r>
        <w:rPr>
          <w:rFonts w:hint="eastAsia" w:ascii="仿宋" w:hAnsi="仿宋" w:eastAsia="仿宋"/>
          <w:color w:val="auto"/>
          <w:sz w:val="32"/>
          <w:szCs w:val="32"/>
          <w:highlight w:val="none"/>
        </w:rPr>
        <w:t>评标结束后，评标结果经招标人流程确认后，招标人将向中标人发出中标通知书。中标通知书对招标人和中标人具有同等法律效力。中标通知书发出后，中标人放弃中标，应承担相应的法律责任。</w:t>
      </w:r>
    </w:p>
    <w:p w14:paraId="29B552F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22.2 招标人将向中标单位发出《中标通知书》，没有中标的其它投标人不另行通知。</w:t>
      </w:r>
    </w:p>
    <w:p w14:paraId="02547F8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3《中标通知书》将作为签订合同的依据。合同签订后，《中标通知书》成为合同的一部分。</w:t>
      </w:r>
    </w:p>
    <w:p w14:paraId="659EF151">
      <w:pPr>
        <w:pStyle w:val="4"/>
        <w:keepNext w:val="0"/>
        <w:keepLines w:val="0"/>
        <w:spacing w:before="0" w:after="0" w:line="500" w:lineRule="exact"/>
        <w:ind w:firstLine="643" w:firstLineChars="200"/>
        <w:rPr>
          <w:rFonts w:ascii="仿宋" w:hAnsi="仿宋" w:eastAsia="仿宋"/>
          <w:color w:val="auto"/>
          <w:sz w:val="32"/>
          <w:highlight w:val="none"/>
        </w:rPr>
      </w:pPr>
      <w:bookmarkStart w:id="167" w:name="_Toc7360"/>
      <w:bookmarkStart w:id="168" w:name="_Toc191892326"/>
      <w:bookmarkStart w:id="169" w:name="_Toc192925674"/>
      <w:bookmarkStart w:id="170" w:name="_Toc11601"/>
      <w:r>
        <w:rPr>
          <w:rFonts w:hint="eastAsia" w:ascii="仿宋" w:hAnsi="仿宋" w:eastAsia="仿宋"/>
          <w:color w:val="auto"/>
          <w:sz w:val="32"/>
          <w:highlight w:val="none"/>
        </w:rPr>
        <w:t>23. 签订合同</w:t>
      </w:r>
      <w:bookmarkEnd w:id="167"/>
      <w:bookmarkEnd w:id="168"/>
      <w:bookmarkEnd w:id="169"/>
      <w:bookmarkEnd w:id="170"/>
    </w:p>
    <w:p w14:paraId="068658B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7318DA2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665D2D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3中标人因不可抗力或者自身原因不能履行合同的，招标人将与排位在中标人之后第一位的中标候选人签订合同，以此类推。</w:t>
      </w:r>
    </w:p>
    <w:p w14:paraId="6AD1761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23.4 中标人未能按招标人的要求，随时提供投标文件中出具的相关证明材料的原件，招标人有权认定投标人存在弄虚作假、骗取中标的行为。</w:t>
      </w:r>
    </w:p>
    <w:p w14:paraId="049B40CE">
      <w:pPr>
        <w:spacing w:line="360" w:lineRule="auto"/>
        <w:ind w:firstLine="560" w:firstLineChars="200"/>
        <w:rPr>
          <w:rFonts w:ascii="仿宋" w:hAnsi="仿宋" w:eastAsia="仿宋"/>
          <w:color w:val="auto"/>
          <w:sz w:val="28"/>
          <w:szCs w:val="28"/>
          <w:highlight w:val="none"/>
        </w:rPr>
      </w:pPr>
    </w:p>
    <w:p w14:paraId="73AB08EC">
      <w:pPr>
        <w:pStyle w:val="2"/>
        <w:keepNext w:val="0"/>
        <w:keepLines w:val="0"/>
        <w:spacing w:before="0" w:after="0" w:line="360" w:lineRule="auto"/>
        <w:jc w:val="center"/>
        <w:rPr>
          <w:rFonts w:ascii="仿宋" w:hAnsi="仿宋" w:eastAsia="仿宋"/>
          <w:color w:val="auto"/>
          <w:szCs w:val="32"/>
          <w:highlight w:val="none"/>
        </w:rPr>
      </w:pPr>
      <w:r>
        <w:rPr>
          <w:rFonts w:ascii="仿宋" w:hAnsi="仿宋" w:eastAsia="仿宋"/>
          <w:color w:val="auto"/>
          <w:highlight w:val="none"/>
        </w:rPr>
        <w:br w:type="page"/>
      </w:r>
      <w:bookmarkStart w:id="171" w:name="_Toc29366"/>
      <w:bookmarkStart w:id="172" w:name="_Toc9955"/>
      <w:r>
        <w:rPr>
          <w:rFonts w:hint="eastAsia" w:ascii="仿宋" w:hAnsi="仿宋" w:eastAsia="仿宋"/>
          <w:color w:val="auto"/>
          <w:szCs w:val="32"/>
          <w:highlight w:val="none"/>
        </w:rPr>
        <w:t>第三章　招标内容及要求</w:t>
      </w:r>
      <w:bookmarkEnd w:id="171"/>
      <w:bookmarkEnd w:id="172"/>
    </w:p>
    <w:p w14:paraId="7C035AB4">
      <w:pPr>
        <w:rPr>
          <w:color w:val="auto"/>
          <w:sz w:val="32"/>
          <w:szCs w:val="32"/>
          <w:highlight w:val="none"/>
        </w:rPr>
      </w:pPr>
    </w:p>
    <w:bookmarkEnd w:id="8"/>
    <w:p w14:paraId="5821CF56">
      <w:pPr>
        <w:pStyle w:val="3"/>
        <w:keepNext w:val="0"/>
        <w:keepLines w:val="0"/>
        <w:spacing w:before="0" w:after="0" w:line="240" w:lineRule="auto"/>
        <w:rPr>
          <w:rFonts w:ascii="仿宋" w:hAnsi="仿宋" w:eastAsia="仿宋"/>
          <w:color w:val="auto"/>
          <w:sz w:val="32"/>
          <w:highlight w:val="none"/>
        </w:rPr>
      </w:pPr>
      <w:bookmarkStart w:id="173" w:name="_Toc525136227"/>
      <w:bookmarkStart w:id="174" w:name="_Toc12245"/>
      <w:bookmarkStart w:id="175" w:name="_Toc5715"/>
      <w:bookmarkStart w:id="176" w:name="_Toc18631"/>
      <w:bookmarkStart w:id="177" w:name="_Toc6644"/>
      <w:bookmarkStart w:id="178" w:name="_Toc3210"/>
      <w:bookmarkStart w:id="179" w:name="_Toc12196"/>
      <w:r>
        <w:rPr>
          <w:rFonts w:hint="eastAsia" w:ascii="仿宋" w:hAnsi="仿宋" w:eastAsia="仿宋"/>
          <w:color w:val="auto"/>
          <w:sz w:val="32"/>
          <w:highlight w:val="none"/>
        </w:rPr>
        <w:t>第一节</w:t>
      </w:r>
      <w:bookmarkEnd w:id="173"/>
      <w:r>
        <w:rPr>
          <w:rFonts w:hint="eastAsia" w:ascii="仿宋" w:hAnsi="仿宋" w:eastAsia="仿宋"/>
          <w:color w:val="auto"/>
          <w:sz w:val="32"/>
          <w:highlight w:val="none"/>
        </w:rPr>
        <w:t>招标内容</w:t>
      </w:r>
      <w:bookmarkEnd w:id="174"/>
      <w:bookmarkEnd w:id="175"/>
      <w:bookmarkEnd w:id="176"/>
      <w:bookmarkEnd w:id="177"/>
      <w:bookmarkEnd w:id="178"/>
    </w:p>
    <w:p w14:paraId="674E985C">
      <w:pPr>
        <w:ind w:firstLine="643" w:firstLineChars="200"/>
        <w:outlineLvl w:val="2"/>
        <w:rPr>
          <w:rFonts w:ascii="仿宋" w:hAnsi="仿宋" w:eastAsia="仿宋"/>
          <w:b/>
          <w:bCs/>
          <w:color w:val="auto"/>
          <w:sz w:val="32"/>
          <w:szCs w:val="32"/>
          <w:highlight w:val="none"/>
        </w:rPr>
      </w:pPr>
      <w:bookmarkStart w:id="180" w:name="_bookmark18"/>
      <w:bookmarkEnd w:id="180"/>
      <w:bookmarkStart w:id="181" w:name="_Toc13801"/>
      <w:bookmarkStart w:id="182" w:name="_Toc25211"/>
      <w:bookmarkStart w:id="183" w:name="_Toc17244"/>
      <w:bookmarkStart w:id="184" w:name="_Toc11812"/>
      <w:r>
        <w:rPr>
          <w:rFonts w:hint="eastAsia" w:ascii="仿宋" w:hAnsi="仿宋" w:eastAsia="仿宋"/>
          <w:b/>
          <w:bCs/>
          <w:color w:val="auto"/>
          <w:sz w:val="32"/>
          <w:szCs w:val="32"/>
          <w:highlight w:val="none"/>
        </w:rPr>
        <w:t>1. 项目名称</w:t>
      </w:r>
      <w:bookmarkEnd w:id="181"/>
      <w:bookmarkEnd w:id="182"/>
      <w:bookmarkEnd w:id="183"/>
      <w:bookmarkEnd w:id="184"/>
    </w:p>
    <w:p w14:paraId="4994F60D">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国贸商务中心餐饮中心运营服务商选聘</w:t>
      </w:r>
      <w:bookmarkStart w:id="185" w:name="_Toc525136228"/>
    </w:p>
    <w:bookmarkEnd w:id="185"/>
    <w:p w14:paraId="2B830718">
      <w:pPr>
        <w:pStyle w:val="3"/>
        <w:keepNext w:val="0"/>
        <w:keepLines w:val="0"/>
        <w:spacing w:before="0" w:after="0" w:line="240" w:lineRule="auto"/>
        <w:rPr>
          <w:rFonts w:ascii="仿宋" w:hAnsi="仿宋" w:eastAsia="仿宋"/>
          <w:color w:val="auto"/>
          <w:sz w:val="32"/>
          <w:highlight w:val="none"/>
        </w:rPr>
      </w:pPr>
      <w:bookmarkStart w:id="186" w:name="_Toc31479"/>
      <w:bookmarkStart w:id="187" w:name="_Toc18955"/>
      <w:bookmarkStart w:id="188" w:name="_Toc3061"/>
      <w:bookmarkStart w:id="189" w:name="_Toc8600"/>
      <w:bookmarkStart w:id="190" w:name="_Toc29926"/>
      <w:r>
        <w:rPr>
          <w:rFonts w:hint="eastAsia" w:ascii="仿宋" w:hAnsi="仿宋" w:eastAsia="仿宋"/>
          <w:color w:val="auto"/>
          <w:sz w:val="32"/>
          <w:highlight w:val="none"/>
        </w:rPr>
        <w:t>第二节项目需求简述</w:t>
      </w:r>
      <w:bookmarkEnd w:id="186"/>
      <w:bookmarkEnd w:id="187"/>
      <w:bookmarkEnd w:id="188"/>
      <w:bookmarkEnd w:id="189"/>
      <w:bookmarkEnd w:id="190"/>
    </w:p>
    <w:p w14:paraId="332B742B">
      <w:pPr>
        <w:numPr>
          <w:ilvl w:val="0"/>
          <w:numId w:val="3"/>
        </w:numPr>
        <w:ind w:firstLine="643" w:firstLineChars="200"/>
        <w:outlineLvl w:val="2"/>
        <w:rPr>
          <w:rFonts w:ascii="仿宋" w:hAnsi="仿宋" w:eastAsia="仿宋"/>
          <w:b/>
          <w:bCs/>
          <w:color w:val="auto"/>
          <w:sz w:val="32"/>
          <w:szCs w:val="32"/>
          <w:highlight w:val="none"/>
        </w:rPr>
      </w:pPr>
      <w:bookmarkStart w:id="191" w:name="_Toc14110"/>
      <w:bookmarkStart w:id="192" w:name="_Toc29025"/>
      <w:bookmarkStart w:id="193" w:name="_Toc5320"/>
      <w:bookmarkStart w:id="194" w:name="_Toc19510"/>
      <w:r>
        <w:rPr>
          <w:rFonts w:hint="eastAsia" w:ascii="仿宋" w:hAnsi="仿宋" w:eastAsia="仿宋"/>
          <w:b/>
          <w:bCs/>
          <w:color w:val="auto"/>
          <w:sz w:val="32"/>
          <w:szCs w:val="32"/>
          <w:highlight w:val="none"/>
        </w:rPr>
        <w:t>项目基本情况说明</w:t>
      </w:r>
      <w:bookmarkEnd w:id="191"/>
      <w:bookmarkEnd w:id="192"/>
      <w:bookmarkEnd w:id="193"/>
      <w:bookmarkEnd w:id="194"/>
    </w:p>
    <w:p w14:paraId="4970B55F">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提供工作日早、中、晚餐及包间运营，前期可向周边写字楼辐射提供服务，但应优先保证本大楼客户服务品质，不对外承接旅游团餐，同时可以根据客户需求开辟个性化包厢定制服务、茶点服务等。</w:t>
      </w:r>
    </w:p>
    <w:p w14:paraId="285735C2">
      <w:pPr>
        <w:numPr>
          <w:ilvl w:val="0"/>
          <w:numId w:val="3"/>
        </w:numPr>
        <w:ind w:firstLine="643" w:firstLineChars="200"/>
        <w:outlineLvl w:val="2"/>
        <w:rPr>
          <w:rFonts w:ascii="仿宋" w:hAnsi="仿宋" w:eastAsia="仿宋"/>
          <w:b/>
          <w:bCs/>
          <w:color w:val="auto"/>
          <w:sz w:val="32"/>
          <w:szCs w:val="32"/>
          <w:highlight w:val="none"/>
        </w:rPr>
      </w:pPr>
      <w:bookmarkStart w:id="195" w:name="_Toc3747"/>
      <w:bookmarkStart w:id="196" w:name="_Toc15438"/>
      <w:bookmarkStart w:id="197" w:name="_Toc4761"/>
      <w:bookmarkStart w:id="198" w:name="_Toc15593"/>
      <w:r>
        <w:rPr>
          <w:rFonts w:hint="eastAsia" w:ascii="仿宋" w:hAnsi="仿宋" w:eastAsia="仿宋"/>
          <w:b/>
          <w:bCs/>
          <w:color w:val="auto"/>
          <w:sz w:val="32"/>
          <w:szCs w:val="32"/>
          <w:highlight w:val="none"/>
        </w:rPr>
        <w:t>招标要求及服务内容</w:t>
      </w:r>
      <w:bookmarkEnd w:id="195"/>
      <w:bookmarkEnd w:id="196"/>
      <w:bookmarkEnd w:id="197"/>
      <w:bookmarkEnd w:id="198"/>
    </w:p>
    <w:p w14:paraId="1AC139D6">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3.1招标人协助中标人向所在</w:t>
      </w:r>
      <w:r>
        <w:rPr>
          <w:rFonts w:hint="eastAsia" w:ascii="仿宋" w:hAnsi="仿宋" w:eastAsia="仿宋" w:cs="仿宋"/>
          <w:color w:val="auto"/>
          <w:sz w:val="32"/>
          <w:szCs w:val="32"/>
          <w:highlight w:val="none"/>
          <w:shd w:val="clear" w:color="auto" w:fill="FFFFFF"/>
        </w:rPr>
        <w:t>市场监督管理局</w:t>
      </w:r>
      <w:r>
        <w:rPr>
          <w:rFonts w:hint="eastAsia" w:ascii="仿宋" w:hAnsi="仿宋" w:eastAsia="仿宋"/>
          <w:color w:val="auto"/>
          <w:sz w:val="32"/>
          <w:szCs w:val="32"/>
          <w:highlight w:val="none"/>
        </w:rPr>
        <w:t>申请办理</w:t>
      </w:r>
      <w:r>
        <w:rPr>
          <w:rFonts w:hint="eastAsia" w:ascii="仿宋" w:hAnsi="仿宋" w:eastAsia="仿宋" w:cs="仿宋"/>
          <w:color w:val="auto"/>
          <w:sz w:val="32"/>
          <w:szCs w:val="32"/>
          <w:highlight w:val="none"/>
          <w:shd w:val="clear" w:color="auto" w:fill="FFFFFF"/>
        </w:rPr>
        <w:t>食品经营许可证</w:t>
      </w:r>
      <w:r>
        <w:rPr>
          <w:rFonts w:hint="eastAsia" w:ascii="仿宋" w:hAnsi="仿宋" w:eastAsia="仿宋"/>
          <w:color w:val="auto"/>
          <w:sz w:val="32"/>
          <w:szCs w:val="32"/>
          <w:highlight w:val="none"/>
        </w:rPr>
        <w:t>。</w:t>
      </w:r>
    </w:p>
    <w:p w14:paraId="5D795EC4">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3.2招标人提供场地、装修及设备（包括厨房设施设备），投标人应提出场地租金报价，最终场地租金、水、电、燃气、公共能耗费用由中标人承担。</w:t>
      </w:r>
    </w:p>
    <w:p w14:paraId="5DB53F3A">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3.3原材料供应商须经招标人同意，招标人之同意并不免除中标人对食品安全保障之义务。</w:t>
      </w:r>
    </w:p>
    <w:p w14:paraId="1A9E4774">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3.4经营范围一般为工作日早餐、中餐、晚餐，特殊情况除外。</w:t>
      </w:r>
    </w:p>
    <w:p w14:paraId="3DBC1417">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投标人工作人员由投标人自行管理，餐饮中心经营过程中产生的食材、日用品、人工薪酬福利待遇、人员培训、工作服、体检、伤残疾病、工伤、社保等费用均由投标人自行承担。</w:t>
      </w:r>
    </w:p>
    <w:p w14:paraId="56F3DE91">
      <w:pPr>
        <w:pStyle w:val="8"/>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3.6所有就餐人员不得现金收银，投标人需明确与就餐人员的收银方式；如就餐人员需要，乙方应提供就餐的正式发票。</w:t>
      </w:r>
    </w:p>
    <w:p w14:paraId="5F651D41">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3.7 餐饮中心的卫生防疫、就餐环境必须达到国家规定的餐饮中心卫生标准；餐饮中心区域内卫生清洁由中标人负责；餐饮中心所产生的生活垃圾由中标人负责清运。餐饮中心</w:t>
      </w:r>
      <w:r>
        <w:rPr>
          <w:rFonts w:hint="eastAsia" w:ascii="仿宋" w:hAnsi="仿宋" w:eastAsia="仿宋"/>
          <w:color w:val="auto"/>
          <w:sz w:val="32"/>
          <w:szCs w:val="32"/>
          <w:highlight w:val="none"/>
          <w:lang w:val="en-US" w:eastAsia="zh-CN"/>
        </w:rPr>
        <w:t>配套</w:t>
      </w:r>
      <w:r>
        <w:rPr>
          <w:rFonts w:hint="eastAsia" w:ascii="仿宋" w:hAnsi="仿宋" w:eastAsia="仿宋"/>
          <w:color w:val="auto"/>
          <w:sz w:val="32"/>
          <w:szCs w:val="32"/>
          <w:highlight w:val="none"/>
        </w:rPr>
        <w:t>设施设备</w:t>
      </w:r>
      <w:r>
        <w:rPr>
          <w:rFonts w:hint="eastAsia" w:ascii="仿宋" w:hAnsi="仿宋" w:eastAsia="仿宋"/>
          <w:color w:val="auto"/>
          <w:sz w:val="32"/>
          <w:szCs w:val="32"/>
          <w:highlight w:val="none"/>
          <w:lang w:val="en-US" w:eastAsia="zh-CN"/>
        </w:rPr>
        <w:t>的日常</w:t>
      </w:r>
      <w:r>
        <w:rPr>
          <w:rFonts w:hint="eastAsia" w:ascii="仿宋" w:hAnsi="仿宋" w:eastAsia="仿宋"/>
          <w:color w:val="auto"/>
          <w:sz w:val="32"/>
          <w:szCs w:val="32"/>
          <w:highlight w:val="none"/>
        </w:rPr>
        <w:t>维修保养由</w:t>
      </w:r>
      <w:r>
        <w:rPr>
          <w:rFonts w:hint="eastAsia" w:ascii="仿宋" w:hAnsi="仿宋" w:eastAsia="仿宋"/>
          <w:color w:val="auto"/>
          <w:sz w:val="32"/>
          <w:szCs w:val="32"/>
          <w:highlight w:val="none"/>
          <w:lang w:val="en-US" w:eastAsia="zh-CN"/>
        </w:rPr>
        <w:t>中</w:t>
      </w:r>
      <w:r>
        <w:rPr>
          <w:rFonts w:hint="eastAsia" w:ascii="仿宋" w:hAnsi="仿宋" w:eastAsia="仿宋"/>
          <w:color w:val="auto"/>
          <w:sz w:val="32"/>
          <w:szCs w:val="32"/>
          <w:highlight w:val="none"/>
        </w:rPr>
        <w:t>标人</w:t>
      </w:r>
      <w:r>
        <w:rPr>
          <w:rFonts w:hint="eastAsia" w:ascii="仿宋" w:hAnsi="仿宋" w:eastAsia="仿宋"/>
          <w:color w:val="auto"/>
          <w:sz w:val="32"/>
          <w:szCs w:val="32"/>
          <w:highlight w:val="none"/>
          <w:lang w:val="en-US" w:eastAsia="zh-CN"/>
        </w:rPr>
        <w:t>负责</w:t>
      </w:r>
      <w:r>
        <w:rPr>
          <w:rFonts w:hint="eastAsia" w:ascii="仿宋" w:hAnsi="仿宋" w:eastAsia="仿宋"/>
          <w:color w:val="auto"/>
          <w:sz w:val="32"/>
          <w:szCs w:val="32"/>
          <w:highlight w:val="none"/>
        </w:rPr>
        <w:t>。</w:t>
      </w:r>
    </w:p>
    <w:p w14:paraId="34D466F9">
      <w:pPr>
        <w:spacing w:line="500" w:lineRule="exact"/>
        <w:ind w:firstLine="640" w:firstLineChars="200"/>
        <w:rPr>
          <w:rFonts w:ascii="仿宋" w:hAnsi="仿宋" w:eastAsia="仿宋"/>
          <w:color w:val="auto"/>
          <w:sz w:val="32"/>
          <w:szCs w:val="32"/>
          <w:highlight w:val="none"/>
        </w:rPr>
      </w:pPr>
      <w:bookmarkStart w:id="199" w:name="_Toc135212468"/>
      <w:bookmarkStart w:id="200" w:name="_Toc33335633"/>
      <w:r>
        <w:rPr>
          <w:rFonts w:hint="eastAsia" w:ascii="仿宋" w:hAnsi="仿宋" w:eastAsia="仿宋"/>
          <w:color w:val="auto"/>
          <w:sz w:val="32"/>
          <w:szCs w:val="32"/>
          <w:highlight w:val="none"/>
        </w:rPr>
        <w:t>3.8服务方案</w:t>
      </w:r>
      <w:bookmarkEnd w:id="199"/>
      <w:bookmarkEnd w:id="200"/>
    </w:p>
    <w:p w14:paraId="45CED4F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投标人提供的服务方案应包含以下内容：</w:t>
      </w:r>
    </w:p>
    <w:p w14:paraId="489B702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（1）对招标文件中所提出服务内容和有关要求的响应和承诺；</w:t>
      </w:r>
    </w:p>
    <w:p w14:paraId="2A57F98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运营服务方案：包括总体监控方案，食品质量控制方案、服务质量控制方案、卫生管理控制方案（食品卫生，人员卫生，环境卫生，垃圾处理方案等）、餐厅环境管理方案、原材料采购管理方案、成本控制方案、操作规程控制管理方案、餐饮定价方案、食品保存管理方案、人员职责与管理方案、投诉处理方案、消防、治安及意外事故处理以及其他服务内容、服务规范、服务标准、服务措施、质量管理、监控体系及说明材料；</w:t>
      </w:r>
    </w:p>
    <w:p w14:paraId="5FC6098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（3）服务支持人员配备情况，包括人员配比方案、人员结构、简历表、健康证、现场人员工作安排计划及其他辅助说明材料；投标人必须安排固定的主要经营服务人员于本项目，并提供上述人员的名单和简历。</w:t>
      </w:r>
    </w:p>
    <w:p w14:paraId="0502D81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（4）其他服务承诺。</w:t>
      </w:r>
    </w:p>
    <w:p w14:paraId="47E3E74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3.9 菜品要求</w:t>
      </w:r>
    </w:p>
    <w:p w14:paraId="736E92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3.9.1投标人</w:t>
      </w:r>
      <w:r>
        <w:rPr>
          <w:rFonts w:ascii="仿宋" w:hAnsi="仿宋" w:eastAsia="仿宋"/>
          <w:color w:val="auto"/>
          <w:sz w:val="32"/>
          <w:szCs w:val="32"/>
          <w:highlight w:val="none"/>
        </w:rPr>
        <w:t>必须按以下标准予以供餐：</w:t>
      </w:r>
    </w:p>
    <w:p w14:paraId="5D61590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ascii="仿宋" w:hAnsi="仿宋" w:eastAsia="仿宋"/>
          <w:color w:val="auto"/>
          <w:sz w:val="32"/>
          <w:szCs w:val="32"/>
          <w:highlight w:val="none"/>
        </w:rPr>
        <w:t>早餐各类</w:t>
      </w:r>
      <w:r>
        <w:rPr>
          <w:rFonts w:hint="eastAsia" w:ascii="仿宋" w:hAnsi="仿宋" w:eastAsia="仿宋"/>
          <w:color w:val="auto"/>
          <w:sz w:val="32"/>
          <w:szCs w:val="32"/>
          <w:highlight w:val="none"/>
        </w:rPr>
        <w:t>主食</w:t>
      </w:r>
      <w:r>
        <w:rPr>
          <w:rFonts w:ascii="仿宋" w:hAnsi="仿宋" w:eastAsia="仿宋"/>
          <w:color w:val="auto"/>
          <w:sz w:val="32"/>
          <w:szCs w:val="32"/>
          <w:highlight w:val="none"/>
        </w:rPr>
        <w:t>品种不少于</w:t>
      </w:r>
      <w:r>
        <w:rPr>
          <w:rFonts w:hint="eastAsia" w:ascii="仿宋" w:hAnsi="仿宋" w:eastAsia="仿宋"/>
          <w:color w:val="auto"/>
          <w:sz w:val="32"/>
          <w:szCs w:val="32"/>
          <w:highlight w:val="none"/>
        </w:rPr>
        <w:t>8样</w:t>
      </w:r>
      <w:r>
        <w:rPr>
          <w:rFonts w:ascii="仿宋" w:hAnsi="仿宋" w:eastAsia="仿宋"/>
          <w:color w:val="auto"/>
          <w:sz w:val="32"/>
          <w:szCs w:val="32"/>
          <w:highlight w:val="none"/>
        </w:rPr>
        <w:t>；</w:t>
      </w:r>
    </w:p>
    <w:p w14:paraId="40A4352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午餐</w:t>
      </w:r>
      <w:r>
        <w:rPr>
          <w:rFonts w:hint="eastAsia" w:ascii="仿宋" w:hAnsi="仿宋" w:eastAsia="仿宋"/>
          <w:color w:val="auto"/>
          <w:sz w:val="32"/>
          <w:szCs w:val="32"/>
          <w:highlight w:val="none"/>
        </w:rPr>
        <w:t>要求每餐</w:t>
      </w:r>
      <w:r>
        <w:rPr>
          <w:rFonts w:ascii="仿宋" w:hAnsi="仿宋" w:eastAsia="仿宋"/>
          <w:color w:val="auto"/>
          <w:sz w:val="32"/>
          <w:szCs w:val="32"/>
          <w:highlight w:val="none"/>
        </w:rPr>
        <w:t>品种不少于</w:t>
      </w:r>
      <w:r>
        <w:rPr>
          <w:rFonts w:hint="eastAsia" w:ascii="仿宋" w:hAnsi="仿宋" w:eastAsia="仿宋"/>
          <w:color w:val="auto"/>
          <w:sz w:val="32"/>
          <w:szCs w:val="32"/>
          <w:highlight w:val="none"/>
        </w:rPr>
        <w:t>20</w:t>
      </w:r>
      <w:r>
        <w:rPr>
          <w:rFonts w:ascii="仿宋" w:hAnsi="仿宋" w:eastAsia="仿宋"/>
          <w:color w:val="auto"/>
          <w:sz w:val="32"/>
          <w:szCs w:val="32"/>
          <w:highlight w:val="none"/>
        </w:rPr>
        <w:t>样</w:t>
      </w:r>
      <w:r>
        <w:rPr>
          <w:rFonts w:hint="eastAsia" w:ascii="仿宋" w:hAnsi="仿宋" w:eastAsia="仿宋"/>
          <w:color w:val="auto"/>
          <w:sz w:val="32"/>
          <w:szCs w:val="32"/>
          <w:highlight w:val="none"/>
        </w:rPr>
        <w:t>，每餐安排8种主菜、8种辅菜、4种素菜供选择；</w:t>
      </w:r>
    </w:p>
    <w:p w14:paraId="210C9C5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晚餐</w:t>
      </w:r>
      <w:r>
        <w:rPr>
          <w:rFonts w:hint="eastAsia" w:ascii="仿宋" w:hAnsi="仿宋" w:eastAsia="仿宋"/>
          <w:color w:val="auto"/>
          <w:sz w:val="32"/>
          <w:szCs w:val="32"/>
          <w:highlight w:val="none"/>
        </w:rPr>
        <w:t>要求每餐</w:t>
      </w:r>
      <w:r>
        <w:rPr>
          <w:rFonts w:ascii="仿宋" w:hAnsi="仿宋" w:eastAsia="仿宋"/>
          <w:color w:val="auto"/>
          <w:sz w:val="32"/>
          <w:szCs w:val="32"/>
          <w:highlight w:val="none"/>
        </w:rPr>
        <w:t>品种不少于</w:t>
      </w:r>
      <w:r>
        <w:rPr>
          <w:rFonts w:hint="eastAsia" w:ascii="仿宋" w:hAnsi="仿宋" w:eastAsia="仿宋"/>
          <w:color w:val="auto"/>
          <w:sz w:val="32"/>
          <w:szCs w:val="32"/>
          <w:highlight w:val="none"/>
        </w:rPr>
        <w:t>9</w:t>
      </w:r>
      <w:r>
        <w:rPr>
          <w:rFonts w:ascii="仿宋" w:hAnsi="仿宋" w:eastAsia="仿宋"/>
          <w:color w:val="auto"/>
          <w:sz w:val="32"/>
          <w:szCs w:val="32"/>
          <w:highlight w:val="none"/>
        </w:rPr>
        <w:t>样</w:t>
      </w:r>
      <w:r>
        <w:rPr>
          <w:rFonts w:hint="eastAsia" w:ascii="仿宋" w:hAnsi="仿宋" w:eastAsia="仿宋"/>
          <w:color w:val="auto"/>
          <w:sz w:val="32"/>
          <w:szCs w:val="32"/>
          <w:highlight w:val="none"/>
        </w:rPr>
        <w:t>，每餐安排3种主菜、3种辅菜、3种素菜供选择；</w:t>
      </w:r>
    </w:p>
    <w:p w14:paraId="67720A2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（4）主食：每日午餐、晚餐须至少提供</w:t>
      </w:r>
      <w:r>
        <w:rPr>
          <w:rFonts w:ascii="仿宋" w:hAnsi="仿宋" w:eastAsia="仿宋"/>
          <w:color w:val="auto"/>
          <w:sz w:val="32"/>
          <w:szCs w:val="32"/>
          <w:highlight w:val="none"/>
        </w:rPr>
        <w:t>2</w:t>
      </w:r>
      <w:r>
        <w:rPr>
          <w:rFonts w:hint="eastAsia" w:ascii="仿宋" w:hAnsi="仿宋" w:eastAsia="仿宋"/>
          <w:color w:val="auto"/>
          <w:sz w:val="32"/>
          <w:szCs w:val="32"/>
          <w:highlight w:val="none"/>
        </w:rPr>
        <w:t>种主食，午餐主食其中</w:t>
      </w:r>
      <w:r>
        <w:rPr>
          <w:rFonts w:ascii="仿宋" w:hAnsi="仿宋" w:eastAsia="仿宋"/>
          <w:color w:val="auto"/>
          <w:sz w:val="32"/>
          <w:szCs w:val="32"/>
          <w:highlight w:val="none"/>
        </w:rPr>
        <w:t>1</w:t>
      </w:r>
      <w:r>
        <w:rPr>
          <w:rFonts w:hint="eastAsia" w:ascii="仿宋" w:hAnsi="仿宋" w:eastAsia="仿宋"/>
          <w:color w:val="auto"/>
          <w:sz w:val="32"/>
          <w:szCs w:val="32"/>
          <w:highlight w:val="none"/>
        </w:rPr>
        <w:t>种为粗粮；</w:t>
      </w:r>
    </w:p>
    <w:p w14:paraId="051E46E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（5）汤类：每日须同时提供炖罐及例汤；</w:t>
      </w:r>
    </w:p>
    <w:p w14:paraId="7D6A3AD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（6）传统节日配合招标人提供服务，如：端午节制作粽子、中秋节制作月饼等，与本大楼客户进行互动，增加就餐客户粘性；</w:t>
      </w:r>
    </w:p>
    <w:p w14:paraId="0B2DB81D">
      <w:pPr>
        <w:pStyle w:val="8"/>
        <w:ind w:firstLine="420" w:firstLineChars="200"/>
        <w:rPr>
          <w:color w:val="auto"/>
          <w:highlight w:val="none"/>
        </w:rPr>
      </w:pPr>
    </w:p>
    <w:p w14:paraId="1B48A8E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3.9.2小吃区提供面线糊、沙茶面、扁食汤等厦门特色小吃；面点区提供馒头、包子等面食。</w:t>
      </w:r>
    </w:p>
    <w:p w14:paraId="3812AC0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3.10质检条款</w:t>
      </w:r>
    </w:p>
    <w:p w14:paraId="0968741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3.10.1招标人对投标人实行监督和管理，并将按照本招标文件和合同的要求对投标人的违规行为进行纪录和处罚。投标人应于每月初对上月的工作提交工作报告，并对在工作中出现的问题及招标人提出的意见和处罚，做出书面的说明和处理情况报告，及在下月的工作中的改善承诺。</w:t>
      </w:r>
    </w:p>
    <w:p w14:paraId="58EDEF3B">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3.10.2食品质量要求如下：</w:t>
      </w:r>
    </w:p>
    <w:p w14:paraId="41768BC3">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（1）冷菜酱制食品不含过多汤汁；</w:t>
      </w:r>
    </w:p>
    <w:p w14:paraId="1A220E33">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（2）冷菜切配的食品刀口细腻及均匀并搭配合理。</w:t>
      </w:r>
    </w:p>
    <w:p w14:paraId="13BFE433">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（3）冷菜凉拌食品汤汁适度并即时拌制。</w:t>
      </w:r>
    </w:p>
    <w:p w14:paraId="31C40710">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（4）熟制后食品完整不碎及不松散。</w:t>
      </w:r>
    </w:p>
    <w:p w14:paraId="5FDC7F70">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（5）热菜供餐时保持温热。</w:t>
      </w:r>
    </w:p>
    <w:p w14:paraId="480F995A">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（6）热菜食品表面无风干及水浸现象。</w:t>
      </w:r>
    </w:p>
    <w:p w14:paraId="7DF481BC">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（7）食品即时烹炒并控干过多汤汁和水分。</w:t>
      </w:r>
    </w:p>
    <w:p w14:paraId="325F6B8A">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（8）提供食品保证质量。</w:t>
      </w:r>
    </w:p>
    <w:p w14:paraId="115025FD">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3.10.3 饭菜出品时间和要求如下：</w:t>
      </w:r>
    </w:p>
    <w:p w14:paraId="4F0CAA4B">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（1）安排好用餐人员分流工作，避免出现等候拥挤混乱等现象。</w:t>
      </w:r>
    </w:p>
    <w:p w14:paraId="320A6744">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（2）分餐服务人员及时准确进行分餐，保证菜量。</w:t>
      </w:r>
    </w:p>
    <w:p w14:paraId="16DED6A3">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3.11其他要求：</w:t>
      </w:r>
    </w:p>
    <w:p w14:paraId="024EB6EC">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3.11.1投标人在原材料采购中，要从招标人同意的供应商购进，并经过有关食品检验检疫部门的正规检验合格。投标人须严格执行国家相关法规，做好食品的检验验收工作，管理好进货渠道及进货质量关，保证食品卫生达标，并将每天每种菜品按有关规定留样并保存48小时。投标人应提供供应商的采购点的营业执照、经营许可证、卫生许可证、检验检疫合格证等材料，保证质量、杜绝使用三无产品、假冒伪劣、过期产品。餐饮中心所有食材（包括售卖的商品）采购清单需跟招标人报备，餐饮中心售卖粮油副食等商品价格不得高于超市卖场价格。</w:t>
      </w:r>
    </w:p>
    <w:p w14:paraId="6CFA40B5">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一经发现投标人在经营过程中违反上述采购规定和承诺，招标人将扣除其履约保证金，并有权终止合同。</w:t>
      </w:r>
    </w:p>
    <w:p w14:paraId="3A9D9ED0">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3.11.2 投标人的工作人员应统一着装。</w:t>
      </w:r>
    </w:p>
    <w:p w14:paraId="5D22CF79">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3.12人员配置要求</w:t>
      </w:r>
    </w:p>
    <w:p w14:paraId="09FAB195">
      <w:pPr>
        <w:spacing w:line="500" w:lineRule="exact"/>
        <w:ind w:firstLine="420"/>
        <w:rPr>
          <w:rFonts w:ascii="仿宋" w:hAnsi="仿宋" w:eastAsia="仿宋"/>
          <w:color w:val="auto"/>
          <w:sz w:val="32"/>
          <w:szCs w:val="32"/>
          <w:highlight w:val="none"/>
        </w:rPr>
      </w:pPr>
      <w:r>
        <w:rPr>
          <w:rFonts w:hint="eastAsia" w:ascii="仿宋" w:hAnsi="仿宋" w:eastAsia="仿宋"/>
          <w:color w:val="auto"/>
          <w:sz w:val="32"/>
          <w:szCs w:val="32"/>
          <w:highlight w:val="none"/>
        </w:rPr>
        <w:t>人员配置具体人数由经营单位自行确定，以下岗位人员均需持有健康证书且符合相关要求。</w:t>
      </w:r>
    </w:p>
    <w:tbl>
      <w:tblPr>
        <w:tblStyle w:val="19"/>
        <w:tblW w:w="0" w:type="auto"/>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5010"/>
      </w:tblGrid>
      <w:tr w14:paraId="7A3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tcPr>
          <w:p w14:paraId="56EF4692">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岗位</w:t>
            </w:r>
          </w:p>
        </w:tc>
        <w:tc>
          <w:tcPr>
            <w:tcW w:w="5010" w:type="dxa"/>
            <w:noWrap/>
          </w:tcPr>
          <w:p w14:paraId="54F9498D">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要 求</w:t>
            </w:r>
          </w:p>
        </w:tc>
      </w:tr>
      <w:tr w14:paraId="0443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trPr>
        <w:tc>
          <w:tcPr>
            <w:tcW w:w="2658" w:type="dxa"/>
            <w:noWrap/>
            <w:vAlign w:val="center"/>
          </w:tcPr>
          <w:p w14:paraId="367EC64A">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现场经理</w:t>
            </w:r>
          </w:p>
        </w:tc>
        <w:tc>
          <w:tcPr>
            <w:tcW w:w="5010" w:type="dxa"/>
            <w:noWrap/>
            <w:vAlign w:val="center"/>
          </w:tcPr>
          <w:p w14:paraId="3DF816DF">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至少三年以上大中型食堂或餐厅</w:t>
            </w:r>
          </w:p>
          <w:p w14:paraId="42DCE1EB">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（经营面积</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00平方米以上）现场管理经验</w:t>
            </w:r>
          </w:p>
          <w:p w14:paraId="33E2C31E">
            <w:pPr>
              <w:spacing w:line="500" w:lineRule="exact"/>
              <w:rPr>
                <w:rFonts w:ascii="仿宋" w:hAnsi="仿宋" w:eastAsia="仿宋"/>
                <w:color w:val="auto"/>
                <w:sz w:val="32"/>
                <w:szCs w:val="32"/>
                <w:highlight w:val="none"/>
              </w:rPr>
            </w:pPr>
          </w:p>
        </w:tc>
      </w:tr>
      <w:tr w14:paraId="0A21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exact"/>
        </w:trPr>
        <w:tc>
          <w:tcPr>
            <w:tcW w:w="2658" w:type="dxa"/>
            <w:noWrap/>
            <w:vAlign w:val="center"/>
          </w:tcPr>
          <w:p w14:paraId="2F1CCAB4">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主厨</w:t>
            </w:r>
          </w:p>
        </w:tc>
        <w:tc>
          <w:tcPr>
            <w:tcW w:w="5010" w:type="dxa"/>
            <w:noWrap/>
            <w:vAlign w:val="center"/>
          </w:tcPr>
          <w:p w14:paraId="7A4D9416">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中级以上（含中级）厨师，</w:t>
            </w:r>
            <w:r>
              <w:rPr>
                <w:rFonts w:hint="eastAsia" w:ascii="仿宋" w:hAnsi="仿宋" w:eastAsia="仿宋"/>
                <w:color w:val="auto"/>
                <w:sz w:val="32"/>
                <w:szCs w:val="32"/>
                <w:highlight w:val="none"/>
                <w:lang w:eastAsia="zh-CN"/>
              </w:rPr>
              <w:t>持面点师证书，</w:t>
            </w:r>
            <w:r>
              <w:rPr>
                <w:rFonts w:hint="eastAsia" w:ascii="仿宋" w:hAnsi="仿宋" w:eastAsia="仿宋"/>
                <w:color w:val="auto"/>
                <w:sz w:val="32"/>
                <w:szCs w:val="32"/>
                <w:highlight w:val="none"/>
              </w:rPr>
              <w:t>三年以上大中型食堂或餐厅（经营面积</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00平方米以上）工作经验</w:t>
            </w:r>
          </w:p>
        </w:tc>
      </w:tr>
      <w:tr w14:paraId="37EA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2658" w:type="dxa"/>
            <w:noWrap/>
            <w:vAlign w:val="center"/>
          </w:tcPr>
          <w:p w14:paraId="703F50ED">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厨师</w:t>
            </w:r>
          </w:p>
        </w:tc>
        <w:tc>
          <w:tcPr>
            <w:tcW w:w="5010" w:type="dxa"/>
            <w:noWrap/>
            <w:vAlign w:val="center"/>
          </w:tcPr>
          <w:p w14:paraId="034F6E11">
            <w:pPr>
              <w:spacing w:line="5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中级以上（含中级）厨师</w:t>
            </w:r>
            <w:r>
              <w:rPr>
                <w:rFonts w:hint="eastAsia" w:ascii="仿宋" w:hAnsi="仿宋" w:eastAsia="仿宋"/>
                <w:color w:val="auto"/>
                <w:sz w:val="32"/>
                <w:szCs w:val="32"/>
                <w:highlight w:val="none"/>
                <w:lang w:eastAsia="zh-CN"/>
              </w:rPr>
              <w:t>，持面点师证书</w:t>
            </w:r>
          </w:p>
        </w:tc>
      </w:tr>
      <w:tr w14:paraId="1DFD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14:paraId="0144AE2A">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高级服务员</w:t>
            </w:r>
          </w:p>
        </w:tc>
        <w:tc>
          <w:tcPr>
            <w:tcW w:w="5010" w:type="dxa"/>
            <w:noWrap/>
            <w:vAlign w:val="center"/>
          </w:tcPr>
          <w:p w14:paraId="31951068">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有2年以上工作经验</w:t>
            </w:r>
          </w:p>
        </w:tc>
      </w:tr>
      <w:tr w14:paraId="5F75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14:paraId="4C81A35E">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普通服务员</w:t>
            </w:r>
          </w:p>
        </w:tc>
        <w:tc>
          <w:tcPr>
            <w:tcW w:w="5010" w:type="dxa"/>
            <w:noWrap/>
            <w:vAlign w:val="center"/>
          </w:tcPr>
          <w:p w14:paraId="3998EDCA">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有1年以上工作经验</w:t>
            </w:r>
          </w:p>
        </w:tc>
      </w:tr>
      <w:tr w14:paraId="162C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14:paraId="67771FA4">
            <w:pPr>
              <w:spacing w:line="5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财务（仓管员）</w:t>
            </w:r>
          </w:p>
        </w:tc>
        <w:tc>
          <w:tcPr>
            <w:tcW w:w="5010" w:type="dxa"/>
            <w:noWrap/>
            <w:vAlign w:val="center"/>
          </w:tcPr>
          <w:p w14:paraId="6DE9082D">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有2年以上工作经验</w:t>
            </w:r>
          </w:p>
        </w:tc>
      </w:tr>
    </w:tbl>
    <w:p w14:paraId="5E52B179">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3.13 餐饮中心管理考核措施</w:t>
      </w:r>
    </w:p>
    <w:p w14:paraId="3290EDA1">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1）招标人每个月检查一次，所发现问题当天回复三天整改完成，如第三次检查再发现同样问题将视问题轻重程度扣取以中标人履约保证金为基数的2%-5%的违约金；如连续两次考核不合格，将解除合同，并以中标人履约保证金为基数扣取100％的违约金。（考核标准详见合同附件一）</w:t>
      </w:r>
    </w:p>
    <w:p w14:paraId="36356342">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（2）与招标人工作配合良好，有较强的服务意识，做到有求必应，有事必到。</w:t>
      </w:r>
    </w:p>
    <w:p w14:paraId="328CA727">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（3）餐饮中心一切事宜必须征得招标人同意后方可实行。</w:t>
      </w:r>
    </w:p>
    <w:p w14:paraId="5F82FD43">
      <w:pPr>
        <w:spacing w:line="500" w:lineRule="exact"/>
        <w:rPr>
          <w:rFonts w:hint="eastAsia" w:ascii="仿宋" w:hAnsi="仿宋" w:eastAsia="仿宋"/>
          <w:color w:val="auto"/>
          <w:sz w:val="32"/>
          <w:szCs w:val="32"/>
          <w:highlight w:val="none"/>
        </w:rPr>
      </w:pPr>
    </w:p>
    <w:p w14:paraId="5A0FEE77">
      <w:pPr>
        <w:spacing w:line="500" w:lineRule="exact"/>
        <w:rPr>
          <w:rFonts w:hint="eastAsia" w:ascii="仿宋" w:hAnsi="仿宋" w:eastAsia="仿宋"/>
          <w:color w:val="auto"/>
          <w:sz w:val="32"/>
          <w:szCs w:val="32"/>
          <w:highlight w:val="none"/>
        </w:rPr>
      </w:pPr>
    </w:p>
    <w:p w14:paraId="52C9EF6C">
      <w:pPr>
        <w:rPr>
          <w:color w:val="auto"/>
          <w:highlight w:val="none"/>
        </w:rPr>
      </w:pPr>
    </w:p>
    <w:p w14:paraId="1A1169D9">
      <w:pPr>
        <w:numPr>
          <w:ilvl w:val="0"/>
          <w:numId w:val="3"/>
        </w:numPr>
        <w:spacing w:line="500" w:lineRule="exact"/>
        <w:ind w:firstLine="643" w:firstLineChars="200"/>
        <w:outlineLvl w:val="2"/>
        <w:rPr>
          <w:rFonts w:ascii="仿宋" w:hAnsi="仿宋" w:eastAsia="仿宋"/>
          <w:b/>
          <w:bCs/>
          <w:color w:val="auto"/>
          <w:sz w:val="32"/>
          <w:szCs w:val="32"/>
          <w:highlight w:val="none"/>
        </w:rPr>
      </w:pPr>
      <w:bookmarkStart w:id="201" w:name="_Toc12907"/>
      <w:bookmarkStart w:id="202" w:name="_Toc15783"/>
      <w:bookmarkStart w:id="203" w:name="_Toc554"/>
      <w:bookmarkStart w:id="204" w:name="_Toc6747"/>
      <w:r>
        <w:rPr>
          <w:rFonts w:hint="eastAsia" w:ascii="仿宋" w:hAnsi="仿宋" w:eastAsia="仿宋"/>
          <w:b/>
          <w:bCs/>
          <w:color w:val="auto"/>
          <w:sz w:val="32"/>
          <w:szCs w:val="32"/>
          <w:highlight w:val="none"/>
        </w:rPr>
        <w:t>餐饮中心平面图（详见《国贸商务中心餐饮中心三楼平面图》）</w:t>
      </w:r>
      <w:bookmarkEnd w:id="201"/>
      <w:bookmarkEnd w:id="202"/>
      <w:bookmarkEnd w:id="203"/>
      <w:bookmarkEnd w:id="204"/>
    </w:p>
    <w:p w14:paraId="474E5D04">
      <w:pPr>
        <w:rPr>
          <w:rFonts w:ascii="仿宋" w:hAnsi="仿宋" w:eastAsia="仿宋"/>
          <w:b/>
          <w:bCs/>
          <w:color w:val="auto"/>
          <w:sz w:val="32"/>
          <w:szCs w:val="3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431800</wp:posOffset>
                </wp:positionH>
                <wp:positionV relativeFrom="paragraph">
                  <wp:posOffset>7633970</wp:posOffset>
                </wp:positionV>
                <wp:extent cx="5465445" cy="647700"/>
                <wp:effectExtent l="6350" t="6350" r="14605" b="12700"/>
                <wp:wrapNone/>
                <wp:docPr id="4" name="矩形 4"/>
                <wp:cNvGraphicFramePr/>
                <a:graphic xmlns:a="http://schemas.openxmlformats.org/drawingml/2006/main">
                  <a:graphicData uri="http://schemas.microsoft.com/office/word/2010/wordprocessingShape">
                    <wps:wsp>
                      <wps:cNvSpPr/>
                      <wps:spPr>
                        <a:xfrm>
                          <a:off x="0" y="0"/>
                          <a:ext cx="5465445" cy="647700"/>
                        </a:xfrm>
                        <a:prstGeom prst="rect">
                          <a:avLst/>
                        </a:prstGeom>
                        <a:solidFill>
                          <a:srgbClr val="FFFFFF"/>
                        </a:solidFill>
                        <a:ln w="12700" cap="flat" cmpd="sng" algn="ctr">
                          <a:solidFill>
                            <a:srgbClr val="70AD47"/>
                          </a:solidFill>
                          <a:prstDash val="solid"/>
                          <a:miter lim="800000"/>
                        </a:ln>
                        <a:effectLst/>
                      </wps:spPr>
                      <wps:txbx>
                        <w:txbxContent>
                          <w:p w14:paraId="6720B640">
                            <w:pPr>
                              <w:pStyle w:val="8"/>
                              <w:spacing w:line="400" w:lineRule="exact"/>
                              <w:rPr>
                                <w:rFonts w:ascii="仿宋" w:hAnsi="仿宋" w:eastAsia="仿宋"/>
                                <w:b/>
                                <w:color w:val="auto"/>
                                <w:sz w:val="28"/>
                                <w:szCs w:val="28"/>
                              </w:rPr>
                            </w:pPr>
                            <w:r>
                              <w:rPr>
                                <w:rFonts w:hint="eastAsia"/>
                              </w:rPr>
                              <w:t>注明：餐饮中心平面图中房间1及管理用房为物业自用。</w:t>
                            </w:r>
                          </w:p>
                          <w:p w14:paraId="106A878F">
                            <w:pPr>
                              <w:pStyle w:val="8"/>
                              <w:spacing w:line="400" w:lineRule="exact"/>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pt;margin-top:601.1pt;height:51pt;width:430.35pt;z-index:251660288;v-text-anchor:middle;mso-width-relative:page;mso-height-relative:page;" fillcolor="#FFFFFF" filled="t" stroked="t" coordsize="21600,21600" o:gfxdata="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dhSQTaAAAADAEAAA8AAAAAAAAA&#10;AQAgAAAAIgAAAGRycy9kb3ducmV2LnhtbFBLAQIUABQAAAAIAIdO4kBzr5HBgQIAAA0FAAAOAAAA&#10;AAAAAAEAIAAAACkBAABkcnMvZTJvRG9jLnhtbFBLBQYAAAAABgAGAFkBAAAcBgAAAAA=&#10;">
                <v:fill on="t" focussize="0,0"/>
                <v:stroke weight="1pt" color="#70AD47" miterlimit="8" joinstyle="miter"/>
                <v:imagedata o:title=""/>
                <o:lock v:ext="edit" aspectratio="f"/>
                <v:textbox>
                  <w:txbxContent>
                    <w:p w14:paraId="6720B640">
                      <w:pPr>
                        <w:pStyle w:val="8"/>
                        <w:spacing w:line="400" w:lineRule="exact"/>
                        <w:rPr>
                          <w:rFonts w:ascii="仿宋" w:hAnsi="仿宋" w:eastAsia="仿宋"/>
                          <w:b/>
                          <w:color w:val="auto"/>
                          <w:sz w:val="28"/>
                          <w:szCs w:val="28"/>
                        </w:rPr>
                      </w:pPr>
                      <w:r>
                        <w:rPr>
                          <w:rFonts w:hint="eastAsia"/>
                        </w:rPr>
                        <w:t>注明：餐饮中心平面图中房间1及管理用房为物业自用。</w:t>
                      </w:r>
                    </w:p>
                    <w:p w14:paraId="106A878F">
                      <w:pPr>
                        <w:pStyle w:val="8"/>
                        <w:spacing w:line="400" w:lineRule="exact"/>
                        <w:jc w:val="left"/>
                      </w:pPr>
                    </w:p>
                  </w:txbxContent>
                </v:textbox>
              </v:rect>
            </w:pict>
          </mc:Fallback>
        </mc:AlternateContent>
      </w:r>
      <w:r>
        <w:rPr>
          <w:color w:val="auto"/>
          <w:highlight w:val="none"/>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150495</wp:posOffset>
            </wp:positionV>
            <wp:extent cx="5742305" cy="7349490"/>
            <wp:effectExtent l="0" t="0" r="10795" b="3810"/>
            <wp:wrapSquare wrapText="bothSides"/>
            <wp:docPr id="3" name="图片 3" descr="三层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层平面图"/>
                    <pic:cNvPicPr>
                      <a:picLocks noChangeAspect="1"/>
                    </pic:cNvPicPr>
                  </pic:nvPicPr>
                  <pic:blipFill>
                    <a:blip r:embed="rId6"/>
                    <a:stretch>
                      <a:fillRect/>
                    </a:stretch>
                  </pic:blipFill>
                  <pic:spPr>
                    <a:xfrm>
                      <a:off x="0" y="0"/>
                      <a:ext cx="5742305" cy="7349490"/>
                    </a:xfrm>
                    <a:prstGeom prst="rect">
                      <a:avLst/>
                    </a:prstGeom>
                    <a:noFill/>
                    <a:ln>
                      <a:noFill/>
                    </a:ln>
                  </pic:spPr>
                </pic:pic>
              </a:graphicData>
            </a:graphic>
          </wp:anchor>
        </w:drawing>
      </w:r>
      <w:r>
        <w:rPr>
          <w:rFonts w:hint="eastAsia" w:ascii="仿宋" w:hAnsi="仿宋" w:eastAsia="仿宋"/>
          <w:b/>
          <w:bCs/>
          <w:color w:val="auto"/>
          <w:sz w:val="32"/>
          <w:szCs w:val="32"/>
          <w:highlight w:val="none"/>
        </w:rPr>
        <w:br w:type="page"/>
      </w:r>
    </w:p>
    <w:p w14:paraId="2A2C91A4">
      <w:pPr>
        <w:numPr>
          <w:ilvl w:val="0"/>
          <w:numId w:val="3"/>
        </w:numPr>
        <w:spacing w:line="500" w:lineRule="exact"/>
        <w:ind w:firstLine="643" w:firstLineChars="200"/>
        <w:outlineLvl w:val="2"/>
        <w:rPr>
          <w:rFonts w:ascii="仿宋" w:hAnsi="仿宋" w:eastAsia="仿宋"/>
          <w:b/>
          <w:bCs/>
          <w:color w:val="auto"/>
          <w:sz w:val="32"/>
          <w:szCs w:val="32"/>
          <w:highlight w:val="none"/>
        </w:rPr>
      </w:pPr>
      <w:bookmarkStart w:id="205" w:name="_Toc22943"/>
      <w:bookmarkStart w:id="206" w:name="_Toc24008"/>
      <w:bookmarkStart w:id="207" w:name="_Toc8376"/>
      <w:bookmarkStart w:id="208" w:name="_Toc17792"/>
      <w:r>
        <w:rPr>
          <w:rFonts w:hint="eastAsia" w:ascii="仿宋" w:hAnsi="仿宋" w:eastAsia="仿宋"/>
          <w:b/>
          <w:bCs/>
          <w:color w:val="auto"/>
          <w:sz w:val="32"/>
          <w:szCs w:val="32"/>
          <w:highlight w:val="none"/>
        </w:rPr>
        <w:t>国贸商务中心餐饮中心管理考核评分表</w:t>
      </w:r>
      <w:bookmarkEnd w:id="205"/>
      <w:bookmarkEnd w:id="206"/>
      <w:bookmarkEnd w:id="207"/>
      <w:bookmarkEnd w:id="208"/>
    </w:p>
    <w:tbl>
      <w:tblPr>
        <w:tblStyle w:val="19"/>
        <w:tblpPr w:leftFromText="180" w:rightFromText="180" w:vertAnchor="page" w:horzAnchor="page" w:tblpX="953" w:tblpY="2427"/>
        <w:tblW w:w="9823" w:type="dxa"/>
        <w:tblInd w:w="0" w:type="dxa"/>
        <w:tblLayout w:type="fixed"/>
        <w:tblCellMar>
          <w:top w:w="0" w:type="dxa"/>
          <w:left w:w="108" w:type="dxa"/>
          <w:bottom w:w="0" w:type="dxa"/>
          <w:right w:w="108" w:type="dxa"/>
        </w:tblCellMar>
      </w:tblPr>
      <w:tblGrid>
        <w:gridCol w:w="416"/>
        <w:gridCol w:w="680"/>
        <w:gridCol w:w="642"/>
        <w:gridCol w:w="7545"/>
        <w:gridCol w:w="540"/>
      </w:tblGrid>
      <w:tr w14:paraId="5DAD1784">
        <w:tblPrEx>
          <w:tblCellMar>
            <w:top w:w="0" w:type="dxa"/>
            <w:left w:w="108" w:type="dxa"/>
            <w:bottom w:w="0" w:type="dxa"/>
            <w:right w:w="108" w:type="dxa"/>
          </w:tblCellMar>
        </w:tblPrEx>
        <w:trPr>
          <w:trHeight w:val="36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14:paraId="5218CBF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322" w:type="dxa"/>
            <w:gridSpan w:val="2"/>
            <w:tcBorders>
              <w:top w:val="single" w:color="auto" w:sz="4" w:space="0"/>
              <w:left w:val="nil"/>
              <w:bottom w:val="single" w:color="auto" w:sz="4" w:space="0"/>
              <w:right w:val="single" w:color="auto" w:sz="4" w:space="0"/>
            </w:tcBorders>
            <w:shd w:val="clear" w:color="auto" w:fill="auto"/>
            <w:vAlign w:val="center"/>
          </w:tcPr>
          <w:p w14:paraId="3B0556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w:t>
            </w:r>
          </w:p>
        </w:tc>
        <w:tc>
          <w:tcPr>
            <w:tcW w:w="7545" w:type="dxa"/>
            <w:tcBorders>
              <w:top w:val="single" w:color="auto" w:sz="4" w:space="0"/>
              <w:left w:val="nil"/>
              <w:bottom w:val="single" w:color="auto" w:sz="4" w:space="0"/>
              <w:right w:val="single" w:color="auto" w:sz="4" w:space="0"/>
            </w:tcBorders>
            <w:shd w:val="clear" w:color="auto" w:fill="auto"/>
            <w:vAlign w:val="center"/>
          </w:tcPr>
          <w:p w14:paraId="6288FAB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标准</w:t>
            </w:r>
          </w:p>
        </w:tc>
        <w:tc>
          <w:tcPr>
            <w:tcW w:w="540" w:type="dxa"/>
            <w:tcBorders>
              <w:top w:val="single" w:color="auto" w:sz="4" w:space="0"/>
              <w:left w:val="nil"/>
              <w:bottom w:val="single" w:color="auto" w:sz="4" w:space="0"/>
              <w:right w:val="single" w:color="auto" w:sz="4" w:space="0"/>
            </w:tcBorders>
            <w:shd w:val="clear" w:color="auto" w:fill="auto"/>
            <w:vAlign w:val="center"/>
          </w:tcPr>
          <w:p w14:paraId="1DAF87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分值</w:t>
            </w:r>
          </w:p>
        </w:tc>
      </w:tr>
      <w:tr w14:paraId="26D7A032">
        <w:tblPrEx>
          <w:tblCellMar>
            <w:top w:w="0" w:type="dxa"/>
            <w:left w:w="108" w:type="dxa"/>
            <w:bottom w:w="0" w:type="dxa"/>
            <w:right w:w="108" w:type="dxa"/>
          </w:tblCellMar>
        </w:tblPrEx>
        <w:trPr>
          <w:trHeight w:val="642" w:hRule="atLeast"/>
        </w:trPr>
        <w:tc>
          <w:tcPr>
            <w:tcW w:w="416" w:type="dxa"/>
            <w:vMerge w:val="restart"/>
            <w:tcBorders>
              <w:top w:val="nil"/>
              <w:left w:val="single" w:color="auto" w:sz="4" w:space="0"/>
              <w:bottom w:val="single" w:color="auto" w:sz="4" w:space="0"/>
              <w:right w:val="single" w:color="auto" w:sz="4" w:space="0"/>
            </w:tcBorders>
            <w:shd w:val="clear" w:color="auto" w:fill="auto"/>
            <w:vAlign w:val="center"/>
          </w:tcPr>
          <w:p w14:paraId="7088A9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32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3B473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从业人员管理</w:t>
            </w:r>
          </w:p>
        </w:tc>
        <w:tc>
          <w:tcPr>
            <w:tcW w:w="7545" w:type="dxa"/>
            <w:tcBorders>
              <w:top w:val="nil"/>
              <w:left w:val="nil"/>
              <w:bottom w:val="single" w:color="auto" w:sz="4" w:space="0"/>
              <w:right w:val="single" w:color="auto" w:sz="4" w:space="0"/>
            </w:tcBorders>
            <w:shd w:val="clear" w:color="auto" w:fill="auto"/>
            <w:vAlign w:val="center"/>
          </w:tcPr>
          <w:p w14:paraId="1DD625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餐饮中心从业人员必须在取得有效健康证后方可上岗。患有法律规定的不得从事食品生产经营工作的疾病以及发热、上呼吸道感染、腹泻、手外伤的，必须暂停接触食品的工作并立即调离。</w:t>
            </w:r>
          </w:p>
        </w:tc>
        <w:tc>
          <w:tcPr>
            <w:tcW w:w="540" w:type="dxa"/>
            <w:tcBorders>
              <w:top w:val="nil"/>
              <w:left w:val="nil"/>
              <w:bottom w:val="single" w:color="auto" w:sz="4" w:space="0"/>
              <w:right w:val="single" w:color="auto" w:sz="4" w:space="0"/>
            </w:tcBorders>
            <w:shd w:val="clear" w:color="auto" w:fill="auto"/>
            <w:vAlign w:val="center"/>
          </w:tcPr>
          <w:p w14:paraId="0CECF2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3EE71E5A">
        <w:tblPrEx>
          <w:tblCellMar>
            <w:top w:w="0" w:type="dxa"/>
            <w:left w:w="108" w:type="dxa"/>
            <w:bottom w:w="0" w:type="dxa"/>
            <w:right w:w="108" w:type="dxa"/>
          </w:tblCellMar>
        </w:tblPrEx>
        <w:trPr>
          <w:trHeight w:val="619" w:hRule="atLeast"/>
        </w:trPr>
        <w:tc>
          <w:tcPr>
            <w:tcW w:w="416" w:type="dxa"/>
            <w:vMerge w:val="continue"/>
            <w:tcBorders>
              <w:top w:val="nil"/>
              <w:left w:val="single" w:color="auto" w:sz="4" w:space="0"/>
              <w:bottom w:val="single" w:color="auto" w:sz="4" w:space="0"/>
              <w:right w:val="single" w:color="auto" w:sz="4" w:space="0"/>
            </w:tcBorders>
            <w:vAlign w:val="center"/>
          </w:tcPr>
          <w:p w14:paraId="6852BDE6">
            <w:pPr>
              <w:widowControl/>
              <w:jc w:val="left"/>
              <w:rPr>
                <w:rFonts w:ascii="宋体" w:hAnsi="宋体" w:cs="宋体"/>
                <w:color w:val="auto"/>
                <w:kern w:val="0"/>
                <w:sz w:val="20"/>
                <w:szCs w:val="20"/>
                <w:highlight w:val="none"/>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14:paraId="26EA7ACA">
            <w:pPr>
              <w:widowControl/>
              <w:jc w:val="left"/>
              <w:rPr>
                <w:rFonts w:ascii="宋体" w:hAnsi="宋体" w:cs="宋体"/>
                <w:color w:val="auto"/>
                <w:kern w:val="0"/>
                <w:sz w:val="20"/>
                <w:szCs w:val="20"/>
                <w:highlight w:val="none"/>
              </w:rPr>
            </w:pPr>
          </w:p>
        </w:tc>
        <w:tc>
          <w:tcPr>
            <w:tcW w:w="7545" w:type="dxa"/>
            <w:tcBorders>
              <w:top w:val="nil"/>
              <w:left w:val="nil"/>
              <w:bottom w:val="single" w:color="auto" w:sz="4" w:space="0"/>
              <w:right w:val="single" w:color="auto" w:sz="4" w:space="0"/>
            </w:tcBorders>
            <w:shd w:val="clear" w:color="auto" w:fill="auto"/>
            <w:vAlign w:val="center"/>
          </w:tcPr>
          <w:p w14:paraId="5807C8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餐饮中心从业人员须着指定服装上岗，保持衣帽整洁，注重个人卫生。在食品售卖过程中须按照要求佩戴口罩、帽子及手套。</w:t>
            </w:r>
          </w:p>
        </w:tc>
        <w:tc>
          <w:tcPr>
            <w:tcW w:w="540" w:type="dxa"/>
            <w:tcBorders>
              <w:top w:val="nil"/>
              <w:left w:val="nil"/>
              <w:bottom w:val="single" w:color="auto" w:sz="4" w:space="0"/>
              <w:right w:val="single" w:color="auto" w:sz="4" w:space="0"/>
            </w:tcBorders>
            <w:shd w:val="clear" w:color="auto" w:fill="auto"/>
            <w:vAlign w:val="center"/>
          </w:tcPr>
          <w:p w14:paraId="0FAE00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6821D5F1">
        <w:tblPrEx>
          <w:tblCellMar>
            <w:top w:w="0" w:type="dxa"/>
            <w:left w:w="108" w:type="dxa"/>
            <w:bottom w:w="0" w:type="dxa"/>
            <w:right w:w="108" w:type="dxa"/>
          </w:tblCellMar>
        </w:tblPrEx>
        <w:trPr>
          <w:trHeight w:val="480" w:hRule="atLeast"/>
        </w:trPr>
        <w:tc>
          <w:tcPr>
            <w:tcW w:w="416" w:type="dxa"/>
            <w:vMerge w:val="continue"/>
            <w:tcBorders>
              <w:top w:val="nil"/>
              <w:left w:val="single" w:color="auto" w:sz="4" w:space="0"/>
              <w:bottom w:val="single" w:color="auto" w:sz="4" w:space="0"/>
              <w:right w:val="single" w:color="auto" w:sz="4" w:space="0"/>
            </w:tcBorders>
            <w:vAlign w:val="center"/>
          </w:tcPr>
          <w:p w14:paraId="75F0C6A8">
            <w:pPr>
              <w:widowControl/>
              <w:jc w:val="left"/>
              <w:rPr>
                <w:rFonts w:ascii="宋体" w:hAnsi="宋体" w:cs="宋体"/>
                <w:color w:val="auto"/>
                <w:kern w:val="0"/>
                <w:sz w:val="20"/>
                <w:szCs w:val="20"/>
                <w:highlight w:val="none"/>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14:paraId="31A0A248">
            <w:pPr>
              <w:widowControl/>
              <w:jc w:val="left"/>
              <w:rPr>
                <w:rFonts w:ascii="宋体" w:hAnsi="宋体" w:cs="宋体"/>
                <w:color w:val="auto"/>
                <w:kern w:val="0"/>
                <w:sz w:val="20"/>
                <w:szCs w:val="20"/>
                <w:highlight w:val="none"/>
              </w:rPr>
            </w:pPr>
          </w:p>
        </w:tc>
        <w:tc>
          <w:tcPr>
            <w:tcW w:w="7545" w:type="dxa"/>
            <w:tcBorders>
              <w:top w:val="nil"/>
              <w:left w:val="nil"/>
              <w:bottom w:val="single" w:color="auto" w:sz="4" w:space="0"/>
              <w:right w:val="single" w:color="auto" w:sz="4" w:space="0"/>
            </w:tcBorders>
            <w:shd w:val="clear" w:color="auto" w:fill="auto"/>
            <w:vAlign w:val="center"/>
          </w:tcPr>
          <w:p w14:paraId="1668A7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餐饮中心员工不得带无关人员进入厨房任何区域。厨房内一律不得放置私人物品。餐饮中心员工不得私自将任何厨房用品、厨房设备带离。</w:t>
            </w:r>
          </w:p>
        </w:tc>
        <w:tc>
          <w:tcPr>
            <w:tcW w:w="540" w:type="dxa"/>
            <w:tcBorders>
              <w:top w:val="nil"/>
              <w:left w:val="nil"/>
              <w:bottom w:val="single" w:color="auto" w:sz="4" w:space="0"/>
              <w:right w:val="single" w:color="auto" w:sz="4" w:space="0"/>
            </w:tcBorders>
            <w:shd w:val="clear" w:color="auto" w:fill="auto"/>
            <w:vAlign w:val="center"/>
          </w:tcPr>
          <w:p w14:paraId="1F3775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58AFC390">
        <w:tblPrEx>
          <w:tblCellMar>
            <w:top w:w="0" w:type="dxa"/>
            <w:left w:w="108" w:type="dxa"/>
            <w:bottom w:w="0" w:type="dxa"/>
            <w:right w:w="108" w:type="dxa"/>
          </w:tblCellMar>
        </w:tblPrEx>
        <w:trPr>
          <w:trHeight w:val="600" w:hRule="atLeast"/>
        </w:trPr>
        <w:tc>
          <w:tcPr>
            <w:tcW w:w="416" w:type="dxa"/>
            <w:vMerge w:val="restart"/>
            <w:tcBorders>
              <w:top w:val="nil"/>
              <w:left w:val="single" w:color="auto" w:sz="4" w:space="0"/>
              <w:bottom w:val="nil"/>
              <w:right w:val="single" w:color="auto" w:sz="4" w:space="0"/>
            </w:tcBorders>
            <w:shd w:val="clear" w:color="auto" w:fill="auto"/>
            <w:vAlign w:val="center"/>
          </w:tcPr>
          <w:p w14:paraId="362F636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9EFA0D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场</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所</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环</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卫</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生</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管</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理</w:t>
            </w:r>
          </w:p>
        </w:tc>
        <w:tc>
          <w:tcPr>
            <w:tcW w:w="642" w:type="dxa"/>
            <w:tcBorders>
              <w:top w:val="nil"/>
              <w:left w:val="nil"/>
              <w:bottom w:val="nil"/>
              <w:right w:val="single" w:color="auto" w:sz="4" w:space="0"/>
            </w:tcBorders>
            <w:shd w:val="clear" w:color="auto" w:fill="auto"/>
            <w:textDirection w:val="tbRlV"/>
            <w:vAlign w:val="center"/>
          </w:tcPr>
          <w:p w14:paraId="0FB407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餐厅</w:t>
            </w:r>
          </w:p>
        </w:tc>
        <w:tc>
          <w:tcPr>
            <w:tcW w:w="7545" w:type="dxa"/>
            <w:tcBorders>
              <w:top w:val="nil"/>
              <w:left w:val="nil"/>
              <w:bottom w:val="single" w:color="auto" w:sz="4" w:space="0"/>
              <w:right w:val="single" w:color="auto" w:sz="4" w:space="0"/>
            </w:tcBorders>
            <w:shd w:val="clear" w:color="auto" w:fill="auto"/>
            <w:vAlign w:val="center"/>
          </w:tcPr>
          <w:p w14:paraId="34DA97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做好餐饮中心餐具、厨具的清洁工作，做好餐饮中心各区域环境卫生，定期组织进行卫生大清扫。售卖台排放整齐、台面整洁。及时清理并分类回收餐具，回收区的餐具，不得堆积。</w:t>
            </w:r>
          </w:p>
        </w:tc>
        <w:tc>
          <w:tcPr>
            <w:tcW w:w="540" w:type="dxa"/>
            <w:tcBorders>
              <w:top w:val="nil"/>
              <w:left w:val="nil"/>
              <w:bottom w:val="single" w:color="auto" w:sz="4" w:space="0"/>
              <w:right w:val="single" w:color="auto" w:sz="4" w:space="0"/>
            </w:tcBorders>
            <w:shd w:val="clear" w:color="auto" w:fill="auto"/>
            <w:vAlign w:val="center"/>
          </w:tcPr>
          <w:p w14:paraId="104AE9B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60461FF4">
        <w:tblPrEx>
          <w:tblCellMar>
            <w:top w:w="0" w:type="dxa"/>
            <w:left w:w="108" w:type="dxa"/>
            <w:bottom w:w="0" w:type="dxa"/>
            <w:right w:w="108" w:type="dxa"/>
          </w:tblCellMar>
        </w:tblPrEx>
        <w:trPr>
          <w:trHeight w:val="619" w:hRule="atLeast"/>
        </w:trPr>
        <w:tc>
          <w:tcPr>
            <w:tcW w:w="416" w:type="dxa"/>
            <w:vMerge w:val="continue"/>
            <w:tcBorders>
              <w:top w:val="nil"/>
              <w:left w:val="single" w:color="auto" w:sz="4" w:space="0"/>
              <w:bottom w:val="nil"/>
              <w:right w:val="single" w:color="auto" w:sz="4" w:space="0"/>
            </w:tcBorders>
            <w:vAlign w:val="center"/>
          </w:tcPr>
          <w:p w14:paraId="428B0CAB">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797825B8">
            <w:pPr>
              <w:widowControl/>
              <w:jc w:val="left"/>
              <w:rPr>
                <w:rFonts w:ascii="宋体" w:hAnsi="宋体" w:cs="宋体"/>
                <w:color w:val="auto"/>
                <w:kern w:val="0"/>
                <w:sz w:val="20"/>
                <w:szCs w:val="20"/>
                <w:highlight w:val="none"/>
              </w:rPr>
            </w:pPr>
          </w:p>
        </w:tc>
        <w:tc>
          <w:tcPr>
            <w:tcW w:w="642" w:type="dxa"/>
            <w:vMerge w:val="restart"/>
            <w:tcBorders>
              <w:top w:val="single" w:color="auto" w:sz="4" w:space="0"/>
              <w:left w:val="single" w:color="auto" w:sz="4" w:space="0"/>
              <w:bottom w:val="nil"/>
              <w:right w:val="single" w:color="auto" w:sz="4" w:space="0"/>
            </w:tcBorders>
            <w:shd w:val="clear" w:color="auto" w:fill="auto"/>
            <w:textDirection w:val="tbRlV"/>
            <w:vAlign w:val="center"/>
          </w:tcPr>
          <w:p w14:paraId="67392B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厨房</w:t>
            </w:r>
          </w:p>
        </w:tc>
        <w:tc>
          <w:tcPr>
            <w:tcW w:w="7545" w:type="dxa"/>
            <w:tcBorders>
              <w:top w:val="nil"/>
              <w:left w:val="nil"/>
              <w:bottom w:val="single" w:color="auto" w:sz="4" w:space="0"/>
              <w:right w:val="single" w:color="auto" w:sz="4" w:space="0"/>
            </w:tcBorders>
            <w:shd w:val="clear" w:color="auto" w:fill="auto"/>
            <w:vAlign w:val="center"/>
          </w:tcPr>
          <w:p w14:paraId="244B55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餐具、备餐用具洗刷干净，并及时消毒。油烟罩、滤油格、蒸饭柜每天必须进行清洗。菜案板面整洁，生、熟案板分开，物品摆放整齐。洗菜池干净、无油渍、无残渣。</w:t>
            </w:r>
          </w:p>
        </w:tc>
        <w:tc>
          <w:tcPr>
            <w:tcW w:w="540" w:type="dxa"/>
            <w:tcBorders>
              <w:top w:val="nil"/>
              <w:left w:val="nil"/>
              <w:bottom w:val="single" w:color="auto" w:sz="4" w:space="0"/>
              <w:right w:val="single" w:color="auto" w:sz="4" w:space="0"/>
            </w:tcBorders>
            <w:shd w:val="clear" w:color="auto" w:fill="auto"/>
            <w:vAlign w:val="center"/>
          </w:tcPr>
          <w:p w14:paraId="6AD6A4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5E03AF21">
        <w:tblPrEx>
          <w:tblCellMar>
            <w:top w:w="0" w:type="dxa"/>
            <w:left w:w="108" w:type="dxa"/>
            <w:bottom w:w="0" w:type="dxa"/>
            <w:right w:w="108" w:type="dxa"/>
          </w:tblCellMar>
        </w:tblPrEx>
        <w:trPr>
          <w:trHeight w:val="540" w:hRule="atLeast"/>
        </w:trPr>
        <w:tc>
          <w:tcPr>
            <w:tcW w:w="416" w:type="dxa"/>
            <w:vMerge w:val="continue"/>
            <w:tcBorders>
              <w:top w:val="nil"/>
              <w:left w:val="single" w:color="auto" w:sz="4" w:space="0"/>
              <w:bottom w:val="nil"/>
              <w:right w:val="single" w:color="auto" w:sz="4" w:space="0"/>
            </w:tcBorders>
            <w:vAlign w:val="center"/>
          </w:tcPr>
          <w:p w14:paraId="2123754A">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6F185011">
            <w:pPr>
              <w:widowControl/>
              <w:jc w:val="left"/>
              <w:rPr>
                <w:rFonts w:ascii="宋体" w:hAnsi="宋体" w:cs="宋体"/>
                <w:color w:val="auto"/>
                <w:kern w:val="0"/>
                <w:sz w:val="20"/>
                <w:szCs w:val="20"/>
                <w:highlight w:val="none"/>
              </w:rPr>
            </w:pPr>
          </w:p>
        </w:tc>
        <w:tc>
          <w:tcPr>
            <w:tcW w:w="642" w:type="dxa"/>
            <w:vMerge w:val="continue"/>
            <w:tcBorders>
              <w:top w:val="single" w:color="auto" w:sz="4" w:space="0"/>
              <w:left w:val="single" w:color="auto" w:sz="4" w:space="0"/>
              <w:bottom w:val="nil"/>
              <w:right w:val="single" w:color="auto" w:sz="4" w:space="0"/>
            </w:tcBorders>
            <w:vAlign w:val="center"/>
          </w:tcPr>
          <w:p w14:paraId="020DF7C0">
            <w:pPr>
              <w:widowControl/>
              <w:jc w:val="left"/>
              <w:rPr>
                <w:rFonts w:ascii="宋体" w:hAnsi="宋体" w:cs="宋体"/>
                <w:color w:val="auto"/>
                <w:kern w:val="0"/>
                <w:sz w:val="20"/>
                <w:szCs w:val="20"/>
                <w:highlight w:val="none"/>
              </w:rPr>
            </w:pPr>
          </w:p>
        </w:tc>
        <w:tc>
          <w:tcPr>
            <w:tcW w:w="7545" w:type="dxa"/>
            <w:tcBorders>
              <w:top w:val="nil"/>
              <w:left w:val="nil"/>
              <w:bottom w:val="single" w:color="auto" w:sz="4" w:space="0"/>
              <w:right w:val="single" w:color="auto" w:sz="4" w:space="0"/>
            </w:tcBorders>
            <w:shd w:val="clear" w:color="auto" w:fill="auto"/>
            <w:vAlign w:val="center"/>
          </w:tcPr>
          <w:p w14:paraId="7821B8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货架物品摆放整齐，无食品腐烂变质现象。垃圾桶和泔水桶及时清理，保持桶身干净并加盖。台面、地面整洁、无积水、无垃圾。下水道、地沟内无杂物，保持畅通。</w:t>
            </w:r>
          </w:p>
        </w:tc>
        <w:tc>
          <w:tcPr>
            <w:tcW w:w="540" w:type="dxa"/>
            <w:tcBorders>
              <w:top w:val="nil"/>
              <w:left w:val="nil"/>
              <w:bottom w:val="single" w:color="auto" w:sz="4" w:space="0"/>
              <w:right w:val="single" w:color="auto" w:sz="4" w:space="0"/>
            </w:tcBorders>
            <w:shd w:val="clear" w:color="auto" w:fill="auto"/>
            <w:vAlign w:val="center"/>
          </w:tcPr>
          <w:p w14:paraId="63667D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20EA4508">
        <w:tblPrEx>
          <w:tblCellMar>
            <w:top w:w="0" w:type="dxa"/>
            <w:left w:w="108" w:type="dxa"/>
            <w:bottom w:w="0" w:type="dxa"/>
            <w:right w:w="108" w:type="dxa"/>
          </w:tblCellMar>
        </w:tblPrEx>
        <w:trPr>
          <w:trHeight w:val="825" w:hRule="atLeast"/>
        </w:trPr>
        <w:tc>
          <w:tcPr>
            <w:tcW w:w="416" w:type="dxa"/>
            <w:vMerge w:val="continue"/>
            <w:tcBorders>
              <w:top w:val="nil"/>
              <w:left w:val="single" w:color="auto" w:sz="4" w:space="0"/>
              <w:bottom w:val="nil"/>
              <w:right w:val="single" w:color="auto" w:sz="4" w:space="0"/>
            </w:tcBorders>
            <w:vAlign w:val="center"/>
          </w:tcPr>
          <w:p w14:paraId="71074CCC">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20360643">
            <w:pPr>
              <w:widowControl/>
              <w:jc w:val="left"/>
              <w:rPr>
                <w:rFonts w:ascii="宋体" w:hAnsi="宋体" w:cs="宋体"/>
                <w:color w:val="auto"/>
                <w:kern w:val="0"/>
                <w:sz w:val="20"/>
                <w:szCs w:val="20"/>
                <w:highlight w:val="none"/>
              </w:rPr>
            </w:pPr>
          </w:p>
        </w:tc>
        <w:tc>
          <w:tcPr>
            <w:tcW w:w="642" w:type="dxa"/>
            <w:tcBorders>
              <w:top w:val="single" w:color="auto" w:sz="4" w:space="0"/>
              <w:left w:val="nil"/>
              <w:bottom w:val="single" w:color="auto" w:sz="4" w:space="0"/>
              <w:right w:val="single" w:color="auto" w:sz="4" w:space="0"/>
            </w:tcBorders>
            <w:shd w:val="clear" w:color="auto" w:fill="auto"/>
            <w:textDirection w:val="tbRlV"/>
            <w:vAlign w:val="center"/>
          </w:tcPr>
          <w:p w14:paraId="57239D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洗手间</w:t>
            </w:r>
          </w:p>
        </w:tc>
        <w:tc>
          <w:tcPr>
            <w:tcW w:w="7545" w:type="dxa"/>
            <w:tcBorders>
              <w:top w:val="nil"/>
              <w:left w:val="nil"/>
              <w:bottom w:val="single" w:color="auto" w:sz="4" w:space="0"/>
              <w:right w:val="single" w:color="auto" w:sz="4" w:space="0"/>
            </w:tcBorders>
            <w:shd w:val="clear" w:color="auto" w:fill="auto"/>
            <w:vAlign w:val="center"/>
          </w:tcPr>
          <w:p w14:paraId="5AC829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地面、墙面保持干净，无污迹；厕池内外保持干净无黄垢，无杂物；垃圾及时清倒；台面、洗手盆、水龙头无污物，无水渍；玻璃镜面保持光亮，无水渍。</w:t>
            </w:r>
          </w:p>
        </w:tc>
        <w:tc>
          <w:tcPr>
            <w:tcW w:w="540" w:type="dxa"/>
            <w:tcBorders>
              <w:top w:val="nil"/>
              <w:left w:val="nil"/>
              <w:bottom w:val="single" w:color="auto" w:sz="4" w:space="0"/>
              <w:right w:val="single" w:color="auto" w:sz="4" w:space="0"/>
            </w:tcBorders>
            <w:shd w:val="clear" w:color="auto" w:fill="auto"/>
            <w:vAlign w:val="center"/>
          </w:tcPr>
          <w:p w14:paraId="2EA812B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00E1578D">
        <w:tblPrEx>
          <w:tblCellMar>
            <w:top w:w="0" w:type="dxa"/>
            <w:left w:w="108" w:type="dxa"/>
            <w:bottom w:w="0" w:type="dxa"/>
            <w:right w:w="108" w:type="dxa"/>
          </w:tblCellMar>
        </w:tblPrEx>
        <w:trPr>
          <w:trHeight w:val="600" w:hRule="atLeast"/>
        </w:trPr>
        <w:tc>
          <w:tcPr>
            <w:tcW w:w="416" w:type="dxa"/>
            <w:vMerge w:val="continue"/>
            <w:tcBorders>
              <w:top w:val="nil"/>
              <w:left w:val="single" w:color="auto" w:sz="4" w:space="0"/>
              <w:bottom w:val="nil"/>
              <w:right w:val="single" w:color="auto" w:sz="4" w:space="0"/>
            </w:tcBorders>
            <w:vAlign w:val="center"/>
          </w:tcPr>
          <w:p w14:paraId="6BCB39A3">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645A2298">
            <w:pPr>
              <w:widowControl/>
              <w:jc w:val="left"/>
              <w:rPr>
                <w:rFonts w:ascii="宋体" w:hAnsi="宋体" w:cs="宋体"/>
                <w:color w:val="auto"/>
                <w:kern w:val="0"/>
                <w:sz w:val="20"/>
                <w:szCs w:val="20"/>
                <w:highlight w:val="none"/>
              </w:rPr>
            </w:pPr>
          </w:p>
        </w:tc>
        <w:tc>
          <w:tcPr>
            <w:tcW w:w="642" w:type="dxa"/>
            <w:vMerge w:val="restart"/>
            <w:tcBorders>
              <w:top w:val="nil"/>
              <w:left w:val="single" w:color="auto" w:sz="4" w:space="0"/>
              <w:bottom w:val="nil"/>
              <w:right w:val="single" w:color="auto" w:sz="4" w:space="0"/>
            </w:tcBorders>
            <w:shd w:val="clear" w:color="auto" w:fill="auto"/>
            <w:textDirection w:val="tbRlV"/>
            <w:vAlign w:val="center"/>
          </w:tcPr>
          <w:p w14:paraId="456517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备餐用具</w:t>
            </w:r>
          </w:p>
        </w:tc>
        <w:tc>
          <w:tcPr>
            <w:tcW w:w="7545" w:type="dxa"/>
            <w:tcBorders>
              <w:top w:val="nil"/>
              <w:left w:val="nil"/>
              <w:bottom w:val="single" w:color="auto" w:sz="4" w:space="0"/>
              <w:right w:val="single" w:color="auto" w:sz="4" w:space="0"/>
            </w:tcBorders>
            <w:shd w:val="clear" w:color="auto" w:fill="auto"/>
            <w:vAlign w:val="center"/>
          </w:tcPr>
          <w:p w14:paraId="595C21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菜刀、砧板按生熟食品分开使用，砧板在使用后需清洁并竖放。打饭勺、菜勺、汤勺、铲子放置在干净的容器里面。盛装生菜的塑料筐使用前后须清洗干净，不得直接放置于地面上。</w:t>
            </w:r>
          </w:p>
        </w:tc>
        <w:tc>
          <w:tcPr>
            <w:tcW w:w="540" w:type="dxa"/>
            <w:tcBorders>
              <w:top w:val="nil"/>
              <w:left w:val="nil"/>
              <w:bottom w:val="single" w:color="auto" w:sz="4" w:space="0"/>
              <w:right w:val="single" w:color="auto" w:sz="4" w:space="0"/>
            </w:tcBorders>
            <w:shd w:val="clear" w:color="auto" w:fill="auto"/>
            <w:vAlign w:val="center"/>
          </w:tcPr>
          <w:p w14:paraId="153340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7A715A6A">
        <w:tblPrEx>
          <w:tblCellMar>
            <w:top w:w="0" w:type="dxa"/>
            <w:left w:w="108" w:type="dxa"/>
            <w:bottom w:w="0" w:type="dxa"/>
            <w:right w:w="108" w:type="dxa"/>
          </w:tblCellMar>
        </w:tblPrEx>
        <w:trPr>
          <w:trHeight w:val="462" w:hRule="atLeast"/>
        </w:trPr>
        <w:tc>
          <w:tcPr>
            <w:tcW w:w="416" w:type="dxa"/>
            <w:vMerge w:val="continue"/>
            <w:tcBorders>
              <w:top w:val="nil"/>
              <w:left w:val="single" w:color="auto" w:sz="4" w:space="0"/>
              <w:bottom w:val="nil"/>
              <w:right w:val="single" w:color="auto" w:sz="4" w:space="0"/>
            </w:tcBorders>
            <w:vAlign w:val="center"/>
          </w:tcPr>
          <w:p w14:paraId="02160405">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16530B75">
            <w:pPr>
              <w:widowControl/>
              <w:jc w:val="left"/>
              <w:rPr>
                <w:rFonts w:ascii="宋体" w:hAnsi="宋体" w:cs="宋体"/>
                <w:color w:val="auto"/>
                <w:kern w:val="0"/>
                <w:sz w:val="20"/>
                <w:szCs w:val="20"/>
                <w:highlight w:val="none"/>
              </w:rPr>
            </w:pPr>
          </w:p>
        </w:tc>
        <w:tc>
          <w:tcPr>
            <w:tcW w:w="642" w:type="dxa"/>
            <w:vMerge w:val="continue"/>
            <w:tcBorders>
              <w:top w:val="nil"/>
              <w:left w:val="single" w:color="auto" w:sz="4" w:space="0"/>
              <w:bottom w:val="nil"/>
              <w:right w:val="single" w:color="auto" w:sz="4" w:space="0"/>
            </w:tcBorders>
            <w:vAlign w:val="center"/>
          </w:tcPr>
          <w:p w14:paraId="16B25E14">
            <w:pPr>
              <w:widowControl/>
              <w:jc w:val="left"/>
              <w:rPr>
                <w:rFonts w:ascii="宋体" w:hAnsi="宋体" w:cs="宋体"/>
                <w:color w:val="auto"/>
                <w:kern w:val="0"/>
                <w:sz w:val="20"/>
                <w:szCs w:val="20"/>
                <w:highlight w:val="none"/>
              </w:rPr>
            </w:pPr>
          </w:p>
        </w:tc>
        <w:tc>
          <w:tcPr>
            <w:tcW w:w="7545" w:type="dxa"/>
            <w:tcBorders>
              <w:top w:val="nil"/>
              <w:left w:val="nil"/>
              <w:bottom w:val="single" w:color="auto" w:sz="4" w:space="0"/>
              <w:right w:val="single" w:color="auto" w:sz="4" w:space="0"/>
            </w:tcBorders>
            <w:shd w:val="clear" w:color="auto" w:fill="auto"/>
            <w:vAlign w:val="center"/>
          </w:tcPr>
          <w:p w14:paraId="1E1208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保持冰箱内物品摆放整洁干净且存放应适量；生、熟食分柜存放。调料、配料要集中摆放并加盖。</w:t>
            </w:r>
          </w:p>
        </w:tc>
        <w:tc>
          <w:tcPr>
            <w:tcW w:w="540" w:type="dxa"/>
            <w:tcBorders>
              <w:top w:val="nil"/>
              <w:left w:val="nil"/>
              <w:bottom w:val="single" w:color="auto" w:sz="4" w:space="0"/>
              <w:right w:val="single" w:color="auto" w:sz="4" w:space="0"/>
            </w:tcBorders>
            <w:shd w:val="clear" w:color="auto" w:fill="auto"/>
            <w:vAlign w:val="center"/>
          </w:tcPr>
          <w:p w14:paraId="329847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55012BB1">
        <w:tblPrEx>
          <w:tblCellMar>
            <w:top w:w="0" w:type="dxa"/>
            <w:left w:w="108" w:type="dxa"/>
            <w:bottom w:w="0" w:type="dxa"/>
            <w:right w:w="108" w:type="dxa"/>
          </w:tblCellMar>
        </w:tblPrEx>
        <w:trPr>
          <w:trHeight w:val="439" w:hRule="atLeast"/>
        </w:trPr>
        <w:tc>
          <w:tcPr>
            <w:tcW w:w="416" w:type="dxa"/>
            <w:vMerge w:val="continue"/>
            <w:tcBorders>
              <w:top w:val="nil"/>
              <w:left w:val="single" w:color="auto" w:sz="4" w:space="0"/>
              <w:bottom w:val="nil"/>
              <w:right w:val="single" w:color="auto" w:sz="4" w:space="0"/>
            </w:tcBorders>
            <w:vAlign w:val="center"/>
          </w:tcPr>
          <w:p w14:paraId="068B5BBF">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31B59250">
            <w:pPr>
              <w:widowControl/>
              <w:jc w:val="left"/>
              <w:rPr>
                <w:rFonts w:ascii="宋体" w:hAnsi="宋体" w:cs="宋体"/>
                <w:color w:val="auto"/>
                <w:kern w:val="0"/>
                <w:sz w:val="20"/>
                <w:szCs w:val="20"/>
                <w:highlight w:val="none"/>
              </w:rPr>
            </w:pPr>
          </w:p>
        </w:tc>
        <w:tc>
          <w:tcPr>
            <w:tcW w:w="642" w:type="dxa"/>
            <w:tcBorders>
              <w:top w:val="single" w:color="auto" w:sz="4" w:space="0"/>
              <w:left w:val="nil"/>
              <w:bottom w:val="single" w:color="auto" w:sz="4" w:space="0"/>
              <w:right w:val="single" w:color="auto" w:sz="4" w:space="0"/>
            </w:tcBorders>
            <w:shd w:val="clear" w:color="auto" w:fill="auto"/>
            <w:vAlign w:val="center"/>
          </w:tcPr>
          <w:p w14:paraId="1E53F8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消防</w:t>
            </w:r>
          </w:p>
        </w:tc>
        <w:tc>
          <w:tcPr>
            <w:tcW w:w="7545" w:type="dxa"/>
            <w:tcBorders>
              <w:top w:val="nil"/>
              <w:left w:val="nil"/>
              <w:bottom w:val="single" w:color="auto" w:sz="4" w:space="0"/>
              <w:right w:val="single" w:color="auto" w:sz="4" w:space="0"/>
            </w:tcBorders>
            <w:shd w:val="clear" w:color="auto" w:fill="auto"/>
            <w:vAlign w:val="center"/>
          </w:tcPr>
          <w:p w14:paraId="5836BD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定期进行消防巡查，确保消防器材处于正常完好的状态，并做好检查更换记录。</w:t>
            </w:r>
          </w:p>
        </w:tc>
        <w:tc>
          <w:tcPr>
            <w:tcW w:w="540" w:type="dxa"/>
            <w:tcBorders>
              <w:top w:val="nil"/>
              <w:left w:val="nil"/>
              <w:bottom w:val="single" w:color="auto" w:sz="4" w:space="0"/>
              <w:right w:val="single" w:color="auto" w:sz="4" w:space="0"/>
            </w:tcBorders>
            <w:shd w:val="clear" w:color="auto" w:fill="auto"/>
            <w:vAlign w:val="center"/>
          </w:tcPr>
          <w:p w14:paraId="06B4DD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1685BFC0">
        <w:tblPrEx>
          <w:tblCellMar>
            <w:top w:w="0" w:type="dxa"/>
            <w:left w:w="108" w:type="dxa"/>
            <w:bottom w:w="0" w:type="dxa"/>
            <w:right w:w="108" w:type="dxa"/>
          </w:tblCellMar>
        </w:tblPrEx>
        <w:trPr>
          <w:trHeight w:val="480" w:hRule="atLeast"/>
        </w:trPr>
        <w:tc>
          <w:tcPr>
            <w:tcW w:w="416" w:type="dxa"/>
            <w:vMerge w:val="continue"/>
            <w:tcBorders>
              <w:top w:val="nil"/>
              <w:left w:val="single" w:color="auto" w:sz="4" w:space="0"/>
              <w:bottom w:val="nil"/>
              <w:right w:val="single" w:color="auto" w:sz="4" w:space="0"/>
            </w:tcBorders>
            <w:vAlign w:val="center"/>
          </w:tcPr>
          <w:p w14:paraId="3AC860CE">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5FBDD3DF">
            <w:pPr>
              <w:widowControl/>
              <w:jc w:val="left"/>
              <w:rPr>
                <w:rFonts w:ascii="宋体" w:hAnsi="宋体" w:cs="宋体"/>
                <w:color w:val="auto"/>
                <w:kern w:val="0"/>
                <w:sz w:val="20"/>
                <w:szCs w:val="20"/>
                <w:highlight w:val="none"/>
              </w:rPr>
            </w:pPr>
          </w:p>
        </w:tc>
        <w:tc>
          <w:tcPr>
            <w:tcW w:w="642" w:type="dxa"/>
            <w:tcBorders>
              <w:top w:val="nil"/>
              <w:left w:val="nil"/>
              <w:bottom w:val="single" w:color="auto" w:sz="4" w:space="0"/>
              <w:right w:val="single" w:color="auto" w:sz="4" w:space="0"/>
            </w:tcBorders>
            <w:shd w:val="clear" w:color="auto" w:fill="auto"/>
            <w:vAlign w:val="center"/>
          </w:tcPr>
          <w:p w14:paraId="5542F4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消杀</w:t>
            </w:r>
          </w:p>
        </w:tc>
        <w:tc>
          <w:tcPr>
            <w:tcW w:w="7545" w:type="dxa"/>
            <w:tcBorders>
              <w:top w:val="nil"/>
              <w:left w:val="nil"/>
              <w:bottom w:val="single" w:color="auto" w:sz="4" w:space="0"/>
              <w:right w:val="single" w:color="auto" w:sz="4" w:space="0"/>
            </w:tcBorders>
            <w:shd w:val="clear" w:color="auto" w:fill="auto"/>
            <w:vAlign w:val="center"/>
          </w:tcPr>
          <w:p w14:paraId="64D963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做好消杀工作，食堂内不得有老鼠、蟑螂或其他有害虫类。</w:t>
            </w:r>
          </w:p>
        </w:tc>
        <w:tc>
          <w:tcPr>
            <w:tcW w:w="540" w:type="dxa"/>
            <w:tcBorders>
              <w:top w:val="nil"/>
              <w:left w:val="nil"/>
              <w:bottom w:val="single" w:color="auto" w:sz="4" w:space="0"/>
              <w:right w:val="single" w:color="auto" w:sz="4" w:space="0"/>
            </w:tcBorders>
            <w:shd w:val="clear" w:color="auto" w:fill="auto"/>
            <w:vAlign w:val="center"/>
          </w:tcPr>
          <w:p w14:paraId="3B25A8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41765D4B">
        <w:tblPrEx>
          <w:tblCellMar>
            <w:top w:w="0" w:type="dxa"/>
            <w:left w:w="108" w:type="dxa"/>
            <w:bottom w:w="0" w:type="dxa"/>
            <w:right w:w="108" w:type="dxa"/>
          </w:tblCellMar>
        </w:tblPrEx>
        <w:trPr>
          <w:trHeight w:val="540" w:hRule="atLeast"/>
        </w:trPr>
        <w:tc>
          <w:tcPr>
            <w:tcW w:w="416" w:type="dxa"/>
            <w:vMerge w:val="restart"/>
            <w:tcBorders>
              <w:top w:val="single" w:color="auto" w:sz="4" w:space="0"/>
              <w:left w:val="single" w:color="auto" w:sz="4" w:space="0"/>
              <w:bottom w:val="nil"/>
              <w:right w:val="single" w:color="auto" w:sz="4" w:space="0"/>
            </w:tcBorders>
            <w:shd w:val="clear" w:color="auto" w:fill="auto"/>
            <w:vAlign w:val="center"/>
          </w:tcPr>
          <w:p w14:paraId="53BE88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32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74BB1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餐具洗消管理</w:t>
            </w:r>
          </w:p>
        </w:tc>
        <w:tc>
          <w:tcPr>
            <w:tcW w:w="7545" w:type="dxa"/>
            <w:tcBorders>
              <w:top w:val="nil"/>
              <w:left w:val="nil"/>
              <w:bottom w:val="single" w:color="auto" w:sz="4" w:space="0"/>
              <w:right w:val="single" w:color="auto" w:sz="4" w:space="0"/>
            </w:tcBorders>
            <w:shd w:val="clear" w:color="auto" w:fill="auto"/>
            <w:vAlign w:val="center"/>
          </w:tcPr>
          <w:p w14:paraId="52D507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餐具、备餐用具清洗、消毒必须在洗碗间进行。餐具、备餐用具清洗必须做到一清、二洗、三冲、四消毒、五保洁。废弃物用专用容器盛放，不暴露、不积压、不外溢。</w:t>
            </w:r>
          </w:p>
        </w:tc>
        <w:tc>
          <w:tcPr>
            <w:tcW w:w="540" w:type="dxa"/>
            <w:tcBorders>
              <w:top w:val="nil"/>
              <w:left w:val="nil"/>
              <w:bottom w:val="single" w:color="auto" w:sz="4" w:space="0"/>
              <w:right w:val="single" w:color="auto" w:sz="4" w:space="0"/>
            </w:tcBorders>
            <w:shd w:val="clear" w:color="auto" w:fill="auto"/>
            <w:vAlign w:val="center"/>
          </w:tcPr>
          <w:p w14:paraId="493570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7E870C12">
        <w:tblPrEx>
          <w:tblCellMar>
            <w:top w:w="0" w:type="dxa"/>
            <w:left w:w="108" w:type="dxa"/>
            <w:bottom w:w="0" w:type="dxa"/>
            <w:right w:w="108" w:type="dxa"/>
          </w:tblCellMar>
        </w:tblPrEx>
        <w:trPr>
          <w:trHeight w:val="600" w:hRule="atLeast"/>
        </w:trPr>
        <w:tc>
          <w:tcPr>
            <w:tcW w:w="416" w:type="dxa"/>
            <w:vMerge w:val="continue"/>
            <w:tcBorders>
              <w:top w:val="single" w:color="auto" w:sz="4" w:space="0"/>
              <w:left w:val="single" w:color="auto" w:sz="4" w:space="0"/>
              <w:bottom w:val="nil"/>
              <w:right w:val="single" w:color="auto" w:sz="4" w:space="0"/>
            </w:tcBorders>
            <w:vAlign w:val="center"/>
          </w:tcPr>
          <w:p w14:paraId="094FD9DD">
            <w:pPr>
              <w:widowControl/>
              <w:jc w:val="left"/>
              <w:rPr>
                <w:rFonts w:ascii="宋体" w:hAnsi="宋体" w:cs="宋体"/>
                <w:color w:val="auto"/>
                <w:kern w:val="0"/>
                <w:sz w:val="20"/>
                <w:szCs w:val="20"/>
                <w:highlight w:val="none"/>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14:paraId="2CD1C86A">
            <w:pPr>
              <w:widowControl/>
              <w:jc w:val="left"/>
              <w:rPr>
                <w:rFonts w:ascii="宋体" w:hAnsi="宋体" w:cs="宋体"/>
                <w:color w:val="auto"/>
                <w:kern w:val="0"/>
                <w:sz w:val="20"/>
                <w:szCs w:val="20"/>
                <w:highlight w:val="none"/>
              </w:rPr>
            </w:pPr>
          </w:p>
        </w:tc>
        <w:tc>
          <w:tcPr>
            <w:tcW w:w="7545" w:type="dxa"/>
            <w:tcBorders>
              <w:top w:val="nil"/>
              <w:left w:val="nil"/>
              <w:bottom w:val="single" w:color="auto" w:sz="4" w:space="0"/>
              <w:right w:val="single" w:color="auto" w:sz="4" w:space="0"/>
            </w:tcBorders>
            <w:shd w:val="clear" w:color="auto" w:fill="auto"/>
            <w:vAlign w:val="center"/>
          </w:tcPr>
          <w:p w14:paraId="3272B6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已消毒和未消毒的餐具、备餐用具应分开存放；消毒后的餐具、备餐用具贮存在专用保洁柜内备用，摆放应整齐有序。</w:t>
            </w:r>
          </w:p>
        </w:tc>
        <w:tc>
          <w:tcPr>
            <w:tcW w:w="540" w:type="dxa"/>
            <w:tcBorders>
              <w:top w:val="nil"/>
              <w:left w:val="nil"/>
              <w:bottom w:val="single" w:color="auto" w:sz="4" w:space="0"/>
              <w:right w:val="single" w:color="auto" w:sz="4" w:space="0"/>
            </w:tcBorders>
            <w:shd w:val="clear" w:color="auto" w:fill="auto"/>
            <w:vAlign w:val="center"/>
          </w:tcPr>
          <w:p w14:paraId="605D3C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3FAE39B9">
        <w:tblPrEx>
          <w:tblCellMar>
            <w:top w:w="0" w:type="dxa"/>
            <w:left w:w="108" w:type="dxa"/>
            <w:bottom w:w="0" w:type="dxa"/>
            <w:right w:w="108" w:type="dxa"/>
          </w:tblCellMar>
        </w:tblPrEx>
        <w:trPr>
          <w:trHeight w:val="600" w:hRule="atLeast"/>
        </w:trPr>
        <w:tc>
          <w:tcPr>
            <w:tcW w:w="4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3F2E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8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6FFF4B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食品加工操作管理</w:t>
            </w:r>
          </w:p>
        </w:tc>
        <w:tc>
          <w:tcPr>
            <w:tcW w:w="642" w:type="dxa"/>
            <w:tcBorders>
              <w:top w:val="nil"/>
              <w:left w:val="nil"/>
              <w:bottom w:val="single" w:color="auto" w:sz="4" w:space="0"/>
              <w:right w:val="single" w:color="auto" w:sz="4" w:space="0"/>
            </w:tcBorders>
            <w:shd w:val="clear" w:color="auto" w:fill="auto"/>
            <w:vAlign w:val="center"/>
          </w:tcPr>
          <w:p w14:paraId="5C4F00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仓库管理</w:t>
            </w:r>
          </w:p>
        </w:tc>
        <w:tc>
          <w:tcPr>
            <w:tcW w:w="7545" w:type="dxa"/>
            <w:tcBorders>
              <w:top w:val="nil"/>
              <w:left w:val="nil"/>
              <w:bottom w:val="single" w:color="auto" w:sz="4" w:space="0"/>
              <w:right w:val="single" w:color="auto" w:sz="4" w:space="0"/>
            </w:tcBorders>
            <w:shd w:val="clear" w:color="auto" w:fill="auto"/>
            <w:vAlign w:val="center"/>
          </w:tcPr>
          <w:p w14:paraId="0531A7A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仓库内不得存有超过保质期、霉变食品，不得存放有毒有害物品及个人用品，食品与非食品不得混放或混装。应设专人进行管理，仓库内物品应按标记标识有序存放。</w:t>
            </w:r>
          </w:p>
        </w:tc>
        <w:tc>
          <w:tcPr>
            <w:tcW w:w="540" w:type="dxa"/>
            <w:tcBorders>
              <w:top w:val="nil"/>
              <w:left w:val="nil"/>
              <w:bottom w:val="single" w:color="auto" w:sz="4" w:space="0"/>
              <w:right w:val="single" w:color="auto" w:sz="4" w:space="0"/>
            </w:tcBorders>
            <w:shd w:val="clear" w:color="auto" w:fill="auto"/>
            <w:vAlign w:val="center"/>
          </w:tcPr>
          <w:p w14:paraId="03FB6E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584E49DA">
        <w:tblPrEx>
          <w:tblCellMar>
            <w:top w:w="0" w:type="dxa"/>
            <w:left w:w="108" w:type="dxa"/>
            <w:bottom w:w="0" w:type="dxa"/>
            <w:right w:w="108" w:type="dxa"/>
          </w:tblCellMar>
        </w:tblPrEx>
        <w:trPr>
          <w:trHeight w:val="600" w:hRule="atLeast"/>
        </w:trPr>
        <w:tc>
          <w:tcPr>
            <w:tcW w:w="416" w:type="dxa"/>
            <w:vMerge w:val="continue"/>
            <w:tcBorders>
              <w:top w:val="single" w:color="auto" w:sz="4" w:space="0"/>
              <w:left w:val="single" w:color="auto" w:sz="4" w:space="0"/>
              <w:bottom w:val="single" w:color="000000" w:sz="4" w:space="0"/>
              <w:right w:val="single" w:color="auto" w:sz="4" w:space="0"/>
            </w:tcBorders>
            <w:vAlign w:val="center"/>
          </w:tcPr>
          <w:p w14:paraId="022A6B3C">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4FE75AD4">
            <w:pPr>
              <w:widowControl/>
              <w:jc w:val="left"/>
              <w:rPr>
                <w:rFonts w:ascii="宋体" w:hAnsi="宋体" w:cs="宋体"/>
                <w:color w:val="auto"/>
                <w:kern w:val="0"/>
                <w:sz w:val="20"/>
                <w:szCs w:val="20"/>
                <w:highlight w:val="none"/>
              </w:rPr>
            </w:pPr>
          </w:p>
        </w:tc>
        <w:tc>
          <w:tcPr>
            <w:tcW w:w="642" w:type="dxa"/>
            <w:tcBorders>
              <w:top w:val="nil"/>
              <w:left w:val="nil"/>
              <w:bottom w:val="single" w:color="auto" w:sz="4" w:space="0"/>
              <w:right w:val="single" w:color="auto" w:sz="4" w:space="0"/>
            </w:tcBorders>
            <w:shd w:val="clear" w:color="auto" w:fill="auto"/>
            <w:vAlign w:val="center"/>
          </w:tcPr>
          <w:p w14:paraId="022A6B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切配管理</w:t>
            </w:r>
          </w:p>
        </w:tc>
        <w:tc>
          <w:tcPr>
            <w:tcW w:w="7545" w:type="dxa"/>
            <w:tcBorders>
              <w:top w:val="nil"/>
              <w:left w:val="nil"/>
              <w:bottom w:val="single" w:color="auto" w:sz="4" w:space="0"/>
              <w:right w:val="single" w:color="auto" w:sz="4" w:space="0"/>
            </w:tcBorders>
            <w:shd w:val="clear" w:color="auto" w:fill="auto"/>
            <w:vAlign w:val="center"/>
          </w:tcPr>
          <w:p w14:paraId="22F549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蔬菜与肉类、水产品分池清洗、分类存放。配菜结束，地面、台面、用具需清洗干净。冰箱定期化霜清洗，成品、半成品与原料分开存放，冰箱内食品不得重叠、窜味。</w:t>
            </w:r>
          </w:p>
        </w:tc>
        <w:tc>
          <w:tcPr>
            <w:tcW w:w="540" w:type="dxa"/>
            <w:tcBorders>
              <w:top w:val="nil"/>
              <w:left w:val="nil"/>
              <w:bottom w:val="single" w:color="auto" w:sz="4" w:space="0"/>
              <w:right w:val="single" w:color="auto" w:sz="4" w:space="0"/>
            </w:tcBorders>
            <w:shd w:val="clear" w:color="auto" w:fill="auto"/>
            <w:vAlign w:val="center"/>
          </w:tcPr>
          <w:p w14:paraId="2F442C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68ECC279">
        <w:tblPrEx>
          <w:tblCellMar>
            <w:top w:w="0" w:type="dxa"/>
            <w:left w:w="108" w:type="dxa"/>
            <w:bottom w:w="0" w:type="dxa"/>
            <w:right w:w="108" w:type="dxa"/>
          </w:tblCellMar>
        </w:tblPrEx>
        <w:trPr>
          <w:trHeight w:val="660" w:hRule="atLeast"/>
        </w:trPr>
        <w:tc>
          <w:tcPr>
            <w:tcW w:w="416" w:type="dxa"/>
            <w:vMerge w:val="continue"/>
            <w:tcBorders>
              <w:top w:val="single" w:color="auto" w:sz="4" w:space="0"/>
              <w:left w:val="single" w:color="auto" w:sz="4" w:space="0"/>
              <w:bottom w:val="single" w:color="000000" w:sz="4" w:space="0"/>
              <w:right w:val="single" w:color="auto" w:sz="4" w:space="0"/>
            </w:tcBorders>
            <w:vAlign w:val="center"/>
          </w:tcPr>
          <w:p w14:paraId="5EC79C88">
            <w:pPr>
              <w:widowControl/>
              <w:jc w:val="left"/>
              <w:rPr>
                <w:rFonts w:ascii="宋体" w:hAnsi="宋体" w:cs="宋体"/>
                <w:color w:val="auto"/>
                <w:kern w:val="0"/>
                <w:sz w:val="20"/>
                <w:szCs w:val="20"/>
                <w:highlight w:val="none"/>
              </w:rPr>
            </w:pPr>
          </w:p>
        </w:tc>
        <w:tc>
          <w:tcPr>
            <w:tcW w:w="680" w:type="dxa"/>
            <w:vMerge w:val="continue"/>
            <w:tcBorders>
              <w:top w:val="nil"/>
              <w:left w:val="single" w:color="auto" w:sz="4" w:space="0"/>
              <w:bottom w:val="single" w:color="auto" w:sz="4" w:space="0"/>
              <w:right w:val="single" w:color="auto" w:sz="4" w:space="0"/>
            </w:tcBorders>
            <w:vAlign w:val="center"/>
          </w:tcPr>
          <w:p w14:paraId="39215E2B">
            <w:pPr>
              <w:widowControl/>
              <w:jc w:val="left"/>
              <w:rPr>
                <w:rFonts w:ascii="宋体" w:hAnsi="宋体" w:cs="宋体"/>
                <w:color w:val="auto"/>
                <w:kern w:val="0"/>
                <w:sz w:val="20"/>
                <w:szCs w:val="20"/>
                <w:highlight w:val="none"/>
              </w:rPr>
            </w:pPr>
          </w:p>
        </w:tc>
        <w:tc>
          <w:tcPr>
            <w:tcW w:w="642" w:type="dxa"/>
            <w:tcBorders>
              <w:top w:val="nil"/>
              <w:left w:val="nil"/>
              <w:bottom w:val="single" w:color="auto" w:sz="4" w:space="0"/>
              <w:right w:val="single" w:color="auto" w:sz="4" w:space="0"/>
            </w:tcBorders>
            <w:shd w:val="clear" w:color="auto" w:fill="auto"/>
            <w:vAlign w:val="center"/>
          </w:tcPr>
          <w:p w14:paraId="786703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留样管理</w:t>
            </w:r>
          </w:p>
        </w:tc>
        <w:tc>
          <w:tcPr>
            <w:tcW w:w="7545" w:type="dxa"/>
            <w:tcBorders>
              <w:top w:val="nil"/>
              <w:left w:val="nil"/>
              <w:bottom w:val="single" w:color="auto" w:sz="4" w:space="0"/>
              <w:right w:val="single" w:color="auto" w:sz="4" w:space="0"/>
            </w:tcBorders>
            <w:shd w:val="clear" w:color="auto" w:fill="auto"/>
            <w:vAlign w:val="center"/>
          </w:tcPr>
          <w:p w14:paraId="3224B9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每餐次、每种食品都必须留样,每个品种留样量不少于100g。留样食品按品种分别盛放于清洗消毒后的密闭专用容器内，在冷藏条件下存放不少于48小时。</w:t>
            </w:r>
          </w:p>
        </w:tc>
        <w:tc>
          <w:tcPr>
            <w:tcW w:w="540" w:type="dxa"/>
            <w:tcBorders>
              <w:top w:val="nil"/>
              <w:left w:val="nil"/>
              <w:bottom w:val="single" w:color="auto" w:sz="4" w:space="0"/>
              <w:right w:val="single" w:color="auto" w:sz="4" w:space="0"/>
            </w:tcBorders>
            <w:shd w:val="clear" w:color="auto" w:fill="auto"/>
            <w:vAlign w:val="center"/>
          </w:tcPr>
          <w:p w14:paraId="1A2D9B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6A1487D1">
        <w:tblPrEx>
          <w:tblCellMar>
            <w:top w:w="0" w:type="dxa"/>
            <w:left w:w="108" w:type="dxa"/>
            <w:bottom w:w="0" w:type="dxa"/>
            <w:right w:w="108" w:type="dxa"/>
          </w:tblCellMar>
        </w:tblPrEx>
        <w:trPr>
          <w:trHeight w:val="914" w:hRule="atLeast"/>
        </w:trPr>
        <w:tc>
          <w:tcPr>
            <w:tcW w:w="416" w:type="dxa"/>
            <w:tcBorders>
              <w:top w:val="nil"/>
              <w:left w:val="single" w:color="auto" w:sz="4" w:space="0"/>
              <w:bottom w:val="nil"/>
              <w:right w:val="single" w:color="auto" w:sz="4" w:space="0"/>
            </w:tcBorders>
            <w:shd w:val="clear" w:color="auto" w:fill="auto"/>
            <w:vAlign w:val="center"/>
          </w:tcPr>
          <w:p w14:paraId="7AC070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322" w:type="dxa"/>
            <w:gridSpan w:val="2"/>
            <w:tcBorders>
              <w:top w:val="single" w:color="auto" w:sz="4" w:space="0"/>
              <w:left w:val="nil"/>
              <w:bottom w:val="nil"/>
              <w:right w:val="single" w:color="000000" w:sz="4" w:space="0"/>
            </w:tcBorders>
            <w:shd w:val="clear" w:color="auto" w:fill="auto"/>
            <w:textDirection w:val="tbRlV"/>
            <w:vAlign w:val="center"/>
          </w:tcPr>
          <w:p w14:paraId="294D27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服务管理</w:t>
            </w:r>
          </w:p>
        </w:tc>
        <w:tc>
          <w:tcPr>
            <w:tcW w:w="7545" w:type="dxa"/>
            <w:tcBorders>
              <w:top w:val="nil"/>
              <w:left w:val="nil"/>
              <w:bottom w:val="single" w:color="auto" w:sz="4" w:space="0"/>
              <w:right w:val="single" w:color="auto" w:sz="4" w:space="0"/>
            </w:tcBorders>
            <w:shd w:val="clear" w:color="auto" w:fill="auto"/>
            <w:vAlign w:val="center"/>
          </w:tcPr>
          <w:p w14:paraId="45ADA7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餐饮中心工作人员要做到礼貌服务、微笑服务，不得与就餐人员发生争执、冲突。餐饮中心工作人员工作效率高，打餐速度快，能认真核对就餐人员的消费金额，不得错算、漏算。</w:t>
            </w:r>
          </w:p>
        </w:tc>
        <w:tc>
          <w:tcPr>
            <w:tcW w:w="540" w:type="dxa"/>
            <w:tcBorders>
              <w:top w:val="nil"/>
              <w:left w:val="nil"/>
              <w:bottom w:val="single" w:color="auto" w:sz="4" w:space="0"/>
              <w:right w:val="single" w:color="auto" w:sz="4" w:space="0"/>
            </w:tcBorders>
            <w:shd w:val="clear" w:color="auto" w:fill="auto"/>
            <w:vAlign w:val="center"/>
          </w:tcPr>
          <w:p w14:paraId="79896D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754A8A0D">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14:paraId="54A81D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14:paraId="5173711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顾客满意度</w:t>
            </w:r>
          </w:p>
        </w:tc>
        <w:tc>
          <w:tcPr>
            <w:tcW w:w="7545" w:type="dxa"/>
            <w:tcBorders>
              <w:top w:val="nil"/>
              <w:left w:val="nil"/>
              <w:bottom w:val="single" w:color="auto" w:sz="4" w:space="0"/>
              <w:right w:val="single" w:color="auto" w:sz="4" w:space="0"/>
            </w:tcBorders>
            <w:shd w:val="clear" w:color="000000" w:fill="FFFFFF"/>
            <w:vAlign w:val="center"/>
          </w:tcPr>
          <w:p w14:paraId="5F352B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对餐饮中心菜品口味的满意度。对餐饮中心的就餐环境满意度。对餐饮中心工作人员的服务满意度。</w:t>
            </w:r>
          </w:p>
        </w:tc>
        <w:tc>
          <w:tcPr>
            <w:tcW w:w="540" w:type="dxa"/>
            <w:tcBorders>
              <w:top w:val="nil"/>
              <w:left w:val="nil"/>
              <w:bottom w:val="single" w:color="auto" w:sz="4" w:space="0"/>
              <w:right w:val="single" w:color="auto" w:sz="4" w:space="0"/>
            </w:tcBorders>
            <w:shd w:val="clear" w:color="auto" w:fill="auto"/>
            <w:vAlign w:val="center"/>
          </w:tcPr>
          <w:p w14:paraId="41A3EF3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194EEB15">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14:paraId="18C6D9C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14:paraId="3A8E17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设备清洗管理</w:t>
            </w:r>
          </w:p>
        </w:tc>
        <w:tc>
          <w:tcPr>
            <w:tcW w:w="7545" w:type="dxa"/>
            <w:tcBorders>
              <w:top w:val="nil"/>
              <w:left w:val="nil"/>
              <w:bottom w:val="single" w:color="auto" w:sz="4" w:space="0"/>
              <w:right w:val="single" w:color="auto" w:sz="4" w:space="0"/>
            </w:tcBorders>
            <w:shd w:val="clear" w:color="000000" w:fill="FFFFFF"/>
            <w:vAlign w:val="center"/>
          </w:tcPr>
          <w:p w14:paraId="61C53C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屋面油烟机每月定期清洗。地下车库油水分离器设备机房每日定期清运残杂物，每月定期保养。厨房设备设施每月清洗保养。</w:t>
            </w:r>
          </w:p>
        </w:tc>
        <w:tc>
          <w:tcPr>
            <w:tcW w:w="540" w:type="dxa"/>
            <w:tcBorders>
              <w:top w:val="nil"/>
              <w:left w:val="nil"/>
              <w:bottom w:val="single" w:color="auto" w:sz="4" w:space="0"/>
              <w:right w:val="single" w:color="auto" w:sz="4" w:space="0"/>
            </w:tcBorders>
            <w:shd w:val="clear" w:color="auto" w:fill="auto"/>
            <w:vAlign w:val="center"/>
          </w:tcPr>
          <w:p w14:paraId="306BF8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6B7D61E5">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14:paraId="24A4F4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14:paraId="6AC39D9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轮换机制</w:t>
            </w:r>
          </w:p>
        </w:tc>
        <w:tc>
          <w:tcPr>
            <w:tcW w:w="7545" w:type="dxa"/>
            <w:tcBorders>
              <w:top w:val="nil"/>
              <w:left w:val="nil"/>
              <w:bottom w:val="single" w:color="auto" w:sz="4" w:space="0"/>
              <w:right w:val="single" w:color="auto" w:sz="4" w:space="0"/>
            </w:tcBorders>
            <w:shd w:val="clear" w:color="000000" w:fill="FFFFFF"/>
            <w:vAlign w:val="center"/>
          </w:tcPr>
          <w:p w14:paraId="09E59C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管理人员及其厨师应按照合同配置，并实行每半年厨师轮换机制。</w:t>
            </w:r>
          </w:p>
        </w:tc>
        <w:tc>
          <w:tcPr>
            <w:tcW w:w="540" w:type="dxa"/>
            <w:tcBorders>
              <w:top w:val="nil"/>
              <w:left w:val="nil"/>
              <w:bottom w:val="single" w:color="auto" w:sz="4" w:space="0"/>
              <w:right w:val="single" w:color="auto" w:sz="4" w:space="0"/>
            </w:tcBorders>
            <w:shd w:val="clear" w:color="auto" w:fill="auto"/>
            <w:vAlign w:val="center"/>
          </w:tcPr>
          <w:p w14:paraId="4ECD7D7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r>
      <w:tr w14:paraId="51524136">
        <w:tblPrEx>
          <w:tblCellMar>
            <w:top w:w="0" w:type="dxa"/>
            <w:left w:w="108" w:type="dxa"/>
            <w:bottom w:w="0" w:type="dxa"/>
            <w:right w:w="108" w:type="dxa"/>
          </w:tblCellMar>
        </w:tblPrEx>
        <w:trPr>
          <w:trHeight w:val="360" w:hRule="atLeast"/>
        </w:trPr>
        <w:tc>
          <w:tcPr>
            <w:tcW w:w="9283"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A7F39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合    计 </w:t>
            </w:r>
          </w:p>
        </w:tc>
        <w:tc>
          <w:tcPr>
            <w:tcW w:w="540" w:type="dxa"/>
            <w:tcBorders>
              <w:top w:val="nil"/>
              <w:left w:val="nil"/>
              <w:bottom w:val="single" w:color="auto" w:sz="4" w:space="0"/>
              <w:right w:val="single" w:color="auto" w:sz="4" w:space="0"/>
            </w:tcBorders>
            <w:shd w:val="clear" w:color="auto" w:fill="auto"/>
            <w:vAlign w:val="center"/>
          </w:tcPr>
          <w:p w14:paraId="134FE6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w:t>
            </w:r>
          </w:p>
        </w:tc>
      </w:tr>
      <w:tr w14:paraId="4C6E08C2">
        <w:tblPrEx>
          <w:tblCellMar>
            <w:top w:w="0" w:type="dxa"/>
            <w:left w:w="108" w:type="dxa"/>
            <w:bottom w:w="0" w:type="dxa"/>
            <w:right w:w="108" w:type="dxa"/>
          </w:tblCellMar>
        </w:tblPrEx>
        <w:trPr>
          <w:trHeight w:val="199" w:hRule="atLeast"/>
        </w:trPr>
        <w:tc>
          <w:tcPr>
            <w:tcW w:w="416" w:type="dxa"/>
            <w:tcBorders>
              <w:top w:val="nil"/>
              <w:left w:val="nil"/>
              <w:bottom w:val="nil"/>
              <w:right w:val="nil"/>
            </w:tcBorders>
            <w:shd w:val="clear" w:color="auto" w:fill="auto"/>
            <w:vAlign w:val="center"/>
          </w:tcPr>
          <w:p w14:paraId="686277B1">
            <w:pPr>
              <w:widowControl/>
              <w:jc w:val="left"/>
              <w:rPr>
                <w:rFonts w:ascii="宋体" w:hAnsi="宋体" w:cs="宋体"/>
                <w:color w:val="auto"/>
                <w:kern w:val="0"/>
                <w:sz w:val="20"/>
                <w:szCs w:val="20"/>
                <w:highlight w:val="none"/>
              </w:rPr>
            </w:pPr>
          </w:p>
        </w:tc>
        <w:tc>
          <w:tcPr>
            <w:tcW w:w="680" w:type="dxa"/>
            <w:tcBorders>
              <w:top w:val="nil"/>
              <w:left w:val="nil"/>
              <w:bottom w:val="nil"/>
              <w:right w:val="nil"/>
            </w:tcBorders>
            <w:shd w:val="clear" w:color="auto" w:fill="auto"/>
            <w:vAlign w:val="center"/>
          </w:tcPr>
          <w:p w14:paraId="5B970806">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vAlign w:val="center"/>
          </w:tcPr>
          <w:p w14:paraId="01998021">
            <w:pPr>
              <w:widowControl/>
              <w:jc w:val="left"/>
              <w:rPr>
                <w:rFonts w:ascii="宋体" w:hAnsi="宋体" w:cs="宋体"/>
                <w:color w:val="auto"/>
                <w:kern w:val="0"/>
                <w:sz w:val="20"/>
                <w:szCs w:val="20"/>
                <w:highlight w:val="none"/>
              </w:rPr>
            </w:pPr>
          </w:p>
        </w:tc>
        <w:tc>
          <w:tcPr>
            <w:tcW w:w="7545" w:type="dxa"/>
            <w:tcBorders>
              <w:top w:val="nil"/>
              <w:left w:val="nil"/>
              <w:bottom w:val="nil"/>
              <w:right w:val="nil"/>
            </w:tcBorders>
            <w:shd w:val="clear" w:color="auto" w:fill="auto"/>
            <w:vAlign w:val="center"/>
          </w:tcPr>
          <w:p w14:paraId="33CCFEFA">
            <w:pPr>
              <w:widowControl/>
              <w:jc w:val="left"/>
              <w:rPr>
                <w:rFonts w:ascii="宋体" w:hAnsi="宋体" w:cs="宋体"/>
                <w:color w:val="auto"/>
                <w:kern w:val="0"/>
                <w:sz w:val="20"/>
                <w:szCs w:val="20"/>
                <w:highlight w:val="none"/>
              </w:rPr>
            </w:pPr>
          </w:p>
        </w:tc>
        <w:tc>
          <w:tcPr>
            <w:tcW w:w="540" w:type="dxa"/>
            <w:tcBorders>
              <w:top w:val="nil"/>
              <w:left w:val="nil"/>
              <w:bottom w:val="nil"/>
              <w:right w:val="nil"/>
            </w:tcBorders>
            <w:shd w:val="clear" w:color="auto" w:fill="auto"/>
            <w:vAlign w:val="center"/>
          </w:tcPr>
          <w:p w14:paraId="48ADC085">
            <w:pPr>
              <w:widowControl/>
              <w:jc w:val="left"/>
              <w:rPr>
                <w:rFonts w:ascii="宋体" w:hAnsi="宋体" w:cs="宋体"/>
                <w:color w:val="auto"/>
                <w:kern w:val="0"/>
                <w:sz w:val="20"/>
                <w:szCs w:val="20"/>
                <w:highlight w:val="none"/>
              </w:rPr>
            </w:pPr>
          </w:p>
        </w:tc>
      </w:tr>
      <w:tr w14:paraId="44A828E3">
        <w:tblPrEx>
          <w:tblCellMar>
            <w:top w:w="0" w:type="dxa"/>
            <w:left w:w="108" w:type="dxa"/>
            <w:bottom w:w="0" w:type="dxa"/>
            <w:right w:w="108" w:type="dxa"/>
          </w:tblCellMar>
        </w:tblPrEx>
        <w:trPr>
          <w:trHeight w:val="342" w:hRule="atLeast"/>
        </w:trPr>
        <w:tc>
          <w:tcPr>
            <w:tcW w:w="1096" w:type="dxa"/>
            <w:gridSpan w:val="2"/>
            <w:tcBorders>
              <w:top w:val="nil"/>
              <w:left w:val="nil"/>
              <w:bottom w:val="nil"/>
              <w:right w:val="nil"/>
            </w:tcBorders>
            <w:shd w:val="clear" w:color="auto" w:fill="auto"/>
            <w:vAlign w:val="center"/>
          </w:tcPr>
          <w:p w14:paraId="2F874C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考核说明</w:t>
            </w:r>
          </w:p>
          <w:p w14:paraId="5EB1C6E7">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vAlign w:val="center"/>
          </w:tcPr>
          <w:p w14:paraId="20DAF96F">
            <w:pPr>
              <w:widowControl/>
              <w:jc w:val="left"/>
              <w:rPr>
                <w:rFonts w:ascii="宋体" w:hAnsi="宋体" w:cs="宋体"/>
                <w:color w:val="auto"/>
                <w:kern w:val="0"/>
                <w:sz w:val="20"/>
                <w:szCs w:val="20"/>
                <w:highlight w:val="none"/>
              </w:rPr>
            </w:pPr>
          </w:p>
          <w:p w14:paraId="24E0CCD9">
            <w:pPr>
              <w:widowControl/>
              <w:jc w:val="left"/>
              <w:rPr>
                <w:rFonts w:ascii="宋体" w:hAnsi="宋体" w:cs="宋体"/>
                <w:color w:val="auto"/>
                <w:kern w:val="0"/>
                <w:sz w:val="20"/>
                <w:szCs w:val="20"/>
                <w:highlight w:val="none"/>
              </w:rPr>
            </w:pPr>
          </w:p>
          <w:p w14:paraId="66FC5E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7545" w:type="dxa"/>
            <w:tcBorders>
              <w:top w:val="nil"/>
              <w:left w:val="nil"/>
              <w:bottom w:val="nil"/>
              <w:right w:val="nil"/>
            </w:tcBorders>
            <w:shd w:val="clear" w:color="auto" w:fill="auto"/>
            <w:vAlign w:val="center"/>
          </w:tcPr>
          <w:p w14:paraId="06A1D3F1">
            <w:pPr>
              <w:widowControl/>
              <w:jc w:val="left"/>
              <w:rPr>
                <w:rFonts w:ascii="宋体" w:hAnsi="宋体" w:cs="宋体"/>
                <w:color w:val="auto"/>
                <w:kern w:val="0"/>
                <w:sz w:val="20"/>
                <w:szCs w:val="20"/>
                <w:highlight w:val="none"/>
              </w:rPr>
            </w:pPr>
          </w:p>
          <w:p w14:paraId="5F795EB9">
            <w:pPr>
              <w:widowControl/>
              <w:jc w:val="left"/>
              <w:rPr>
                <w:rFonts w:ascii="宋体" w:hAnsi="宋体" w:cs="宋体"/>
                <w:color w:val="auto"/>
                <w:kern w:val="0"/>
                <w:sz w:val="20"/>
                <w:szCs w:val="20"/>
                <w:highlight w:val="none"/>
              </w:rPr>
            </w:pPr>
          </w:p>
          <w:p w14:paraId="009E02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本项考核总分为100分。</w:t>
            </w:r>
          </w:p>
        </w:tc>
        <w:tc>
          <w:tcPr>
            <w:tcW w:w="540" w:type="dxa"/>
            <w:tcBorders>
              <w:top w:val="nil"/>
              <w:left w:val="nil"/>
              <w:bottom w:val="nil"/>
              <w:right w:val="nil"/>
            </w:tcBorders>
            <w:shd w:val="clear" w:color="auto" w:fill="auto"/>
            <w:vAlign w:val="center"/>
          </w:tcPr>
          <w:p w14:paraId="19842FBA">
            <w:pPr>
              <w:widowControl/>
              <w:jc w:val="left"/>
              <w:rPr>
                <w:rFonts w:ascii="宋体" w:hAnsi="宋体" w:cs="宋体"/>
                <w:color w:val="auto"/>
                <w:kern w:val="0"/>
                <w:sz w:val="20"/>
                <w:szCs w:val="20"/>
                <w:highlight w:val="none"/>
              </w:rPr>
            </w:pPr>
          </w:p>
        </w:tc>
      </w:tr>
      <w:tr w14:paraId="1C718AD9">
        <w:tblPrEx>
          <w:tblCellMar>
            <w:top w:w="0" w:type="dxa"/>
            <w:left w:w="108" w:type="dxa"/>
            <w:bottom w:w="0" w:type="dxa"/>
            <w:right w:w="108" w:type="dxa"/>
          </w:tblCellMar>
        </w:tblPrEx>
        <w:trPr>
          <w:trHeight w:val="360" w:hRule="atLeast"/>
        </w:trPr>
        <w:tc>
          <w:tcPr>
            <w:tcW w:w="416" w:type="dxa"/>
            <w:tcBorders>
              <w:top w:val="nil"/>
              <w:left w:val="nil"/>
              <w:bottom w:val="nil"/>
              <w:right w:val="nil"/>
            </w:tcBorders>
            <w:shd w:val="clear" w:color="auto" w:fill="auto"/>
            <w:vAlign w:val="center"/>
          </w:tcPr>
          <w:p w14:paraId="3F7269C4">
            <w:pPr>
              <w:widowControl/>
              <w:jc w:val="left"/>
              <w:rPr>
                <w:rFonts w:ascii="宋体" w:hAnsi="宋体" w:cs="宋体"/>
                <w:color w:val="auto"/>
                <w:kern w:val="0"/>
                <w:sz w:val="20"/>
                <w:szCs w:val="20"/>
                <w:highlight w:val="none"/>
              </w:rPr>
            </w:pPr>
          </w:p>
        </w:tc>
        <w:tc>
          <w:tcPr>
            <w:tcW w:w="680" w:type="dxa"/>
            <w:tcBorders>
              <w:top w:val="nil"/>
              <w:left w:val="nil"/>
              <w:bottom w:val="nil"/>
              <w:right w:val="nil"/>
            </w:tcBorders>
            <w:shd w:val="clear" w:color="auto" w:fill="auto"/>
            <w:vAlign w:val="center"/>
          </w:tcPr>
          <w:p w14:paraId="3B0C9DAD">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vAlign w:val="center"/>
          </w:tcPr>
          <w:p w14:paraId="13C773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7545" w:type="dxa"/>
            <w:tcBorders>
              <w:top w:val="nil"/>
              <w:left w:val="nil"/>
              <w:bottom w:val="nil"/>
              <w:right w:val="nil"/>
            </w:tcBorders>
            <w:shd w:val="clear" w:color="auto" w:fill="auto"/>
            <w:vAlign w:val="center"/>
          </w:tcPr>
          <w:p w14:paraId="002E40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考核周期为1个月。</w:t>
            </w:r>
          </w:p>
        </w:tc>
        <w:tc>
          <w:tcPr>
            <w:tcW w:w="540" w:type="dxa"/>
            <w:tcBorders>
              <w:top w:val="nil"/>
              <w:left w:val="nil"/>
              <w:bottom w:val="nil"/>
              <w:right w:val="nil"/>
            </w:tcBorders>
            <w:shd w:val="clear" w:color="auto" w:fill="auto"/>
            <w:vAlign w:val="center"/>
          </w:tcPr>
          <w:p w14:paraId="3655F163">
            <w:pPr>
              <w:widowControl/>
              <w:jc w:val="left"/>
              <w:rPr>
                <w:rFonts w:ascii="宋体" w:hAnsi="宋体" w:cs="宋体"/>
                <w:color w:val="auto"/>
                <w:kern w:val="0"/>
                <w:sz w:val="20"/>
                <w:szCs w:val="20"/>
                <w:highlight w:val="none"/>
              </w:rPr>
            </w:pPr>
          </w:p>
        </w:tc>
      </w:tr>
      <w:tr w14:paraId="1431C1F4">
        <w:tblPrEx>
          <w:tblCellMar>
            <w:top w:w="0" w:type="dxa"/>
            <w:left w:w="108" w:type="dxa"/>
            <w:bottom w:w="0" w:type="dxa"/>
            <w:right w:w="108" w:type="dxa"/>
          </w:tblCellMar>
        </w:tblPrEx>
        <w:trPr>
          <w:trHeight w:val="405" w:hRule="atLeast"/>
        </w:trPr>
        <w:tc>
          <w:tcPr>
            <w:tcW w:w="416" w:type="dxa"/>
            <w:tcBorders>
              <w:top w:val="nil"/>
              <w:left w:val="nil"/>
              <w:bottom w:val="nil"/>
              <w:right w:val="nil"/>
            </w:tcBorders>
            <w:shd w:val="clear" w:color="auto" w:fill="auto"/>
            <w:vAlign w:val="center"/>
          </w:tcPr>
          <w:p w14:paraId="4E6AA684">
            <w:pPr>
              <w:widowControl/>
              <w:jc w:val="left"/>
              <w:rPr>
                <w:rFonts w:ascii="宋体" w:hAnsi="宋体" w:cs="宋体"/>
                <w:color w:val="auto"/>
                <w:kern w:val="0"/>
                <w:sz w:val="20"/>
                <w:szCs w:val="20"/>
                <w:highlight w:val="none"/>
              </w:rPr>
            </w:pPr>
          </w:p>
        </w:tc>
        <w:tc>
          <w:tcPr>
            <w:tcW w:w="680" w:type="dxa"/>
            <w:tcBorders>
              <w:top w:val="nil"/>
              <w:left w:val="nil"/>
              <w:bottom w:val="nil"/>
              <w:right w:val="nil"/>
            </w:tcBorders>
            <w:shd w:val="clear" w:color="auto" w:fill="auto"/>
            <w:vAlign w:val="center"/>
          </w:tcPr>
          <w:p w14:paraId="41DFD93E">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tcPr>
          <w:p w14:paraId="4D4DE4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7545" w:type="dxa"/>
            <w:tcBorders>
              <w:top w:val="nil"/>
              <w:left w:val="nil"/>
              <w:bottom w:val="nil"/>
              <w:right w:val="nil"/>
            </w:tcBorders>
            <w:shd w:val="clear" w:color="auto" w:fill="auto"/>
            <w:vAlign w:val="center"/>
          </w:tcPr>
          <w:p w14:paraId="6F4A4DD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每月由厦门国贸城市服务集团股份有限公司进行一次不定期考核。</w:t>
            </w:r>
          </w:p>
        </w:tc>
        <w:tc>
          <w:tcPr>
            <w:tcW w:w="540" w:type="dxa"/>
            <w:tcBorders>
              <w:top w:val="nil"/>
              <w:left w:val="nil"/>
              <w:bottom w:val="nil"/>
              <w:right w:val="nil"/>
            </w:tcBorders>
            <w:shd w:val="clear" w:color="auto" w:fill="auto"/>
            <w:vAlign w:val="center"/>
          </w:tcPr>
          <w:p w14:paraId="7998E565">
            <w:pPr>
              <w:widowControl/>
              <w:jc w:val="left"/>
              <w:rPr>
                <w:rFonts w:ascii="宋体" w:hAnsi="宋体" w:cs="宋体"/>
                <w:color w:val="auto"/>
                <w:kern w:val="0"/>
                <w:sz w:val="20"/>
                <w:szCs w:val="20"/>
                <w:highlight w:val="none"/>
              </w:rPr>
            </w:pPr>
          </w:p>
        </w:tc>
      </w:tr>
      <w:tr w14:paraId="702FBE63">
        <w:tblPrEx>
          <w:tblCellMar>
            <w:top w:w="0" w:type="dxa"/>
            <w:left w:w="108" w:type="dxa"/>
            <w:bottom w:w="0" w:type="dxa"/>
            <w:right w:w="108" w:type="dxa"/>
          </w:tblCellMar>
        </w:tblPrEx>
        <w:trPr>
          <w:trHeight w:val="615" w:hRule="atLeast"/>
        </w:trPr>
        <w:tc>
          <w:tcPr>
            <w:tcW w:w="416" w:type="dxa"/>
            <w:tcBorders>
              <w:top w:val="nil"/>
              <w:left w:val="nil"/>
              <w:bottom w:val="nil"/>
              <w:right w:val="nil"/>
            </w:tcBorders>
            <w:shd w:val="clear" w:color="auto" w:fill="auto"/>
            <w:vAlign w:val="center"/>
          </w:tcPr>
          <w:p w14:paraId="7733061E">
            <w:pPr>
              <w:widowControl/>
              <w:jc w:val="left"/>
              <w:rPr>
                <w:rFonts w:ascii="宋体" w:hAnsi="宋体" w:cs="宋体"/>
                <w:color w:val="auto"/>
                <w:kern w:val="0"/>
                <w:sz w:val="20"/>
                <w:szCs w:val="20"/>
                <w:highlight w:val="none"/>
              </w:rPr>
            </w:pPr>
          </w:p>
        </w:tc>
        <w:tc>
          <w:tcPr>
            <w:tcW w:w="680" w:type="dxa"/>
            <w:tcBorders>
              <w:top w:val="nil"/>
              <w:left w:val="nil"/>
              <w:bottom w:val="nil"/>
              <w:right w:val="nil"/>
            </w:tcBorders>
            <w:shd w:val="clear" w:color="auto" w:fill="auto"/>
            <w:vAlign w:val="center"/>
          </w:tcPr>
          <w:p w14:paraId="47BD9431">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tcPr>
          <w:p w14:paraId="166B55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7545" w:type="dxa"/>
            <w:tcBorders>
              <w:top w:val="nil"/>
              <w:left w:val="nil"/>
              <w:bottom w:val="nil"/>
              <w:right w:val="nil"/>
            </w:tcBorders>
            <w:shd w:val="clear" w:color="auto" w:fill="auto"/>
            <w:vAlign w:val="center"/>
          </w:tcPr>
          <w:p w14:paraId="63F7BA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考核分数若未达100分，餐饮中心须自行整改到位，若未达90分，餐饮中心须按甲方整改通知的要求整改到位；考核分数若低于60分，则不合格，厦门国贸城市服务集团股份有限公司根据合同约定有权终止合同。</w:t>
            </w:r>
          </w:p>
        </w:tc>
        <w:tc>
          <w:tcPr>
            <w:tcW w:w="540" w:type="dxa"/>
            <w:tcBorders>
              <w:top w:val="nil"/>
              <w:left w:val="nil"/>
              <w:bottom w:val="nil"/>
              <w:right w:val="nil"/>
            </w:tcBorders>
            <w:shd w:val="clear" w:color="auto" w:fill="auto"/>
            <w:vAlign w:val="center"/>
          </w:tcPr>
          <w:p w14:paraId="397E45B4">
            <w:pPr>
              <w:widowControl/>
              <w:jc w:val="left"/>
              <w:rPr>
                <w:rFonts w:ascii="宋体" w:hAnsi="宋体" w:cs="宋体"/>
                <w:color w:val="auto"/>
                <w:kern w:val="0"/>
                <w:sz w:val="20"/>
                <w:szCs w:val="20"/>
                <w:highlight w:val="none"/>
              </w:rPr>
            </w:pPr>
          </w:p>
        </w:tc>
      </w:tr>
      <w:tr w14:paraId="6C641282">
        <w:tblPrEx>
          <w:tblCellMar>
            <w:top w:w="0" w:type="dxa"/>
            <w:left w:w="108" w:type="dxa"/>
            <w:bottom w:w="0" w:type="dxa"/>
            <w:right w:w="108" w:type="dxa"/>
          </w:tblCellMar>
        </w:tblPrEx>
        <w:trPr>
          <w:trHeight w:val="390" w:hRule="atLeast"/>
        </w:trPr>
        <w:tc>
          <w:tcPr>
            <w:tcW w:w="416" w:type="dxa"/>
            <w:tcBorders>
              <w:top w:val="nil"/>
              <w:left w:val="nil"/>
              <w:bottom w:val="nil"/>
              <w:right w:val="nil"/>
            </w:tcBorders>
            <w:shd w:val="clear" w:color="auto" w:fill="auto"/>
            <w:vAlign w:val="center"/>
          </w:tcPr>
          <w:p w14:paraId="6B959749">
            <w:pPr>
              <w:widowControl/>
              <w:jc w:val="left"/>
              <w:rPr>
                <w:rFonts w:ascii="宋体" w:hAnsi="宋体" w:cs="宋体"/>
                <w:color w:val="auto"/>
                <w:kern w:val="0"/>
                <w:sz w:val="20"/>
                <w:szCs w:val="20"/>
                <w:highlight w:val="none"/>
              </w:rPr>
            </w:pPr>
          </w:p>
        </w:tc>
        <w:tc>
          <w:tcPr>
            <w:tcW w:w="680" w:type="dxa"/>
            <w:tcBorders>
              <w:top w:val="nil"/>
              <w:left w:val="nil"/>
              <w:bottom w:val="nil"/>
              <w:right w:val="nil"/>
            </w:tcBorders>
            <w:shd w:val="clear" w:color="auto" w:fill="auto"/>
            <w:vAlign w:val="center"/>
          </w:tcPr>
          <w:p w14:paraId="3CC4E209">
            <w:pPr>
              <w:widowControl/>
              <w:jc w:val="left"/>
              <w:rPr>
                <w:rFonts w:ascii="宋体" w:hAnsi="宋体" w:cs="宋体"/>
                <w:color w:val="auto"/>
                <w:kern w:val="0"/>
                <w:sz w:val="20"/>
                <w:szCs w:val="20"/>
                <w:highlight w:val="none"/>
              </w:rPr>
            </w:pPr>
          </w:p>
        </w:tc>
        <w:tc>
          <w:tcPr>
            <w:tcW w:w="642" w:type="dxa"/>
            <w:tcBorders>
              <w:top w:val="nil"/>
              <w:left w:val="nil"/>
              <w:bottom w:val="nil"/>
              <w:right w:val="nil"/>
            </w:tcBorders>
            <w:shd w:val="clear" w:color="auto" w:fill="auto"/>
          </w:tcPr>
          <w:p w14:paraId="41A054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7545" w:type="dxa"/>
            <w:tcBorders>
              <w:top w:val="nil"/>
              <w:left w:val="nil"/>
              <w:bottom w:val="nil"/>
              <w:right w:val="nil"/>
            </w:tcBorders>
            <w:shd w:val="clear" w:color="auto" w:fill="auto"/>
            <w:vAlign w:val="center"/>
          </w:tcPr>
          <w:p w14:paraId="569F29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若在考核过程中发现达三次被扣分但仍未整改到位的问题，将视问题轻重程度扣取以中标人履约保证金为基数的2%-5%的违约金。</w:t>
            </w:r>
          </w:p>
        </w:tc>
        <w:tc>
          <w:tcPr>
            <w:tcW w:w="540" w:type="dxa"/>
            <w:tcBorders>
              <w:top w:val="nil"/>
              <w:left w:val="nil"/>
              <w:bottom w:val="nil"/>
              <w:right w:val="nil"/>
            </w:tcBorders>
            <w:shd w:val="clear" w:color="auto" w:fill="auto"/>
            <w:vAlign w:val="center"/>
          </w:tcPr>
          <w:p w14:paraId="00966350">
            <w:pPr>
              <w:widowControl/>
              <w:jc w:val="left"/>
              <w:rPr>
                <w:rFonts w:ascii="宋体" w:hAnsi="宋体" w:cs="宋体"/>
                <w:color w:val="auto"/>
                <w:kern w:val="0"/>
                <w:sz w:val="20"/>
                <w:szCs w:val="20"/>
                <w:highlight w:val="none"/>
              </w:rPr>
            </w:pPr>
          </w:p>
        </w:tc>
      </w:tr>
      <w:tr w14:paraId="6B49C1A7">
        <w:tblPrEx>
          <w:tblCellMar>
            <w:top w:w="0" w:type="dxa"/>
            <w:left w:w="108" w:type="dxa"/>
            <w:bottom w:w="0" w:type="dxa"/>
            <w:right w:w="108" w:type="dxa"/>
          </w:tblCellMar>
        </w:tblPrEx>
        <w:trPr>
          <w:trHeight w:val="312" w:hRule="atLeast"/>
        </w:trPr>
        <w:tc>
          <w:tcPr>
            <w:tcW w:w="9823" w:type="dxa"/>
            <w:gridSpan w:val="5"/>
            <w:vMerge w:val="restart"/>
            <w:tcBorders>
              <w:top w:val="nil"/>
              <w:left w:val="nil"/>
              <w:bottom w:val="nil"/>
              <w:right w:val="nil"/>
            </w:tcBorders>
            <w:shd w:val="clear" w:color="auto" w:fill="auto"/>
            <w:vAlign w:val="center"/>
          </w:tcPr>
          <w:p w14:paraId="6D50AF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考核人签字：</w:t>
            </w:r>
          </w:p>
        </w:tc>
      </w:tr>
      <w:tr w14:paraId="0DEEA37A">
        <w:tblPrEx>
          <w:tblCellMar>
            <w:top w:w="0" w:type="dxa"/>
            <w:left w:w="108" w:type="dxa"/>
            <w:bottom w:w="0" w:type="dxa"/>
            <w:right w:w="108" w:type="dxa"/>
          </w:tblCellMar>
        </w:tblPrEx>
        <w:trPr>
          <w:trHeight w:val="312" w:hRule="atLeast"/>
        </w:trPr>
        <w:tc>
          <w:tcPr>
            <w:tcW w:w="9823" w:type="dxa"/>
            <w:gridSpan w:val="5"/>
            <w:vMerge w:val="continue"/>
            <w:tcBorders>
              <w:top w:val="nil"/>
              <w:left w:val="nil"/>
              <w:bottom w:val="nil"/>
              <w:right w:val="nil"/>
            </w:tcBorders>
            <w:vAlign w:val="center"/>
          </w:tcPr>
          <w:p w14:paraId="4E2F0D8E">
            <w:pPr>
              <w:widowControl/>
              <w:jc w:val="left"/>
              <w:rPr>
                <w:rFonts w:ascii="宋体" w:hAnsi="宋体" w:cs="宋体"/>
                <w:color w:val="auto"/>
                <w:kern w:val="0"/>
                <w:sz w:val="20"/>
                <w:szCs w:val="20"/>
                <w:highlight w:val="none"/>
              </w:rPr>
            </w:pPr>
          </w:p>
        </w:tc>
      </w:tr>
      <w:tr w14:paraId="2D386E69">
        <w:tblPrEx>
          <w:tblCellMar>
            <w:top w:w="0" w:type="dxa"/>
            <w:left w:w="108" w:type="dxa"/>
            <w:bottom w:w="0" w:type="dxa"/>
            <w:right w:w="108" w:type="dxa"/>
          </w:tblCellMar>
        </w:tblPrEx>
        <w:trPr>
          <w:trHeight w:val="319" w:hRule="atLeast"/>
        </w:trPr>
        <w:tc>
          <w:tcPr>
            <w:tcW w:w="9283" w:type="dxa"/>
            <w:gridSpan w:val="4"/>
            <w:tcBorders>
              <w:top w:val="nil"/>
              <w:left w:val="nil"/>
              <w:bottom w:val="nil"/>
              <w:right w:val="nil"/>
            </w:tcBorders>
            <w:shd w:val="clear" w:color="auto" w:fill="auto"/>
            <w:vAlign w:val="center"/>
          </w:tcPr>
          <w:p w14:paraId="77BE76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日期：</w:t>
            </w:r>
          </w:p>
        </w:tc>
        <w:tc>
          <w:tcPr>
            <w:tcW w:w="540" w:type="dxa"/>
            <w:tcBorders>
              <w:top w:val="nil"/>
              <w:left w:val="nil"/>
              <w:bottom w:val="nil"/>
              <w:right w:val="nil"/>
            </w:tcBorders>
            <w:shd w:val="clear" w:color="auto" w:fill="auto"/>
            <w:vAlign w:val="center"/>
          </w:tcPr>
          <w:p w14:paraId="3CD120FB">
            <w:pPr>
              <w:widowControl/>
              <w:jc w:val="left"/>
              <w:rPr>
                <w:rFonts w:ascii="宋体" w:hAnsi="宋体" w:cs="宋体"/>
                <w:color w:val="auto"/>
                <w:kern w:val="0"/>
                <w:sz w:val="20"/>
                <w:szCs w:val="20"/>
                <w:highlight w:val="none"/>
              </w:rPr>
            </w:pPr>
          </w:p>
        </w:tc>
      </w:tr>
    </w:tbl>
    <w:p w14:paraId="5FC821DB">
      <w:pPr>
        <w:spacing w:line="500" w:lineRule="exact"/>
        <w:rPr>
          <w:rFonts w:ascii="仿宋" w:hAnsi="仿宋" w:eastAsia="仿宋"/>
          <w:b/>
          <w:bCs/>
          <w:color w:val="auto"/>
          <w:sz w:val="32"/>
          <w:szCs w:val="32"/>
          <w:highlight w:val="none"/>
        </w:rPr>
      </w:pPr>
    </w:p>
    <w:p w14:paraId="6B306480">
      <w:pPr>
        <w:spacing w:line="500" w:lineRule="exact"/>
        <w:rPr>
          <w:rFonts w:ascii="仿宋" w:hAnsi="仿宋" w:eastAsia="仿宋"/>
          <w:b/>
          <w:bCs/>
          <w:color w:val="auto"/>
          <w:sz w:val="32"/>
          <w:szCs w:val="32"/>
          <w:highlight w:val="none"/>
        </w:rPr>
      </w:pPr>
    </w:p>
    <w:p w14:paraId="5A38B5A6">
      <w:pPr>
        <w:spacing w:line="500" w:lineRule="exact"/>
        <w:rPr>
          <w:rFonts w:ascii="仿宋" w:hAnsi="仿宋" w:eastAsia="仿宋"/>
          <w:b/>
          <w:bCs/>
          <w:color w:val="auto"/>
          <w:sz w:val="32"/>
          <w:szCs w:val="32"/>
          <w:highlight w:val="none"/>
        </w:rPr>
      </w:pPr>
    </w:p>
    <w:p w14:paraId="14599D81">
      <w:pPr>
        <w:spacing w:line="500" w:lineRule="exact"/>
        <w:rPr>
          <w:rFonts w:ascii="仿宋" w:hAnsi="仿宋" w:eastAsia="仿宋"/>
          <w:b/>
          <w:bCs/>
          <w:color w:val="auto"/>
          <w:sz w:val="32"/>
          <w:szCs w:val="32"/>
          <w:highlight w:val="none"/>
        </w:rPr>
      </w:pPr>
    </w:p>
    <w:p w14:paraId="175B2A50">
      <w:pPr>
        <w:spacing w:line="500" w:lineRule="exact"/>
        <w:rPr>
          <w:rFonts w:ascii="仿宋" w:hAnsi="仿宋" w:eastAsia="仿宋"/>
          <w:b/>
          <w:bCs/>
          <w:color w:val="auto"/>
          <w:sz w:val="32"/>
          <w:szCs w:val="32"/>
          <w:highlight w:val="none"/>
        </w:rPr>
      </w:pPr>
    </w:p>
    <w:p w14:paraId="2CFB48AF">
      <w:pPr>
        <w:spacing w:line="500" w:lineRule="exact"/>
        <w:rPr>
          <w:rFonts w:ascii="仿宋" w:hAnsi="仿宋" w:eastAsia="仿宋"/>
          <w:b/>
          <w:bCs/>
          <w:color w:val="auto"/>
          <w:sz w:val="32"/>
          <w:szCs w:val="32"/>
          <w:highlight w:val="none"/>
        </w:rPr>
      </w:pPr>
    </w:p>
    <w:p w14:paraId="728CB327">
      <w:pPr>
        <w:spacing w:line="500" w:lineRule="exact"/>
        <w:rPr>
          <w:rFonts w:ascii="仿宋" w:hAnsi="仿宋" w:eastAsia="仿宋"/>
          <w:b/>
          <w:bCs/>
          <w:color w:val="auto"/>
          <w:sz w:val="32"/>
          <w:szCs w:val="32"/>
          <w:highlight w:val="none"/>
        </w:rPr>
      </w:pPr>
    </w:p>
    <w:p w14:paraId="31349277">
      <w:pPr>
        <w:spacing w:line="500" w:lineRule="exact"/>
        <w:rPr>
          <w:rFonts w:ascii="仿宋" w:hAnsi="仿宋" w:eastAsia="仿宋"/>
          <w:b/>
          <w:bCs/>
          <w:color w:val="auto"/>
          <w:sz w:val="32"/>
          <w:szCs w:val="32"/>
          <w:highlight w:val="none"/>
        </w:rPr>
      </w:pPr>
    </w:p>
    <w:p w14:paraId="21751686">
      <w:pPr>
        <w:spacing w:line="500" w:lineRule="exact"/>
        <w:rPr>
          <w:rFonts w:ascii="仿宋" w:hAnsi="仿宋" w:eastAsia="仿宋"/>
          <w:b/>
          <w:bCs/>
          <w:color w:val="auto"/>
          <w:sz w:val="32"/>
          <w:szCs w:val="32"/>
          <w:highlight w:val="none"/>
        </w:rPr>
      </w:pPr>
    </w:p>
    <w:p w14:paraId="2E7FCFFA">
      <w:pPr>
        <w:spacing w:line="500" w:lineRule="exact"/>
        <w:rPr>
          <w:rFonts w:ascii="仿宋" w:hAnsi="仿宋" w:eastAsia="仿宋"/>
          <w:b/>
          <w:bCs/>
          <w:color w:val="auto"/>
          <w:sz w:val="32"/>
          <w:szCs w:val="32"/>
          <w:highlight w:val="none"/>
        </w:rPr>
      </w:pPr>
    </w:p>
    <w:p w14:paraId="08261996">
      <w:pPr>
        <w:spacing w:line="500" w:lineRule="exact"/>
        <w:rPr>
          <w:rFonts w:ascii="仿宋" w:hAnsi="仿宋" w:eastAsia="仿宋"/>
          <w:b/>
          <w:bCs/>
          <w:color w:val="auto"/>
          <w:sz w:val="32"/>
          <w:szCs w:val="32"/>
          <w:highlight w:val="none"/>
        </w:rPr>
      </w:pPr>
    </w:p>
    <w:p w14:paraId="55D2ADDE">
      <w:pPr>
        <w:spacing w:line="500" w:lineRule="exact"/>
        <w:rPr>
          <w:rFonts w:ascii="仿宋" w:hAnsi="仿宋" w:eastAsia="仿宋"/>
          <w:b/>
          <w:bCs/>
          <w:color w:val="auto"/>
          <w:sz w:val="32"/>
          <w:szCs w:val="32"/>
          <w:highlight w:val="none"/>
        </w:rPr>
      </w:pPr>
    </w:p>
    <w:p w14:paraId="341B527E">
      <w:pPr>
        <w:spacing w:line="500" w:lineRule="exact"/>
        <w:rPr>
          <w:rFonts w:ascii="仿宋" w:hAnsi="仿宋" w:eastAsia="仿宋"/>
          <w:b/>
          <w:bCs/>
          <w:color w:val="auto"/>
          <w:sz w:val="32"/>
          <w:szCs w:val="32"/>
          <w:highlight w:val="none"/>
        </w:rPr>
      </w:pPr>
    </w:p>
    <w:p w14:paraId="0CC8981D">
      <w:pPr>
        <w:spacing w:line="500" w:lineRule="exact"/>
        <w:rPr>
          <w:rFonts w:ascii="仿宋" w:hAnsi="仿宋" w:eastAsia="仿宋"/>
          <w:b/>
          <w:bCs/>
          <w:color w:val="auto"/>
          <w:sz w:val="32"/>
          <w:szCs w:val="32"/>
          <w:highlight w:val="none"/>
        </w:rPr>
      </w:pPr>
    </w:p>
    <w:p w14:paraId="5425017D">
      <w:pPr>
        <w:spacing w:line="500" w:lineRule="exact"/>
        <w:rPr>
          <w:rFonts w:ascii="仿宋" w:hAnsi="仿宋" w:eastAsia="仿宋"/>
          <w:b/>
          <w:bCs/>
          <w:color w:val="auto"/>
          <w:sz w:val="32"/>
          <w:szCs w:val="32"/>
          <w:highlight w:val="none"/>
        </w:rPr>
      </w:pPr>
    </w:p>
    <w:p w14:paraId="42F2CB4F">
      <w:pPr>
        <w:spacing w:line="500" w:lineRule="exact"/>
        <w:rPr>
          <w:rFonts w:ascii="仿宋" w:hAnsi="仿宋" w:eastAsia="仿宋"/>
          <w:b/>
          <w:bCs/>
          <w:color w:val="auto"/>
          <w:sz w:val="32"/>
          <w:szCs w:val="32"/>
          <w:highlight w:val="none"/>
        </w:rPr>
      </w:pPr>
    </w:p>
    <w:p w14:paraId="0A0625E1">
      <w:pPr>
        <w:spacing w:line="500" w:lineRule="exact"/>
        <w:rPr>
          <w:rFonts w:ascii="仿宋" w:hAnsi="仿宋" w:eastAsia="仿宋"/>
          <w:b/>
          <w:bCs/>
          <w:color w:val="auto"/>
          <w:sz w:val="32"/>
          <w:szCs w:val="32"/>
          <w:highlight w:val="none"/>
        </w:rPr>
      </w:pPr>
    </w:p>
    <w:p w14:paraId="27603CF1">
      <w:pPr>
        <w:spacing w:line="500" w:lineRule="exact"/>
        <w:rPr>
          <w:rFonts w:ascii="仿宋" w:hAnsi="仿宋" w:eastAsia="仿宋"/>
          <w:b/>
          <w:bCs/>
          <w:color w:val="auto"/>
          <w:sz w:val="32"/>
          <w:szCs w:val="32"/>
          <w:highlight w:val="none"/>
        </w:rPr>
      </w:pPr>
    </w:p>
    <w:p w14:paraId="5960BC23">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2E414242">
      <w:pPr>
        <w:pStyle w:val="2"/>
        <w:keepNext w:val="0"/>
        <w:keepLines w:val="0"/>
        <w:spacing w:before="0" w:after="0" w:line="500" w:lineRule="exact"/>
        <w:jc w:val="center"/>
        <w:rPr>
          <w:rFonts w:ascii="仿宋" w:hAnsi="仿宋" w:eastAsia="仿宋"/>
          <w:color w:val="auto"/>
          <w:highlight w:val="none"/>
        </w:rPr>
      </w:pPr>
      <w:bookmarkStart w:id="209" w:name="_Toc18287"/>
      <w:r>
        <w:rPr>
          <w:rFonts w:hint="eastAsia" w:ascii="仿宋" w:hAnsi="仿宋" w:eastAsia="仿宋"/>
          <w:color w:val="auto"/>
          <w:highlight w:val="none"/>
        </w:rPr>
        <w:t>第四章  投标文件格式</w:t>
      </w:r>
      <w:bookmarkEnd w:id="179"/>
      <w:bookmarkEnd w:id="209"/>
    </w:p>
    <w:p w14:paraId="350526D7">
      <w:pPr>
        <w:rPr>
          <w:color w:val="auto"/>
          <w:highlight w:val="none"/>
        </w:rPr>
      </w:pPr>
    </w:p>
    <w:p w14:paraId="4279E4E2">
      <w:pPr>
        <w:spacing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（本章格式文件可供参考，投标人可根据项目实际需求进行编制）</w:t>
      </w:r>
    </w:p>
    <w:p w14:paraId="65E00481">
      <w:pPr>
        <w:pStyle w:val="26"/>
        <w:spacing w:line="360" w:lineRule="auto"/>
        <w:rPr>
          <w:rFonts w:ascii="仿宋" w:hAnsi="仿宋" w:eastAsia="仿宋"/>
          <w:color w:val="auto"/>
          <w:highlight w:val="none"/>
        </w:rPr>
      </w:pPr>
    </w:p>
    <w:p w14:paraId="655F5F3B">
      <w:pPr>
        <w:pStyle w:val="26"/>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6845B796">
      <w:pPr>
        <w:spacing w:line="360" w:lineRule="auto"/>
        <w:jc w:val="center"/>
        <w:rPr>
          <w:rFonts w:ascii="仿宋" w:hAnsi="仿宋" w:eastAsia="仿宋"/>
          <w:b/>
          <w:color w:val="auto"/>
          <w:sz w:val="72"/>
          <w:highlight w:val="none"/>
        </w:rPr>
      </w:pPr>
    </w:p>
    <w:p w14:paraId="1D609972">
      <w:pPr>
        <w:spacing w:line="360" w:lineRule="auto"/>
        <w:jc w:val="center"/>
        <w:rPr>
          <w:rFonts w:ascii="仿宋" w:hAnsi="仿宋" w:eastAsia="仿宋"/>
          <w:b/>
          <w:color w:val="auto"/>
          <w:sz w:val="72"/>
          <w:highlight w:val="none"/>
        </w:rPr>
      </w:pPr>
      <w:r>
        <w:rPr>
          <w:rFonts w:hint="eastAsia" w:ascii="仿宋" w:hAnsi="仿宋" w:eastAsia="仿宋"/>
          <w:b/>
          <w:color w:val="auto"/>
          <w:sz w:val="72"/>
          <w:highlight w:val="none"/>
        </w:rPr>
        <w:t>投  标  文  件</w:t>
      </w:r>
    </w:p>
    <w:p w14:paraId="43CCC022">
      <w:pPr>
        <w:spacing w:line="360" w:lineRule="auto"/>
        <w:rPr>
          <w:rFonts w:ascii="仿宋" w:hAnsi="仿宋" w:eastAsia="仿宋"/>
          <w:b/>
          <w:color w:val="auto"/>
          <w:sz w:val="36"/>
          <w:highlight w:val="none"/>
        </w:rPr>
      </w:pPr>
    </w:p>
    <w:p w14:paraId="717F3AE9">
      <w:pPr>
        <w:spacing w:line="360" w:lineRule="auto"/>
        <w:ind w:firstLine="1084" w:firstLineChars="300"/>
        <w:rPr>
          <w:rFonts w:ascii="仿宋" w:hAnsi="仿宋" w:eastAsia="仿宋"/>
          <w:b/>
          <w:color w:val="auto"/>
          <w:sz w:val="36"/>
          <w:highlight w:val="none"/>
        </w:rPr>
      </w:pPr>
      <w:r>
        <w:rPr>
          <w:rFonts w:hint="eastAsia" w:ascii="仿宋" w:hAnsi="仿宋" w:eastAsia="仿宋"/>
          <w:b/>
          <w:color w:val="auto"/>
          <w:sz w:val="36"/>
          <w:highlight w:val="none"/>
        </w:rPr>
        <w:t>项 目 名 称：</w:t>
      </w:r>
    </w:p>
    <w:p w14:paraId="38054C8E">
      <w:pPr>
        <w:spacing w:line="360" w:lineRule="auto"/>
        <w:ind w:firstLine="1084" w:firstLineChars="300"/>
        <w:rPr>
          <w:rFonts w:ascii="仿宋" w:hAnsi="仿宋" w:eastAsia="仿宋"/>
          <w:b/>
          <w:color w:val="auto"/>
          <w:sz w:val="36"/>
          <w:highlight w:val="none"/>
          <w:u w:val="single"/>
        </w:rPr>
      </w:pPr>
      <w:r>
        <w:rPr>
          <w:rFonts w:hint="eastAsia" w:ascii="仿宋" w:hAnsi="仿宋" w:eastAsia="仿宋"/>
          <w:b/>
          <w:color w:val="auto"/>
          <w:sz w:val="36"/>
          <w:highlight w:val="none"/>
        </w:rPr>
        <w:t>招 标 编 号：</w:t>
      </w:r>
    </w:p>
    <w:p w14:paraId="7D72EB3C">
      <w:pPr>
        <w:spacing w:line="360" w:lineRule="auto"/>
        <w:rPr>
          <w:rFonts w:ascii="仿宋" w:hAnsi="仿宋" w:eastAsia="仿宋"/>
          <w:b/>
          <w:color w:val="auto"/>
          <w:sz w:val="36"/>
          <w:highlight w:val="none"/>
        </w:rPr>
      </w:pPr>
    </w:p>
    <w:p w14:paraId="062DAD17">
      <w:pPr>
        <w:spacing w:line="360" w:lineRule="auto"/>
        <w:rPr>
          <w:rFonts w:ascii="仿宋" w:hAnsi="仿宋" w:eastAsia="仿宋"/>
          <w:b/>
          <w:color w:val="auto"/>
          <w:sz w:val="36"/>
          <w:highlight w:val="none"/>
        </w:rPr>
      </w:pPr>
    </w:p>
    <w:p w14:paraId="6D8A9CDB">
      <w:pPr>
        <w:spacing w:line="360" w:lineRule="auto"/>
        <w:rPr>
          <w:rFonts w:ascii="仿宋" w:hAnsi="仿宋" w:eastAsia="仿宋"/>
          <w:b/>
          <w:color w:val="auto"/>
          <w:sz w:val="36"/>
          <w:highlight w:val="none"/>
          <w:u w:val="single"/>
        </w:rPr>
      </w:pPr>
      <w:r>
        <w:rPr>
          <w:rFonts w:hint="eastAsia" w:ascii="仿宋" w:hAnsi="仿宋" w:eastAsia="仿宋"/>
          <w:b/>
          <w:color w:val="auto"/>
          <w:sz w:val="36"/>
          <w:highlight w:val="none"/>
        </w:rPr>
        <w:t xml:space="preserve">       投标人名称 ：</w:t>
      </w:r>
    </w:p>
    <w:p w14:paraId="1797218E">
      <w:pPr>
        <w:spacing w:line="360" w:lineRule="auto"/>
        <w:rPr>
          <w:rFonts w:ascii="仿宋" w:hAnsi="仿宋" w:eastAsia="仿宋"/>
          <w:b/>
          <w:color w:val="auto"/>
          <w:sz w:val="36"/>
          <w:highlight w:val="none"/>
        </w:rPr>
      </w:pPr>
      <w:r>
        <w:rPr>
          <w:rFonts w:hint="eastAsia" w:ascii="仿宋" w:hAnsi="仿宋" w:eastAsia="仿宋"/>
          <w:b/>
          <w:color w:val="auto"/>
          <w:sz w:val="36"/>
          <w:highlight w:val="none"/>
        </w:rPr>
        <w:t xml:space="preserve">       日      期 ：</w:t>
      </w:r>
    </w:p>
    <w:p w14:paraId="7F116A53">
      <w:pPr>
        <w:pStyle w:val="29"/>
        <w:spacing w:line="360" w:lineRule="auto"/>
        <w:jc w:val="left"/>
        <w:rPr>
          <w:rFonts w:ascii="仿宋" w:hAnsi="仿宋" w:eastAsia="仿宋"/>
          <w:b/>
          <w:color w:val="auto"/>
          <w:sz w:val="24"/>
          <w:highlight w:val="none"/>
        </w:rPr>
      </w:pPr>
    </w:p>
    <w:p w14:paraId="00ABD6DE">
      <w:pPr>
        <w:pStyle w:val="29"/>
        <w:spacing w:line="360" w:lineRule="auto"/>
        <w:jc w:val="left"/>
        <w:rPr>
          <w:rFonts w:ascii="仿宋" w:hAnsi="仿宋" w:eastAsia="仿宋"/>
          <w:b/>
          <w:color w:val="auto"/>
          <w:sz w:val="24"/>
          <w:highlight w:val="none"/>
        </w:rPr>
      </w:pPr>
    </w:p>
    <w:p w14:paraId="4E181FD0">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5A55FB03">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473084A3">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128B5317">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1B6BFC3F">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3CDD32E0">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37210F5E">
      <w:pPr>
        <w:pStyle w:val="6"/>
        <w:snapToGrid w:val="0"/>
        <w:spacing w:line="360" w:lineRule="auto"/>
        <w:ind w:left="0"/>
        <w:jc w:val="both"/>
        <w:rPr>
          <w:rFonts w:ascii="仿宋" w:hAnsi="仿宋" w:eastAsia="仿宋"/>
          <w:b/>
          <w:bCs/>
          <w:color w:val="auto"/>
          <w:sz w:val="32"/>
          <w:highlight w:val="none"/>
          <w:lang w:eastAsia="zh-CN"/>
        </w:rPr>
      </w:pPr>
    </w:p>
    <w:p w14:paraId="7B0550E9">
      <w:pPr>
        <w:pStyle w:val="6"/>
        <w:snapToGrid w:val="0"/>
        <w:spacing w:line="500" w:lineRule="exact"/>
        <w:ind w:left="0" w:firstLine="3855" w:firstLineChars="1200"/>
        <w:jc w:val="both"/>
        <w:rPr>
          <w:rFonts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目    录</w:t>
      </w:r>
    </w:p>
    <w:p w14:paraId="5C351EAF">
      <w:pPr>
        <w:spacing w:line="500" w:lineRule="exact"/>
        <w:rPr>
          <w:rFonts w:ascii="仿宋" w:hAnsi="仿宋" w:eastAsia="仿宋"/>
          <w:color w:val="auto"/>
          <w:sz w:val="32"/>
          <w:szCs w:val="32"/>
          <w:highlight w:val="none"/>
        </w:rPr>
      </w:pPr>
    </w:p>
    <w:p w14:paraId="0442DB75">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1.投标书</w:t>
      </w:r>
    </w:p>
    <w:p w14:paraId="16DB61EE">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43E6430F">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服务偏离表</w:t>
      </w:r>
    </w:p>
    <w:p w14:paraId="39830C15">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3799D867">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75037FC1">
      <w:pPr>
        <w:pStyle w:val="8"/>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投标人在投标截止时间前仍在服务期限内的餐饮服务及相关证明材料（如合同等）</w:t>
      </w:r>
    </w:p>
    <w:p w14:paraId="4ED4FBCA">
      <w:pPr>
        <w:pStyle w:val="8"/>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2021年1月1日以来在福建合作写字楼食堂项目（只限承包制）或对外经营的餐饮门店及相关证明材料（如合同等）</w:t>
      </w:r>
    </w:p>
    <w:p w14:paraId="66941010">
      <w:pPr>
        <w:pStyle w:val="8"/>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食材供应方式</w:t>
      </w:r>
    </w:p>
    <w:p w14:paraId="613E5D1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食品卫生安全、供应商管理</w:t>
      </w:r>
    </w:p>
    <w:p w14:paraId="119811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经营管理方案</w:t>
      </w:r>
    </w:p>
    <w:p w14:paraId="6AA46D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突发事故的处理预案</w:t>
      </w:r>
    </w:p>
    <w:p w14:paraId="3FF6B93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承诺书</w:t>
      </w:r>
    </w:p>
    <w:p w14:paraId="7A79267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人员配备情况</w:t>
      </w:r>
    </w:p>
    <w:p w14:paraId="6B0EE24B">
      <w:pPr>
        <w:pStyle w:val="8"/>
        <w:rPr>
          <w:rFonts w:eastAsia="仿宋"/>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14.</w:t>
      </w:r>
      <w:r>
        <w:rPr>
          <w:rFonts w:hint="eastAsia" w:ascii="仿宋" w:hAnsi="仿宋" w:eastAsia="仿宋"/>
          <w:color w:val="auto"/>
          <w:sz w:val="32"/>
          <w:szCs w:val="32"/>
          <w:highlight w:val="none"/>
        </w:rPr>
        <w:t>拟提供菜单</w:t>
      </w:r>
    </w:p>
    <w:p w14:paraId="6C112F5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投标人认为必要的其他资料</w:t>
      </w:r>
    </w:p>
    <w:p w14:paraId="7AA4B4A8">
      <w:pPr>
        <w:pStyle w:val="8"/>
        <w:rPr>
          <w:rFonts w:eastAsia="仿宋"/>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投标保证金</w:t>
      </w:r>
    </w:p>
    <w:p w14:paraId="6122675D">
      <w:pPr>
        <w:pStyle w:val="18"/>
        <w:rPr>
          <w:rFonts w:hint="eastAsia" w:ascii="仿宋" w:hAnsi="仿宋" w:eastAsia="仿宋"/>
          <w:color w:val="auto"/>
          <w:sz w:val="32"/>
          <w:szCs w:val="32"/>
          <w:highlight w:val="none"/>
        </w:rPr>
      </w:pPr>
    </w:p>
    <w:p w14:paraId="5B1BBF88">
      <w:pPr>
        <w:pStyle w:val="18"/>
        <w:rPr>
          <w:rFonts w:hint="eastAsia" w:ascii="仿宋" w:hAnsi="仿宋" w:eastAsia="仿宋"/>
          <w:color w:val="auto"/>
          <w:sz w:val="32"/>
          <w:szCs w:val="32"/>
          <w:highlight w:val="none"/>
        </w:rPr>
      </w:pPr>
    </w:p>
    <w:p w14:paraId="2D906D73">
      <w:pPr>
        <w:spacing w:line="440" w:lineRule="exact"/>
        <w:rPr>
          <w:rFonts w:ascii="仿宋" w:hAnsi="仿宋" w:eastAsia="仿宋"/>
          <w:b/>
          <w:color w:val="auto"/>
          <w:sz w:val="32"/>
          <w:szCs w:val="32"/>
          <w:highlight w:val="none"/>
        </w:rPr>
      </w:pPr>
    </w:p>
    <w:p w14:paraId="308487F9">
      <w:pPr>
        <w:spacing w:line="440" w:lineRule="exact"/>
        <w:rPr>
          <w:rFonts w:ascii="仿宋" w:hAnsi="仿宋" w:eastAsia="仿宋"/>
          <w:b/>
          <w:color w:val="auto"/>
          <w:sz w:val="32"/>
          <w:szCs w:val="32"/>
          <w:highlight w:val="none"/>
        </w:rPr>
      </w:pPr>
    </w:p>
    <w:p w14:paraId="4B9C9B20">
      <w:pPr>
        <w:spacing w:line="440" w:lineRule="exact"/>
        <w:rPr>
          <w:rFonts w:ascii="仿宋" w:hAnsi="仿宋" w:eastAsia="仿宋"/>
          <w:b/>
          <w:color w:val="auto"/>
          <w:sz w:val="32"/>
          <w:szCs w:val="32"/>
          <w:highlight w:val="none"/>
        </w:rPr>
      </w:pPr>
      <w:r>
        <w:rPr>
          <w:rFonts w:ascii="仿宋" w:hAnsi="仿宋" w:eastAsia="仿宋"/>
          <w:b/>
          <w:color w:val="auto"/>
          <w:sz w:val="32"/>
          <w:szCs w:val="32"/>
          <w:highlight w:val="none"/>
        </w:rPr>
        <w:t>说明：投标人应按投标文件的实际情况编制目录</w:t>
      </w:r>
    </w:p>
    <w:p w14:paraId="64926CC7">
      <w:pPr>
        <w:spacing w:line="240" w:lineRule="auto"/>
        <w:rPr>
          <w:rFonts w:ascii="仿宋" w:hAnsi="仿宋" w:eastAsia="仿宋"/>
          <w:b/>
          <w:color w:val="auto"/>
          <w:sz w:val="32"/>
          <w:szCs w:val="32"/>
          <w:highlight w:val="none"/>
        </w:rPr>
      </w:pPr>
      <w:r>
        <w:rPr>
          <w:rFonts w:ascii="仿宋" w:hAnsi="仿宋" w:eastAsia="仿宋"/>
          <w:b/>
          <w:color w:val="auto"/>
          <w:sz w:val="32"/>
          <w:szCs w:val="32"/>
          <w:highlight w:val="none"/>
        </w:rPr>
        <w:br w:type="page"/>
      </w:r>
    </w:p>
    <w:p w14:paraId="3EBD1C94">
      <w:pPr>
        <w:spacing w:line="500" w:lineRule="exact"/>
        <w:rPr>
          <w:rFonts w:ascii="仿宋" w:hAnsi="仿宋" w:eastAsia="仿宋"/>
          <w:b/>
          <w:bCs/>
          <w:color w:val="auto"/>
          <w:sz w:val="32"/>
          <w:szCs w:val="32"/>
          <w:highlight w:val="none"/>
        </w:rPr>
      </w:pPr>
      <w:bookmarkStart w:id="210" w:name="_Toc186344305"/>
      <w:r>
        <w:rPr>
          <w:rFonts w:hint="eastAsia" w:ascii="仿宋" w:hAnsi="仿宋" w:eastAsia="仿宋"/>
          <w:b/>
          <w:bCs/>
          <w:color w:val="auto"/>
          <w:sz w:val="32"/>
          <w:szCs w:val="32"/>
          <w:highlight w:val="none"/>
        </w:rPr>
        <w:t>格式1　　</w:t>
      </w:r>
    </w:p>
    <w:p w14:paraId="5430A863">
      <w:pPr>
        <w:spacing w:line="500" w:lineRule="exact"/>
        <w:rPr>
          <w:rFonts w:ascii="仿宋" w:hAnsi="仿宋" w:eastAsia="仿宋"/>
          <w:b/>
          <w:bCs/>
          <w:color w:val="auto"/>
          <w:sz w:val="32"/>
          <w:szCs w:val="32"/>
          <w:highlight w:val="none"/>
        </w:rPr>
      </w:pPr>
    </w:p>
    <w:p w14:paraId="3A4756E5">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投 标 书</w:t>
      </w:r>
      <w:bookmarkEnd w:id="210"/>
    </w:p>
    <w:p w14:paraId="1E5F85CC">
      <w:pPr>
        <w:spacing w:line="500" w:lineRule="exact"/>
        <w:rPr>
          <w:rFonts w:ascii="仿宋" w:hAnsi="仿宋" w:eastAsia="仿宋"/>
          <w:color w:val="auto"/>
          <w:sz w:val="32"/>
          <w:szCs w:val="32"/>
          <w:highlight w:val="none"/>
        </w:rPr>
      </w:pPr>
    </w:p>
    <w:p w14:paraId="2B8BC254">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rPr>
        <w:t>厦门国贸城市服务集团股份有限公司：</w:t>
      </w:r>
    </w:p>
    <w:p w14:paraId="357BF685">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根据贵方为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项目的投标要求（招标编号: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，本签字代表</w:t>
      </w:r>
      <w:r>
        <w:rPr>
          <w:rFonts w:hint="eastAsia" w:ascii="仿宋" w:hAnsi="仿宋" w:eastAsia="仿宋"/>
          <w:color w:val="auto"/>
          <w:sz w:val="32"/>
          <w:szCs w:val="32"/>
          <w:highlight w:val="none"/>
          <w:u w:val="single"/>
        </w:rPr>
        <w:t>（全名、职务）</w:t>
      </w:r>
      <w:r>
        <w:rPr>
          <w:rFonts w:hint="eastAsia" w:ascii="仿宋" w:hAnsi="仿宋" w:eastAsia="仿宋"/>
          <w:color w:val="auto"/>
          <w:sz w:val="32"/>
          <w:szCs w:val="32"/>
          <w:highlight w:val="none"/>
        </w:rPr>
        <w:t>正式授权并代表投标人</w:t>
      </w:r>
      <w:r>
        <w:rPr>
          <w:rFonts w:hint="eastAsia" w:ascii="仿宋" w:hAnsi="仿宋" w:eastAsia="仿宋"/>
          <w:color w:val="auto"/>
          <w:sz w:val="32"/>
          <w:szCs w:val="32"/>
          <w:highlight w:val="none"/>
          <w:u w:val="single"/>
        </w:rPr>
        <w:t>（投标人名称、地址）</w:t>
      </w:r>
      <w:r>
        <w:rPr>
          <w:rFonts w:hint="eastAsia" w:ascii="仿宋" w:hAnsi="仿宋" w:eastAsia="仿宋"/>
          <w:color w:val="auto"/>
          <w:sz w:val="32"/>
          <w:szCs w:val="32"/>
          <w:highlight w:val="none"/>
        </w:rPr>
        <w:t>提交下述文件正本一份</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副本一份</w:t>
      </w:r>
      <w:r>
        <w:rPr>
          <w:rFonts w:hint="eastAsia" w:ascii="仿宋" w:hAnsi="仿宋" w:eastAsia="仿宋"/>
          <w:color w:val="auto"/>
          <w:sz w:val="32"/>
          <w:szCs w:val="32"/>
          <w:highlight w:val="none"/>
          <w:lang w:eastAsia="zh-CN"/>
        </w:rPr>
        <w:t>、</w:t>
      </w:r>
      <w:r>
        <w:rPr>
          <w:rFonts w:hint="eastAsia" w:ascii="仿宋" w:hAnsi="仿宋" w:eastAsia="仿宋" w:cs="仿宋"/>
          <w:color w:val="auto"/>
          <w:kern w:val="0"/>
          <w:sz w:val="32"/>
          <w:szCs w:val="32"/>
          <w:highlight w:val="none"/>
        </w:rPr>
        <w:t>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w:t>
      </w:r>
      <w:r>
        <w:rPr>
          <w:rFonts w:hint="eastAsia" w:ascii="仿宋" w:hAnsi="仿宋" w:eastAsia="仿宋"/>
          <w:color w:val="auto"/>
          <w:sz w:val="32"/>
          <w:szCs w:val="32"/>
          <w:highlight w:val="none"/>
        </w:rPr>
        <w:t>。</w:t>
      </w:r>
    </w:p>
    <w:p w14:paraId="504221E5">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(1）投标书</w:t>
      </w:r>
    </w:p>
    <w:p w14:paraId="2B653B82">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05D7A870">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服务偏离表</w:t>
      </w:r>
    </w:p>
    <w:p w14:paraId="5AA42D55">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5E4BA61E">
      <w:pPr>
        <w:spacing w:line="5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3F95BAE1">
      <w:pPr>
        <w:pStyle w:val="8"/>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投标人在投标截止时间前仍在服务期限内的餐饮服务及相关证明材料（如合同等）</w:t>
      </w:r>
    </w:p>
    <w:p w14:paraId="439F8F09">
      <w:pPr>
        <w:pStyle w:val="8"/>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2021年1月1日以来在福建合作写字楼食堂项目（只限承包制）或对外经营的餐饮门店及相关证明材料（如合同等）</w:t>
      </w:r>
    </w:p>
    <w:p w14:paraId="6785B5FB">
      <w:pPr>
        <w:pStyle w:val="8"/>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食材供应方式</w:t>
      </w:r>
    </w:p>
    <w:p w14:paraId="67B2E39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食品卫生安全、供应商管理</w:t>
      </w:r>
    </w:p>
    <w:p w14:paraId="081FFA76">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经营管理方案</w:t>
      </w:r>
    </w:p>
    <w:p w14:paraId="682EFFF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突发事故的处理预案</w:t>
      </w:r>
    </w:p>
    <w:p w14:paraId="2A8A9ADF">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承诺书</w:t>
      </w:r>
    </w:p>
    <w:p w14:paraId="33A0219A">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人员配备情况</w:t>
      </w:r>
    </w:p>
    <w:p w14:paraId="4134D9C2">
      <w:pPr>
        <w:pStyle w:val="8"/>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拟提供菜单</w:t>
      </w:r>
    </w:p>
    <w:p w14:paraId="40E7C65A">
      <w:pPr>
        <w:pStyle w:val="8"/>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（15）投标人认为必要的其他资料</w:t>
      </w:r>
    </w:p>
    <w:p w14:paraId="34DCA9A2">
      <w:pPr>
        <w:pStyle w:val="8"/>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（16）投标保证金</w:t>
      </w:r>
    </w:p>
    <w:p w14:paraId="76ACA482">
      <w:pPr>
        <w:pStyle w:val="8"/>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（17）投标人提交的其它资料</w:t>
      </w:r>
    </w:p>
    <w:p w14:paraId="7463D92C">
      <w:pPr>
        <w:pStyle w:val="8"/>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（18）以</w:t>
      </w:r>
      <w:r>
        <w:rPr>
          <w:rFonts w:hint="eastAsia" w:ascii="仿宋" w:hAnsi="仿宋" w:eastAsia="仿宋"/>
          <w:color w:val="auto"/>
          <w:sz w:val="32"/>
          <w:szCs w:val="32"/>
          <w:highlight w:val="none"/>
        </w:rPr>
        <w:t>转账</w:t>
      </w:r>
      <w:r>
        <w:rPr>
          <w:rFonts w:hint="eastAsia" w:ascii="仿宋" w:hAnsi="仿宋" w:eastAsia="仿宋"/>
          <w:color w:val="auto"/>
          <w:sz w:val="32"/>
          <w:szCs w:val="32"/>
          <w:highlight w:val="none"/>
          <w:lang w:val="en-US" w:eastAsia="zh-CN"/>
        </w:rPr>
        <w:t>方式提供的金额为人民币4</w:t>
      </w:r>
      <w:r>
        <w:rPr>
          <w:rFonts w:hint="eastAsia" w:ascii="仿宋" w:hAnsi="仿宋" w:eastAsia="仿宋"/>
          <w:color w:val="auto"/>
          <w:sz w:val="32"/>
          <w:szCs w:val="32"/>
          <w:highlight w:val="none"/>
        </w:rPr>
        <w:t>000</w:t>
      </w:r>
      <w:r>
        <w:rPr>
          <w:rFonts w:hint="eastAsia" w:ascii="仿宋" w:hAnsi="仿宋" w:eastAsia="仿宋"/>
          <w:color w:val="auto"/>
          <w:sz w:val="32"/>
          <w:szCs w:val="32"/>
          <w:highlight w:val="none"/>
          <w:lang w:val="en-US" w:eastAsia="zh-CN"/>
        </w:rPr>
        <w:t>元的投标保证金。</w:t>
      </w:r>
    </w:p>
    <w:p w14:paraId="677425A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据此函，签字代表宣布同意如下：</w:t>
      </w:r>
    </w:p>
    <w:p w14:paraId="71DD9E5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1.投标人已详细审查全部招标文件，包括修改文件（如有的话）和有关附件，将自行承担因对全部招标文件理解不正确或误解而产生的相应后果。</w:t>
      </w:r>
    </w:p>
    <w:p w14:paraId="2B3906B7">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2.投标人保证遵守招标文件的全部规定，投标人所提交的材料中所含的信息均为真实、准确、完整，且不具有任何误导性。</w:t>
      </w:r>
    </w:p>
    <w:p w14:paraId="2161E21C">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3.投标人将按招标文件的规定履行合同责任和义务。</w:t>
      </w:r>
    </w:p>
    <w:p w14:paraId="77F216E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4.本投标文件自开标日起投标有效期为：在招标文件投标人须知前附表所规定的期限内保持有效。</w:t>
      </w:r>
    </w:p>
    <w:p w14:paraId="3D4CFF79">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5.如果发生招标文件第二章投标人须知第12条所述情况，则同意招标人不予退还投标保证金。</w:t>
      </w:r>
    </w:p>
    <w:p w14:paraId="2C50F3A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6.投标人同意提供按照招标人可能要求的与其投标有关的一切数据或资料，完全理解贵方不一定要接受最低的报价或收到的任何投标。</w:t>
      </w:r>
    </w:p>
    <w:p w14:paraId="6979B78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 与本投标有关的一切正式往来通讯请寄：</w:t>
      </w:r>
    </w:p>
    <w:p w14:paraId="32971E0A">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地址：</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邮编：</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24EA8E00">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传真：</w:t>
      </w:r>
      <w:r>
        <w:rPr>
          <w:rFonts w:hint="eastAsia" w:ascii="仿宋" w:hAnsi="仿宋" w:eastAsia="仿宋"/>
          <w:color w:val="auto"/>
          <w:sz w:val="32"/>
          <w:szCs w:val="32"/>
          <w:highlight w:val="none"/>
          <w:u w:val="single"/>
          <w:lang w:val="en-US" w:eastAsia="zh-CN"/>
        </w:rPr>
        <w:t xml:space="preserve">                </w:t>
      </w:r>
    </w:p>
    <w:p w14:paraId="641B65E3">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24C038AA">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06D6CCCF">
      <w:pPr>
        <w:pStyle w:val="18"/>
        <w:rPr>
          <w:rFonts w:hint="default"/>
          <w:color w:val="auto"/>
          <w:highlight w:val="none"/>
          <w:lang w:val="en-US" w:eastAsia="zh-CN"/>
        </w:rPr>
      </w:pPr>
    </w:p>
    <w:p w14:paraId="3C98FCB9">
      <w:pPr>
        <w:pStyle w:val="18"/>
        <w:rPr>
          <w:rFonts w:hint="default"/>
          <w:color w:val="auto"/>
          <w:highlight w:val="none"/>
          <w:lang w:val="en-US" w:eastAsia="zh-CN"/>
        </w:rPr>
      </w:pPr>
    </w:p>
    <w:p w14:paraId="01F7ECD7">
      <w:pPr>
        <w:spacing w:line="500" w:lineRule="exact"/>
        <w:ind w:firstLine="5120" w:firstLineChars="16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 月 日</w:t>
      </w:r>
    </w:p>
    <w:p w14:paraId="79E64A42">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33F2DF5A">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格式2　</w:t>
      </w:r>
    </w:p>
    <w:p w14:paraId="0324A884">
      <w:pPr>
        <w:spacing w:line="500" w:lineRule="exact"/>
        <w:rPr>
          <w:rFonts w:ascii="仿宋" w:hAnsi="仿宋" w:eastAsia="仿宋"/>
          <w:b/>
          <w:bCs/>
          <w:color w:val="auto"/>
          <w:sz w:val="32"/>
          <w:szCs w:val="32"/>
          <w:highlight w:val="none"/>
        </w:rPr>
      </w:pPr>
    </w:p>
    <w:p w14:paraId="2E4330B8">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开标一览表</w:t>
      </w:r>
    </w:p>
    <w:p w14:paraId="5090814D">
      <w:pPr>
        <w:pStyle w:val="8"/>
        <w:tabs>
          <w:tab w:val="left" w:pos="3996"/>
          <w:tab w:val="left" w:pos="8437"/>
        </w:tabs>
        <w:spacing w:line="500" w:lineRule="exact"/>
        <w:ind w:left="36"/>
        <w:rPr>
          <w:rFonts w:ascii="仿宋" w:hAnsi="仿宋" w:eastAsia="仿宋"/>
          <w:color w:val="auto"/>
          <w:sz w:val="32"/>
          <w:szCs w:val="32"/>
          <w:highlight w:val="none"/>
        </w:rPr>
      </w:pPr>
    </w:p>
    <w:p w14:paraId="454E7AFF">
      <w:pPr>
        <w:spacing w:line="500" w:lineRule="exac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招标项目：</w:t>
      </w:r>
      <w:r>
        <w:rPr>
          <w:rFonts w:hint="eastAsia" w:ascii="仿宋" w:hAnsi="仿宋" w:eastAsia="仿宋"/>
          <w:color w:val="auto"/>
          <w:sz w:val="32"/>
          <w:szCs w:val="32"/>
          <w:highlight w:val="none"/>
          <w:u w:val="single"/>
        </w:rPr>
        <w:t>　　　　　　　　　　</w:t>
      </w:r>
    </w:p>
    <w:p w14:paraId="60190C06">
      <w:pPr>
        <w:spacing w:line="50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p>
    <w:p w14:paraId="2CC20433">
      <w:pPr>
        <w:pStyle w:val="8"/>
        <w:tabs>
          <w:tab w:val="left" w:pos="3996"/>
          <w:tab w:val="left" w:pos="8437"/>
        </w:tabs>
        <w:spacing w:line="500" w:lineRule="exact"/>
        <w:ind w:left="36"/>
        <w:rPr>
          <w:rFonts w:hint="default" w:ascii="仿宋" w:hAnsi="仿宋" w:eastAsia="仿宋"/>
          <w:color w:val="auto"/>
          <w:sz w:val="32"/>
          <w:szCs w:val="32"/>
          <w:highlight w:val="none"/>
          <w:u w:val="singl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 xml:space="preserve">                    </w:t>
      </w:r>
    </w:p>
    <w:tbl>
      <w:tblPr>
        <w:tblStyle w:val="19"/>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893"/>
        <w:gridCol w:w="1981"/>
        <w:gridCol w:w="1459"/>
        <w:gridCol w:w="1800"/>
        <w:gridCol w:w="1540"/>
      </w:tblGrid>
      <w:tr w14:paraId="42A4631D">
        <w:tblPrEx>
          <w:tblCellMar>
            <w:top w:w="0" w:type="dxa"/>
            <w:left w:w="0" w:type="dxa"/>
            <w:bottom w:w="0" w:type="dxa"/>
            <w:right w:w="0" w:type="dxa"/>
          </w:tblCellMar>
        </w:tblPrEx>
        <w:trPr>
          <w:trHeight w:val="851"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7F3041C9">
            <w:pPr>
              <w:pStyle w:val="30"/>
              <w:spacing w:line="500" w:lineRule="exact"/>
              <w:jc w:val="center"/>
              <w:rPr>
                <w:rFonts w:ascii="仿宋" w:hAnsi="仿宋" w:eastAsia="仿宋" w:cs="宋体"/>
                <w:color w:val="auto"/>
                <w:sz w:val="28"/>
                <w:szCs w:val="28"/>
                <w:highlight w:val="none"/>
              </w:rPr>
            </w:pPr>
            <w:r>
              <w:rPr>
                <w:rFonts w:ascii="仿宋" w:hAnsi="仿宋" w:eastAsia="仿宋" w:cs="宋体"/>
                <w:color w:val="auto"/>
                <w:sz w:val="28"/>
                <w:szCs w:val="28"/>
                <w:highlight w:val="none"/>
              </w:rPr>
              <w:t>项目名称</w:t>
            </w:r>
          </w:p>
        </w:tc>
        <w:tc>
          <w:tcPr>
            <w:tcW w:w="893" w:type="dxa"/>
            <w:tcBorders>
              <w:top w:val="single" w:color="000000" w:sz="4" w:space="0"/>
              <w:left w:val="single" w:color="000000" w:sz="4" w:space="0"/>
              <w:bottom w:val="single" w:color="000000" w:sz="4" w:space="0"/>
              <w:right w:val="single" w:color="000000" w:sz="4" w:space="0"/>
            </w:tcBorders>
            <w:vAlign w:val="center"/>
          </w:tcPr>
          <w:p w14:paraId="27ECFFEE">
            <w:pPr>
              <w:pStyle w:val="30"/>
              <w:spacing w:line="500" w:lineRule="exact"/>
              <w:jc w:val="center"/>
              <w:rPr>
                <w:rFonts w:ascii="仿宋" w:hAnsi="仿宋" w:eastAsia="仿宋" w:cs="宋体"/>
                <w:color w:val="auto"/>
                <w:sz w:val="28"/>
                <w:szCs w:val="28"/>
                <w:highlight w:val="none"/>
              </w:rPr>
            </w:pPr>
            <w:r>
              <w:rPr>
                <w:rFonts w:ascii="仿宋" w:hAnsi="仿宋" w:eastAsia="仿宋" w:cs="宋体"/>
                <w:color w:val="auto"/>
                <w:sz w:val="28"/>
                <w:szCs w:val="28"/>
                <w:highlight w:val="none"/>
              </w:rPr>
              <w:t>数量</w:t>
            </w:r>
          </w:p>
        </w:tc>
        <w:tc>
          <w:tcPr>
            <w:tcW w:w="1981" w:type="dxa"/>
            <w:tcBorders>
              <w:top w:val="single" w:color="000000" w:sz="4" w:space="0"/>
              <w:left w:val="single" w:color="000000" w:sz="4" w:space="0"/>
              <w:bottom w:val="single" w:color="000000" w:sz="4" w:space="0"/>
              <w:right w:val="single" w:color="000000" w:sz="4" w:space="0"/>
            </w:tcBorders>
            <w:vAlign w:val="center"/>
          </w:tcPr>
          <w:p w14:paraId="3CA2E378">
            <w:pPr>
              <w:pStyle w:val="30"/>
              <w:spacing w:line="500" w:lineRule="exact"/>
              <w:ind w:right="102"/>
              <w:jc w:val="center"/>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报价（</w:t>
            </w:r>
            <w:r>
              <w:rPr>
                <w:rFonts w:hint="eastAsia" w:ascii="仿宋" w:hAnsi="仿宋" w:eastAsia="仿宋" w:cs="宋体"/>
                <w:color w:val="auto"/>
                <w:sz w:val="28"/>
                <w:szCs w:val="28"/>
                <w:highlight w:val="none"/>
                <w:lang w:val="en-US" w:eastAsia="zh-CN"/>
              </w:rPr>
              <w:t>含税）</w:t>
            </w:r>
          </w:p>
        </w:tc>
        <w:tc>
          <w:tcPr>
            <w:tcW w:w="1459" w:type="dxa"/>
            <w:tcBorders>
              <w:top w:val="single" w:color="000000" w:sz="4" w:space="0"/>
              <w:left w:val="single" w:color="000000" w:sz="4" w:space="0"/>
              <w:bottom w:val="single" w:color="000000" w:sz="4" w:space="0"/>
              <w:right w:val="single" w:color="000000" w:sz="4" w:space="0"/>
            </w:tcBorders>
            <w:vAlign w:val="center"/>
          </w:tcPr>
          <w:p w14:paraId="6789B334">
            <w:pPr>
              <w:pStyle w:val="30"/>
              <w:spacing w:line="500" w:lineRule="exact"/>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服务</w:t>
            </w:r>
            <w:r>
              <w:rPr>
                <w:rFonts w:ascii="仿宋" w:hAnsi="仿宋" w:eastAsia="仿宋" w:cs="宋体"/>
                <w:color w:val="auto"/>
                <w:sz w:val="28"/>
                <w:szCs w:val="28"/>
                <w:highlight w:val="none"/>
              </w:rPr>
              <w:t>期</w:t>
            </w:r>
          </w:p>
        </w:tc>
        <w:tc>
          <w:tcPr>
            <w:tcW w:w="1800" w:type="dxa"/>
            <w:tcBorders>
              <w:top w:val="single" w:color="000000" w:sz="4" w:space="0"/>
              <w:left w:val="single" w:color="000000" w:sz="4" w:space="0"/>
              <w:bottom w:val="single" w:color="000000" w:sz="4" w:space="0"/>
              <w:right w:val="single" w:color="000000" w:sz="4" w:space="0"/>
            </w:tcBorders>
            <w:vAlign w:val="center"/>
          </w:tcPr>
          <w:p w14:paraId="64A9E9BE">
            <w:pPr>
              <w:pStyle w:val="30"/>
              <w:spacing w:line="500" w:lineRule="exact"/>
              <w:ind w:right="107"/>
              <w:jc w:val="center"/>
              <w:rPr>
                <w:rFonts w:ascii="仿宋" w:hAnsi="仿宋" w:eastAsia="仿宋" w:cs="宋体"/>
                <w:color w:val="auto"/>
                <w:sz w:val="28"/>
                <w:szCs w:val="28"/>
                <w:highlight w:val="none"/>
              </w:rPr>
            </w:pPr>
            <w:r>
              <w:rPr>
                <w:rFonts w:ascii="仿宋" w:hAnsi="仿宋" w:eastAsia="仿宋" w:cs="宋体"/>
                <w:color w:val="auto"/>
                <w:sz w:val="28"/>
                <w:szCs w:val="28"/>
                <w:highlight w:val="none"/>
              </w:rPr>
              <w:t>投标保证金</w:t>
            </w:r>
          </w:p>
        </w:tc>
        <w:tc>
          <w:tcPr>
            <w:tcW w:w="1540" w:type="dxa"/>
            <w:tcBorders>
              <w:top w:val="single" w:color="000000" w:sz="4" w:space="0"/>
              <w:left w:val="single" w:color="000000" w:sz="4" w:space="0"/>
              <w:bottom w:val="single" w:color="000000" w:sz="4" w:space="0"/>
              <w:right w:val="single" w:color="000000" w:sz="4" w:space="0"/>
            </w:tcBorders>
            <w:vAlign w:val="center"/>
          </w:tcPr>
          <w:p w14:paraId="2ED1DB3D">
            <w:pPr>
              <w:pStyle w:val="30"/>
              <w:spacing w:line="500" w:lineRule="exact"/>
              <w:jc w:val="center"/>
              <w:rPr>
                <w:rFonts w:ascii="仿宋" w:hAnsi="仿宋" w:eastAsia="仿宋" w:cs="宋体"/>
                <w:color w:val="auto"/>
                <w:sz w:val="28"/>
                <w:szCs w:val="28"/>
                <w:highlight w:val="none"/>
              </w:rPr>
            </w:pPr>
            <w:r>
              <w:rPr>
                <w:rFonts w:ascii="仿宋" w:hAnsi="仿宋" w:eastAsia="仿宋" w:cs="宋体"/>
                <w:color w:val="auto"/>
                <w:sz w:val="28"/>
                <w:szCs w:val="28"/>
                <w:highlight w:val="none"/>
              </w:rPr>
              <w:t>备注</w:t>
            </w:r>
          </w:p>
        </w:tc>
      </w:tr>
      <w:tr w14:paraId="1F5EA245">
        <w:tblPrEx>
          <w:tblCellMar>
            <w:top w:w="0" w:type="dxa"/>
            <w:left w:w="0" w:type="dxa"/>
            <w:bottom w:w="0" w:type="dxa"/>
            <w:right w:w="0" w:type="dxa"/>
          </w:tblCellMar>
        </w:tblPrEx>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0DE2F786">
            <w:pPr>
              <w:spacing w:line="500" w:lineRule="exact"/>
              <w:rPr>
                <w:rFonts w:ascii="仿宋" w:hAnsi="仿宋" w:eastAsia="仿宋"/>
                <w:color w:val="auto"/>
                <w:sz w:val="28"/>
                <w:szCs w:val="28"/>
                <w:highlight w:val="none"/>
              </w:rPr>
            </w:pPr>
          </w:p>
        </w:tc>
        <w:tc>
          <w:tcPr>
            <w:tcW w:w="893" w:type="dxa"/>
            <w:tcBorders>
              <w:top w:val="single" w:color="000000" w:sz="4" w:space="0"/>
              <w:left w:val="single" w:color="000000" w:sz="4" w:space="0"/>
              <w:bottom w:val="single" w:color="000000" w:sz="4" w:space="0"/>
              <w:right w:val="single" w:color="000000" w:sz="4" w:space="0"/>
            </w:tcBorders>
          </w:tcPr>
          <w:p w14:paraId="1FB0A556">
            <w:pPr>
              <w:spacing w:line="500" w:lineRule="exact"/>
              <w:rPr>
                <w:rFonts w:ascii="仿宋" w:hAnsi="仿宋" w:eastAsia="仿宋"/>
                <w:color w:val="auto"/>
                <w:sz w:val="28"/>
                <w:szCs w:val="28"/>
                <w:highlight w:val="none"/>
              </w:rPr>
            </w:pPr>
          </w:p>
        </w:tc>
        <w:tc>
          <w:tcPr>
            <w:tcW w:w="1981" w:type="dxa"/>
            <w:tcBorders>
              <w:top w:val="single" w:color="000000" w:sz="4" w:space="0"/>
              <w:left w:val="single" w:color="000000" w:sz="4" w:space="0"/>
              <w:bottom w:val="single" w:color="000000" w:sz="4" w:space="0"/>
              <w:right w:val="single" w:color="000000" w:sz="4" w:space="0"/>
            </w:tcBorders>
          </w:tcPr>
          <w:p w14:paraId="2D840B1E">
            <w:pPr>
              <w:spacing w:line="500" w:lineRule="exact"/>
              <w:rPr>
                <w:rFonts w:ascii="仿宋" w:hAnsi="仿宋" w:eastAsia="仿宋"/>
                <w:color w:val="auto"/>
                <w:sz w:val="28"/>
                <w:szCs w:val="28"/>
                <w:highlight w:val="none"/>
              </w:rPr>
            </w:pPr>
          </w:p>
        </w:tc>
        <w:tc>
          <w:tcPr>
            <w:tcW w:w="1459" w:type="dxa"/>
            <w:tcBorders>
              <w:top w:val="single" w:color="000000" w:sz="4" w:space="0"/>
              <w:left w:val="single" w:color="000000" w:sz="4" w:space="0"/>
              <w:bottom w:val="single" w:color="000000" w:sz="4" w:space="0"/>
              <w:right w:val="single" w:color="000000" w:sz="4" w:space="0"/>
            </w:tcBorders>
          </w:tcPr>
          <w:p w14:paraId="42AF99DB">
            <w:pPr>
              <w:spacing w:line="500" w:lineRule="exact"/>
              <w:rPr>
                <w:rFonts w:ascii="仿宋" w:hAnsi="仿宋" w:eastAsia="仿宋"/>
                <w:color w:val="auto"/>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tcPr>
          <w:p w14:paraId="62A686A3">
            <w:pPr>
              <w:spacing w:line="500" w:lineRule="exact"/>
              <w:rPr>
                <w:rFonts w:ascii="仿宋" w:hAnsi="仿宋" w:eastAsia="仿宋"/>
                <w:color w:val="auto"/>
                <w:sz w:val="28"/>
                <w:szCs w:val="28"/>
                <w:highlight w:val="none"/>
              </w:rPr>
            </w:pPr>
          </w:p>
        </w:tc>
        <w:tc>
          <w:tcPr>
            <w:tcW w:w="1540" w:type="dxa"/>
            <w:tcBorders>
              <w:top w:val="single" w:color="000000" w:sz="4" w:space="0"/>
              <w:left w:val="single" w:color="000000" w:sz="4" w:space="0"/>
              <w:bottom w:val="single" w:color="000000" w:sz="4" w:space="0"/>
              <w:right w:val="single" w:color="000000" w:sz="4" w:space="0"/>
            </w:tcBorders>
          </w:tcPr>
          <w:p w14:paraId="28AA63D8">
            <w:pPr>
              <w:spacing w:line="500" w:lineRule="exact"/>
              <w:rPr>
                <w:rFonts w:ascii="仿宋" w:hAnsi="仿宋" w:eastAsia="仿宋"/>
                <w:color w:val="auto"/>
                <w:sz w:val="28"/>
                <w:szCs w:val="28"/>
                <w:highlight w:val="none"/>
              </w:rPr>
            </w:pPr>
          </w:p>
        </w:tc>
      </w:tr>
    </w:tbl>
    <w:p w14:paraId="4914C78C">
      <w:pPr>
        <w:pStyle w:val="8"/>
        <w:spacing w:line="500" w:lineRule="exact"/>
        <w:rPr>
          <w:rFonts w:ascii="仿宋" w:hAnsi="仿宋" w:eastAsia="仿宋"/>
          <w:color w:val="auto"/>
          <w:sz w:val="24"/>
          <w:szCs w:val="24"/>
          <w:highlight w:val="none"/>
        </w:rPr>
      </w:pPr>
    </w:p>
    <w:p w14:paraId="5B337718">
      <w:pPr>
        <w:pStyle w:val="8"/>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7FD7686F">
      <w:pPr>
        <w:pStyle w:val="8"/>
        <w:tabs>
          <w:tab w:val="left" w:pos="4340"/>
        </w:tabs>
        <w:spacing w:before="25" w:line="500" w:lineRule="exact"/>
        <w:ind w:right="946"/>
        <w:rPr>
          <w:rFonts w:ascii="仿宋" w:hAnsi="仿宋" w:eastAsia="仿宋"/>
          <w:color w:val="auto"/>
          <w:sz w:val="32"/>
          <w:szCs w:val="32"/>
          <w:highlight w:val="none"/>
        </w:rPr>
      </w:pPr>
    </w:p>
    <w:p w14:paraId="48C13E7C">
      <w:pPr>
        <w:spacing w:line="500" w:lineRule="exact"/>
        <w:ind w:firstLine="2240" w:firstLineChars="7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3CAFC3BD">
      <w:pPr>
        <w:spacing w:line="500" w:lineRule="exact"/>
        <w:ind w:firstLine="2880" w:firstLineChars="9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投标人代表签字： </w:t>
      </w:r>
      <w:r>
        <w:rPr>
          <w:rFonts w:hint="eastAsia" w:ascii="仿宋" w:hAnsi="仿宋" w:eastAsia="仿宋"/>
          <w:color w:val="auto"/>
          <w:sz w:val="32"/>
          <w:szCs w:val="32"/>
          <w:highlight w:val="none"/>
          <w:u w:val="single"/>
          <w:lang w:val="en-US" w:eastAsia="zh-CN"/>
        </w:rPr>
        <w:t xml:space="preserve">                     </w:t>
      </w:r>
    </w:p>
    <w:p w14:paraId="37B11B55">
      <w:pPr>
        <w:spacing w:line="500" w:lineRule="exact"/>
        <w:ind w:firstLine="4160" w:firstLineChars="1300"/>
        <w:rPr>
          <w:rFonts w:hint="default" w:ascii="仿宋" w:hAnsi="仿宋" w:eastAsia="仿宋"/>
          <w:color w:val="auto"/>
          <w:sz w:val="32"/>
          <w:szCs w:val="32"/>
          <w:highlight w:val="none"/>
          <w:u w:val="none"/>
          <w:lang w:val="en-US" w:eastAsia="zh-CN"/>
        </w:rPr>
        <w:sectPr>
          <w:footerReference r:id="rId3" w:type="default"/>
          <w:pgSz w:w="11907" w:h="16840"/>
          <w:pgMar w:top="1417" w:right="1418" w:bottom="1417" w:left="1418" w:header="857" w:footer="998" w:gutter="0"/>
          <w:cols w:space="0" w:num="1"/>
          <w:rtlGutter w:val="0"/>
          <w:docGrid w:linePitch="286" w:charSpace="0"/>
        </w:sect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40265275">
      <w:pPr>
        <w:spacing w:line="500" w:lineRule="exact"/>
        <w:rPr>
          <w:rFonts w:ascii="仿宋" w:hAnsi="仿宋" w:eastAsia="仿宋"/>
          <w:b/>
          <w:bCs/>
          <w:color w:val="auto"/>
          <w:sz w:val="32"/>
          <w:szCs w:val="32"/>
          <w:highlight w:val="none"/>
        </w:rPr>
      </w:pPr>
      <w:bookmarkStart w:id="211" w:name="_bookmark30"/>
      <w:bookmarkEnd w:id="211"/>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 xml:space="preserve">  </w:t>
      </w:r>
    </w:p>
    <w:p w14:paraId="36241AD9">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服务偏离表</w:t>
      </w:r>
    </w:p>
    <w:p w14:paraId="2BA05743">
      <w:pPr>
        <w:spacing w:line="500" w:lineRule="exact"/>
        <w:jc w:val="center"/>
        <w:rPr>
          <w:rFonts w:ascii="仿宋" w:hAnsi="仿宋" w:eastAsia="仿宋"/>
          <w:b/>
          <w:bCs/>
          <w:color w:val="auto"/>
          <w:sz w:val="32"/>
          <w:szCs w:val="32"/>
          <w:highlight w:val="none"/>
        </w:rPr>
      </w:pPr>
    </w:p>
    <w:p w14:paraId="69D7B724">
      <w:pPr>
        <w:spacing w:line="276" w:lineRule="auto"/>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 xml:space="preserve">投标人名称：                           </w:t>
      </w:r>
    </w:p>
    <w:p w14:paraId="2BFA64B8">
      <w:pPr>
        <w:spacing w:line="276" w:lineRule="auto"/>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 xml:space="preserve">投标项目名称：    </w:t>
      </w:r>
    </w:p>
    <w:p w14:paraId="008A174A">
      <w:pPr>
        <w:pStyle w:val="10"/>
        <w:spacing w:line="360" w:lineRule="auto"/>
        <w:rPr>
          <w:rFonts w:hAnsi="宋体" w:cs="宋体"/>
          <w:color w:val="auto"/>
          <w:sz w:val="24"/>
          <w:highlight w:val="none"/>
        </w:rPr>
      </w:pPr>
      <w:r>
        <w:rPr>
          <w:rFonts w:hint="eastAsia" w:ascii="仿宋" w:hAnsi="仿宋" w:eastAsia="仿宋"/>
          <w:bCs/>
          <w:color w:val="auto"/>
          <w:sz w:val="28"/>
          <w:szCs w:val="28"/>
          <w:highlight w:val="none"/>
        </w:rPr>
        <w:t xml:space="preserve">项目编号：       </w:t>
      </w:r>
    </w:p>
    <w:tbl>
      <w:tblPr>
        <w:tblStyle w:val="19"/>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1440"/>
        <w:gridCol w:w="1500"/>
        <w:gridCol w:w="1410"/>
        <w:gridCol w:w="1470"/>
        <w:gridCol w:w="1500"/>
      </w:tblGrid>
      <w:tr w14:paraId="2D4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25" w:type="dxa"/>
            <w:tcBorders>
              <w:bottom w:val="single" w:color="auto" w:sz="4" w:space="0"/>
            </w:tcBorders>
            <w:vAlign w:val="center"/>
          </w:tcPr>
          <w:p w14:paraId="14883F79">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序号</w:t>
            </w:r>
          </w:p>
        </w:tc>
        <w:tc>
          <w:tcPr>
            <w:tcW w:w="1170" w:type="dxa"/>
            <w:tcBorders>
              <w:bottom w:val="single" w:color="auto" w:sz="4" w:space="0"/>
            </w:tcBorders>
            <w:vAlign w:val="center"/>
          </w:tcPr>
          <w:p w14:paraId="3976ACFE">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招标文件条目</w:t>
            </w:r>
          </w:p>
        </w:tc>
        <w:tc>
          <w:tcPr>
            <w:tcW w:w="1440" w:type="dxa"/>
            <w:tcBorders>
              <w:bottom w:val="single" w:color="auto" w:sz="4" w:space="0"/>
            </w:tcBorders>
            <w:vAlign w:val="center"/>
          </w:tcPr>
          <w:p w14:paraId="153E3A7D">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服务内容</w:t>
            </w:r>
          </w:p>
        </w:tc>
        <w:tc>
          <w:tcPr>
            <w:tcW w:w="1500" w:type="dxa"/>
            <w:tcBorders>
              <w:bottom w:val="single" w:color="auto" w:sz="4" w:space="0"/>
            </w:tcBorders>
            <w:vAlign w:val="center"/>
          </w:tcPr>
          <w:p w14:paraId="2E050E7E">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招标要求</w:t>
            </w:r>
          </w:p>
        </w:tc>
        <w:tc>
          <w:tcPr>
            <w:tcW w:w="1410" w:type="dxa"/>
            <w:tcBorders>
              <w:bottom w:val="single" w:color="auto" w:sz="4" w:space="0"/>
            </w:tcBorders>
            <w:vAlign w:val="center"/>
          </w:tcPr>
          <w:p w14:paraId="7122A132">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投标要求</w:t>
            </w:r>
          </w:p>
        </w:tc>
        <w:tc>
          <w:tcPr>
            <w:tcW w:w="1470" w:type="dxa"/>
            <w:tcBorders>
              <w:bottom w:val="single" w:color="auto" w:sz="4" w:space="0"/>
            </w:tcBorders>
            <w:vAlign w:val="center"/>
          </w:tcPr>
          <w:p w14:paraId="692B0445">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偏  离</w:t>
            </w:r>
          </w:p>
        </w:tc>
        <w:tc>
          <w:tcPr>
            <w:tcW w:w="1500" w:type="dxa"/>
            <w:tcBorders>
              <w:bottom w:val="single" w:color="auto" w:sz="4" w:space="0"/>
            </w:tcBorders>
            <w:vAlign w:val="center"/>
          </w:tcPr>
          <w:p w14:paraId="0E342A16">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说  明</w:t>
            </w:r>
          </w:p>
        </w:tc>
      </w:tr>
      <w:tr w14:paraId="4849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5BECEA">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1</w:t>
            </w:r>
          </w:p>
        </w:tc>
        <w:tc>
          <w:tcPr>
            <w:tcW w:w="1170" w:type="dxa"/>
          </w:tcPr>
          <w:p w14:paraId="26E3D4F1">
            <w:pPr>
              <w:spacing w:line="276" w:lineRule="auto"/>
              <w:rPr>
                <w:rFonts w:ascii="仿宋" w:hAnsi="仿宋" w:eastAsia="仿宋" w:cs="Courier New"/>
                <w:bCs/>
                <w:color w:val="auto"/>
                <w:sz w:val="28"/>
                <w:szCs w:val="28"/>
                <w:highlight w:val="none"/>
              </w:rPr>
            </w:pPr>
          </w:p>
        </w:tc>
        <w:tc>
          <w:tcPr>
            <w:tcW w:w="1440" w:type="dxa"/>
          </w:tcPr>
          <w:p w14:paraId="344BA48E">
            <w:pPr>
              <w:spacing w:line="276" w:lineRule="auto"/>
              <w:rPr>
                <w:rFonts w:ascii="仿宋" w:hAnsi="仿宋" w:eastAsia="仿宋" w:cs="Courier New"/>
                <w:bCs/>
                <w:color w:val="auto"/>
                <w:sz w:val="28"/>
                <w:szCs w:val="28"/>
                <w:highlight w:val="none"/>
              </w:rPr>
            </w:pPr>
          </w:p>
        </w:tc>
        <w:tc>
          <w:tcPr>
            <w:tcW w:w="1500" w:type="dxa"/>
          </w:tcPr>
          <w:p w14:paraId="526C4BFF">
            <w:pPr>
              <w:spacing w:line="276" w:lineRule="auto"/>
              <w:rPr>
                <w:rFonts w:ascii="仿宋" w:hAnsi="仿宋" w:eastAsia="仿宋" w:cs="Courier New"/>
                <w:bCs/>
                <w:color w:val="auto"/>
                <w:sz w:val="28"/>
                <w:szCs w:val="28"/>
                <w:highlight w:val="none"/>
              </w:rPr>
            </w:pPr>
          </w:p>
        </w:tc>
        <w:tc>
          <w:tcPr>
            <w:tcW w:w="1410" w:type="dxa"/>
          </w:tcPr>
          <w:p w14:paraId="1C910FAC">
            <w:pPr>
              <w:spacing w:line="276" w:lineRule="auto"/>
              <w:rPr>
                <w:rFonts w:ascii="仿宋" w:hAnsi="仿宋" w:eastAsia="仿宋" w:cs="Courier New"/>
                <w:bCs/>
                <w:color w:val="auto"/>
                <w:sz w:val="28"/>
                <w:szCs w:val="28"/>
                <w:highlight w:val="none"/>
              </w:rPr>
            </w:pPr>
          </w:p>
        </w:tc>
        <w:tc>
          <w:tcPr>
            <w:tcW w:w="1470" w:type="dxa"/>
          </w:tcPr>
          <w:p w14:paraId="2962BECE">
            <w:pPr>
              <w:spacing w:line="276" w:lineRule="auto"/>
              <w:rPr>
                <w:rFonts w:ascii="仿宋" w:hAnsi="仿宋" w:eastAsia="仿宋" w:cs="Courier New"/>
                <w:bCs/>
                <w:color w:val="auto"/>
                <w:sz w:val="28"/>
                <w:szCs w:val="28"/>
                <w:highlight w:val="none"/>
              </w:rPr>
            </w:pPr>
          </w:p>
        </w:tc>
        <w:tc>
          <w:tcPr>
            <w:tcW w:w="1500" w:type="dxa"/>
          </w:tcPr>
          <w:p w14:paraId="6E3CBD8E">
            <w:pPr>
              <w:spacing w:line="276" w:lineRule="auto"/>
              <w:rPr>
                <w:rFonts w:ascii="仿宋" w:hAnsi="仿宋" w:eastAsia="仿宋" w:cs="Courier New"/>
                <w:bCs/>
                <w:color w:val="auto"/>
                <w:sz w:val="28"/>
                <w:szCs w:val="28"/>
                <w:highlight w:val="none"/>
              </w:rPr>
            </w:pPr>
          </w:p>
        </w:tc>
      </w:tr>
      <w:tr w14:paraId="47E2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0DE62E2">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2</w:t>
            </w:r>
          </w:p>
        </w:tc>
        <w:tc>
          <w:tcPr>
            <w:tcW w:w="1170" w:type="dxa"/>
          </w:tcPr>
          <w:p w14:paraId="0B20C791">
            <w:pPr>
              <w:spacing w:line="276" w:lineRule="auto"/>
              <w:rPr>
                <w:rFonts w:ascii="仿宋" w:hAnsi="仿宋" w:eastAsia="仿宋" w:cs="Courier New"/>
                <w:bCs/>
                <w:color w:val="auto"/>
                <w:sz w:val="28"/>
                <w:szCs w:val="28"/>
                <w:highlight w:val="none"/>
              </w:rPr>
            </w:pPr>
          </w:p>
        </w:tc>
        <w:tc>
          <w:tcPr>
            <w:tcW w:w="1440" w:type="dxa"/>
          </w:tcPr>
          <w:p w14:paraId="5A56FFE7">
            <w:pPr>
              <w:spacing w:line="276" w:lineRule="auto"/>
              <w:rPr>
                <w:rFonts w:ascii="仿宋" w:hAnsi="仿宋" w:eastAsia="仿宋" w:cs="Courier New"/>
                <w:bCs/>
                <w:color w:val="auto"/>
                <w:sz w:val="28"/>
                <w:szCs w:val="28"/>
                <w:highlight w:val="none"/>
              </w:rPr>
            </w:pPr>
          </w:p>
        </w:tc>
        <w:tc>
          <w:tcPr>
            <w:tcW w:w="1500" w:type="dxa"/>
          </w:tcPr>
          <w:p w14:paraId="3E9A766D">
            <w:pPr>
              <w:spacing w:line="276" w:lineRule="auto"/>
              <w:rPr>
                <w:rFonts w:ascii="仿宋" w:hAnsi="仿宋" w:eastAsia="仿宋" w:cs="Courier New"/>
                <w:bCs/>
                <w:color w:val="auto"/>
                <w:sz w:val="28"/>
                <w:szCs w:val="28"/>
                <w:highlight w:val="none"/>
              </w:rPr>
            </w:pPr>
          </w:p>
        </w:tc>
        <w:tc>
          <w:tcPr>
            <w:tcW w:w="1410" w:type="dxa"/>
          </w:tcPr>
          <w:p w14:paraId="1D3CFC84">
            <w:pPr>
              <w:spacing w:line="276" w:lineRule="auto"/>
              <w:rPr>
                <w:rFonts w:ascii="仿宋" w:hAnsi="仿宋" w:eastAsia="仿宋" w:cs="Courier New"/>
                <w:bCs/>
                <w:color w:val="auto"/>
                <w:sz w:val="28"/>
                <w:szCs w:val="28"/>
                <w:highlight w:val="none"/>
              </w:rPr>
            </w:pPr>
          </w:p>
        </w:tc>
        <w:tc>
          <w:tcPr>
            <w:tcW w:w="1470" w:type="dxa"/>
          </w:tcPr>
          <w:p w14:paraId="4984C1F3">
            <w:pPr>
              <w:spacing w:line="276" w:lineRule="auto"/>
              <w:rPr>
                <w:rFonts w:ascii="仿宋" w:hAnsi="仿宋" w:eastAsia="仿宋" w:cs="Courier New"/>
                <w:bCs/>
                <w:color w:val="auto"/>
                <w:sz w:val="28"/>
                <w:szCs w:val="28"/>
                <w:highlight w:val="none"/>
              </w:rPr>
            </w:pPr>
          </w:p>
        </w:tc>
        <w:tc>
          <w:tcPr>
            <w:tcW w:w="1500" w:type="dxa"/>
          </w:tcPr>
          <w:p w14:paraId="3606109C">
            <w:pPr>
              <w:spacing w:line="276" w:lineRule="auto"/>
              <w:rPr>
                <w:rFonts w:ascii="仿宋" w:hAnsi="仿宋" w:eastAsia="仿宋" w:cs="Courier New"/>
                <w:bCs/>
                <w:color w:val="auto"/>
                <w:sz w:val="28"/>
                <w:szCs w:val="28"/>
                <w:highlight w:val="none"/>
              </w:rPr>
            </w:pPr>
          </w:p>
        </w:tc>
      </w:tr>
      <w:tr w14:paraId="617B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080937">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3</w:t>
            </w:r>
          </w:p>
        </w:tc>
        <w:tc>
          <w:tcPr>
            <w:tcW w:w="1170" w:type="dxa"/>
          </w:tcPr>
          <w:p w14:paraId="47775E77">
            <w:pPr>
              <w:spacing w:line="276" w:lineRule="auto"/>
              <w:rPr>
                <w:rFonts w:ascii="仿宋" w:hAnsi="仿宋" w:eastAsia="仿宋" w:cs="Courier New"/>
                <w:bCs/>
                <w:color w:val="auto"/>
                <w:sz w:val="28"/>
                <w:szCs w:val="28"/>
                <w:highlight w:val="none"/>
              </w:rPr>
            </w:pPr>
          </w:p>
        </w:tc>
        <w:tc>
          <w:tcPr>
            <w:tcW w:w="1440" w:type="dxa"/>
          </w:tcPr>
          <w:p w14:paraId="3E13F3E6">
            <w:pPr>
              <w:spacing w:line="276" w:lineRule="auto"/>
              <w:rPr>
                <w:rFonts w:ascii="仿宋" w:hAnsi="仿宋" w:eastAsia="仿宋" w:cs="Courier New"/>
                <w:bCs/>
                <w:color w:val="auto"/>
                <w:sz w:val="28"/>
                <w:szCs w:val="28"/>
                <w:highlight w:val="none"/>
              </w:rPr>
            </w:pPr>
          </w:p>
        </w:tc>
        <w:tc>
          <w:tcPr>
            <w:tcW w:w="1500" w:type="dxa"/>
          </w:tcPr>
          <w:p w14:paraId="3BB14FD7">
            <w:pPr>
              <w:spacing w:line="276" w:lineRule="auto"/>
              <w:rPr>
                <w:rFonts w:ascii="仿宋" w:hAnsi="仿宋" w:eastAsia="仿宋" w:cs="Courier New"/>
                <w:bCs/>
                <w:color w:val="auto"/>
                <w:sz w:val="28"/>
                <w:szCs w:val="28"/>
                <w:highlight w:val="none"/>
              </w:rPr>
            </w:pPr>
          </w:p>
        </w:tc>
        <w:tc>
          <w:tcPr>
            <w:tcW w:w="1410" w:type="dxa"/>
          </w:tcPr>
          <w:p w14:paraId="161AF5A6">
            <w:pPr>
              <w:spacing w:line="276" w:lineRule="auto"/>
              <w:rPr>
                <w:rFonts w:ascii="仿宋" w:hAnsi="仿宋" w:eastAsia="仿宋" w:cs="Courier New"/>
                <w:bCs/>
                <w:color w:val="auto"/>
                <w:sz w:val="28"/>
                <w:szCs w:val="28"/>
                <w:highlight w:val="none"/>
              </w:rPr>
            </w:pPr>
          </w:p>
        </w:tc>
        <w:tc>
          <w:tcPr>
            <w:tcW w:w="1470" w:type="dxa"/>
          </w:tcPr>
          <w:p w14:paraId="07590FA7">
            <w:pPr>
              <w:spacing w:line="276" w:lineRule="auto"/>
              <w:rPr>
                <w:rFonts w:ascii="仿宋" w:hAnsi="仿宋" w:eastAsia="仿宋" w:cs="Courier New"/>
                <w:bCs/>
                <w:color w:val="auto"/>
                <w:sz w:val="28"/>
                <w:szCs w:val="28"/>
                <w:highlight w:val="none"/>
              </w:rPr>
            </w:pPr>
          </w:p>
        </w:tc>
        <w:tc>
          <w:tcPr>
            <w:tcW w:w="1500" w:type="dxa"/>
          </w:tcPr>
          <w:p w14:paraId="0E681B1F">
            <w:pPr>
              <w:spacing w:line="276" w:lineRule="auto"/>
              <w:rPr>
                <w:rFonts w:ascii="仿宋" w:hAnsi="仿宋" w:eastAsia="仿宋" w:cs="Courier New"/>
                <w:bCs/>
                <w:color w:val="auto"/>
                <w:sz w:val="28"/>
                <w:szCs w:val="28"/>
                <w:highlight w:val="none"/>
              </w:rPr>
            </w:pPr>
          </w:p>
        </w:tc>
      </w:tr>
      <w:tr w14:paraId="6F6B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A157961">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4</w:t>
            </w:r>
          </w:p>
        </w:tc>
        <w:tc>
          <w:tcPr>
            <w:tcW w:w="1170" w:type="dxa"/>
          </w:tcPr>
          <w:p w14:paraId="34A9462A">
            <w:pPr>
              <w:spacing w:line="276" w:lineRule="auto"/>
              <w:rPr>
                <w:rFonts w:ascii="仿宋" w:hAnsi="仿宋" w:eastAsia="仿宋" w:cs="Courier New"/>
                <w:bCs/>
                <w:color w:val="auto"/>
                <w:sz w:val="28"/>
                <w:szCs w:val="28"/>
                <w:highlight w:val="none"/>
              </w:rPr>
            </w:pPr>
          </w:p>
        </w:tc>
        <w:tc>
          <w:tcPr>
            <w:tcW w:w="1440" w:type="dxa"/>
          </w:tcPr>
          <w:p w14:paraId="33DF0439">
            <w:pPr>
              <w:spacing w:line="276" w:lineRule="auto"/>
              <w:rPr>
                <w:rFonts w:ascii="仿宋" w:hAnsi="仿宋" w:eastAsia="仿宋" w:cs="Courier New"/>
                <w:bCs/>
                <w:color w:val="auto"/>
                <w:sz w:val="28"/>
                <w:szCs w:val="28"/>
                <w:highlight w:val="none"/>
              </w:rPr>
            </w:pPr>
          </w:p>
        </w:tc>
        <w:tc>
          <w:tcPr>
            <w:tcW w:w="1500" w:type="dxa"/>
          </w:tcPr>
          <w:p w14:paraId="15ADD402">
            <w:pPr>
              <w:spacing w:line="276" w:lineRule="auto"/>
              <w:rPr>
                <w:rFonts w:ascii="仿宋" w:hAnsi="仿宋" w:eastAsia="仿宋" w:cs="Courier New"/>
                <w:bCs/>
                <w:color w:val="auto"/>
                <w:sz w:val="28"/>
                <w:szCs w:val="28"/>
                <w:highlight w:val="none"/>
              </w:rPr>
            </w:pPr>
          </w:p>
        </w:tc>
        <w:tc>
          <w:tcPr>
            <w:tcW w:w="1410" w:type="dxa"/>
          </w:tcPr>
          <w:p w14:paraId="25795EC6">
            <w:pPr>
              <w:spacing w:line="276" w:lineRule="auto"/>
              <w:rPr>
                <w:rFonts w:ascii="仿宋" w:hAnsi="仿宋" w:eastAsia="仿宋" w:cs="Courier New"/>
                <w:bCs/>
                <w:color w:val="auto"/>
                <w:sz w:val="28"/>
                <w:szCs w:val="28"/>
                <w:highlight w:val="none"/>
              </w:rPr>
            </w:pPr>
          </w:p>
        </w:tc>
        <w:tc>
          <w:tcPr>
            <w:tcW w:w="1470" w:type="dxa"/>
          </w:tcPr>
          <w:p w14:paraId="048B3334">
            <w:pPr>
              <w:spacing w:line="276" w:lineRule="auto"/>
              <w:rPr>
                <w:rFonts w:ascii="仿宋" w:hAnsi="仿宋" w:eastAsia="仿宋" w:cs="Courier New"/>
                <w:bCs/>
                <w:color w:val="auto"/>
                <w:sz w:val="28"/>
                <w:szCs w:val="28"/>
                <w:highlight w:val="none"/>
              </w:rPr>
            </w:pPr>
          </w:p>
        </w:tc>
        <w:tc>
          <w:tcPr>
            <w:tcW w:w="1500" w:type="dxa"/>
          </w:tcPr>
          <w:p w14:paraId="0558F09A">
            <w:pPr>
              <w:spacing w:line="276" w:lineRule="auto"/>
              <w:rPr>
                <w:rFonts w:ascii="仿宋" w:hAnsi="仿宋" w:eastAsia="仿宋" w:cs="Courier New"/>
                <w:bCs/>
                <w:color w:val="auto"/>
                <w:sz w:val="28"/>
                <w:szCs w:val="28"/>
                <w:highlight w:val="none"/>
              </w:rPr>
            </w:pPr>
          </w:p>
        </w:tc>
      </w:tr>
      <w:tr w14:paraId="1553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14E11A0">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5</w:t>
            </w:r>
          </w:p>
        </w:tc>
        <w:tc>
          <w:tcPr>
            <w:tcW w:w="1170" w:type="dxa"/>
          </w:tcPr>
          <w:p w14:paraId="1F9E5F99">
            <w:pPr>
              <w:spacing w:line="276" w:lineRule="auto"/>
              <w:rPr>
                <w:rFonts w:ascii="仿宋" w:hAnsi="仿宋" w:eastAsia="仿宋" w:cs="Courier New"/>
                <w:bCs/>
                <w:color w:val="auto"/>
                <w:sz w:val="28"/>
                <w:szCs w:val="28"/>
                <w:highlight w:val="none"/>
              </w:rPr>
            </w:pPr>
          </w:p>
        </w:tc>
        <w:tc>
          <w:tcPr>
            <w:tcW w:w="1440" w:type="dxa"/>
          </w:tcPr>
          <w:p w14:paraId="1BC91731">
            <w:pPr>
              <w:spacing w:line="276" w:lineRule="auto"/>
              <w:rPr>
                <w:rFonts w:ascii="仿宋" w:hAnsi="仿宋" w:eastAsia="仿宋" w:cs="Courier New"/>
                <w:bCs/>
                <w:color w:val="auto"/>
                <w:sz w:val="28"/>
                <w:szCs w:val="28"/>
                <w:highlight w:val="none"/>
              </w:rPr>
            </w:pPr>
          </w:p>
        </w:tc>
        <w:tc>
          <w:tcPr>
            <w:tcW w:w="1500" w:type="dxa"/>
          </w:tcPr>
          <w:p w14:paraId="279E3CDB">
            <w:pPr>
              <w:spacing w:line="276" w:lineRule="auto"/>
              <w:rPr>
                <w:rFonts w:ascii="仿宋" w:hAnsi="仿宋" w:eastAsia="仿宋" w:cs="Courier New"/>
                <w:bCs/>
                <w:color w:val="auto"/>
                <w:sz w:val="28"/>
                <w:szCs w:val="28"/>
                <w:highlight w:val="none"/>
              </w:rPr>
            </w:pPr>
          </w:p>
        </w:tc>
        <w:tc>
          <w:tcPr>
            <w:tcW w:w="1410" w:type="dxa"/>
          </w:tcPr>
          <w:p w14:paraId="3F002A3C">
            <w:pPr>
              <w:spacing w:line="276" w:lineRule="auto"/>
              <w:rPr>
                <w:rFonts w:ascii="仿宋" w:hAnsi="仿宋" w:eastAsia="仿宋" w:cs="Courier New"/>
                <w:bCs/>
                <w:color w:val="auto"/>
                <w:sz w:val="28"/>
                <w:szCs w:val="28"/>
                <w:highlight w:val="none"/>
              </w:rPr>
            </w:pPr>
          </w:p>
        </w:tc>
        <w:tc>
          <w:tcPr>
            <w:tcW w:w="1470" w:type="dxa"/>
          </w:tcPr>
          <w:p w14:paraId="2F8FC2D1">
            <w:pPr>
              <w:spacing w:line="276" w:lineRule="auto"/>
              <w:rPr>
                <w:rFonts w:ascii="仿宋" w:hAnsi="仿宋" w:eastAsia="仿宋" w:cs="Courier New"/>
                <w:bCs/>
                <w:color w:val="auto"/>
                <w:sz w:val="28"/>
                <w:szCs w:val="28"/>
                <w:highlight w:val="none"/>
              </w:rPr>
            </w:pPr>
          </w:p>
        </w:tc>
        <w:tc>
          <w:tcPr>
            <w:tcW w:w="1500" w:type="dxa"/>
          </w:tcPr>
          <w:p w14:paraId="6B7385D0">
            <w:pPr>
              <w:spacing w:line="276" w:lineRule="auto"/>
              <w:rPr>
                <w:rFonts w:ascii="仿宋" w:hAnsi="仿宋" w:eastAsia="仿宋" w:cs="Courier New"/>
                <w:bCs/>
                <w:color w:val="auto"/>
                <w:sz w:val="28"/>
                <w:szCs w:val="28"/>
                <w:highlight w:val="none"/>
              </w:rPr>
            </w:pPr>
          </w:p>
        </w:tc>
      </w:tr>
      <w:tr w14:paraId="5FA5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59445F9">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6</w:t>
            </w:r>
          </w:p>
        </w:tc>
        <w:tc>
          <w:tcPr>
            <w:tcW w:w="1170" w:type="dxa"/>
          </w:tcPr>
          <w:p w14:paraId="1ECA88C3">
            <w:pPr>
              <w:spacing w:line="276" w:lineRule="auto"/>
              <w:rPr>
                <w:rFonts w:ascii="仿宋" w:hAnsi="仿宋" w:eastAsia="仿宋" w:cs="Courier New"/>
                <w:bCs/>
                <w:color w:val="auto"/>
                <w:sz w:val="28"/>
                <w:szCs w:val="28"/>
                <w:highlight w:val="none"/>
              </w:rPr>
            </w:pPr>
          </w:p>
        </w:tc>
        <w:tc>
          <w:tcPr>
            <w:tcW w:w="1440" w:type="dxa"/>
          </w:tcPr>
          <w:p w14:paraId="4E7736AE">
            <w:pPr>
              <w:spacing w:line="276" w:lineRule="auto"/>
              <w:rPr>
                <w:rFonts w:ascii="仿宋" w:hAnsi="仿宋" w:eastAsia="仿宋" w:cs="Courier New"/>
                <w:bCs/>
                <w:color w:val="auto"/>
                <w:sz w:val="28"/>
                <w:szCs w:val="28"/>
                <w:highlight w:val="none"/>
              </w:rPr>
            </w:pPr>
          </w:p>
        </w:tc>
        <w:tc>
          <w:tcPr>
            <w:tcW w:w="1500" w:type="dxa"/>
          </w:tcPr>
          <w:p w14:paraId="053E6D1C">
            <w:pPr>
              <w:spacing w:line="276" w:lineRule="auto"/>
              <w:rPr>
                <w:rFonts w:ascii="仿宋" w:hAnsi="仿宋" w:eastAsia="仿宋" w:cs="Courier New"/>
                <w:bCs/>
                <w:color w:val="auto"/>
                <w:sz w:val="28"/>
                <w:szCs w:val="28"/>
                <w:highlight w:val="none"/>
              </w:rPr>
            </w:pPr>
          </w:p>
        </w:tc>
        <w:tc>
          <w:tcPr>
            <w:tcW w:w="1410" w:type="dxa"/>
          </w:tcPr>
          <w:p w14:paraId="1345EAB0">
            <w:pPr>
              <w:spacing w:line="276" w:lineRule="auto"/>
              <w:rPr>
                <w:rFonts w:ascii="仿宋" w:hAnsi="仿宋" w:eastAsia="仿宋" w:cs="Courier New"/>
                <w:bCs/>
                <w:color w:val="auto"/>
                <w:sz w:val="28"/>
                <w:szCs w:val="28"/>
                <w:highlight w:val="none"/>
              </w:rPr>
            </w:pPr>
          </w:p>
        </w:tc>
        <w:tc>
          <w:tcPr>
            <w:tcW w:w="1470" w:type="dxa"/>
          </w:tcPr>
          <w:p w14:paraId="09C23D21">
            <w:pPr>
              <w:spacing w:line="276" w:lineRule="auto"/>
              <w:rPr>
                <w:rFonts w:ascii="仿宋" w:hAnsi="仿宋" w:eastAsia="仿宋" w:cs="Courier New"/>
                <w:bCs/>
                <w:color w:val="auto"/>
                <w:sz w:val="28"/>
                <w:szCs w:val="28"/>
                <w:highlight w:val="none"/>
              </w:rPr>
            </w:pPr>
          </w:p>
        </w:tc>
        <w:tc>
          <w:tcPr>
            <w:tcW w:w="1500" w:type="dxa"/>
          </w:tcPr>
          <w:p w14:paraId="1F5A64B4">
            <w:pPr>
              <w:spacing w:line="276" w:lineRule="auto"/>
              <w:rPr>
                <w:rFonts w:ascii="仿宋" w:hAnsi="仿宋" w:eastAsia="仿宋" w:cs="Courier New"/>
                <w:bCs/>
                <w:color w:val="auto"/>
                <w:sz w:val="28"/>
                <w:szCs w:val="28"/>
                <w:highlight w:val="none"/>
              </w:rPr>
            </w:pPr>
          </w:p>
        </w:tc>
      </w:tr>
      <w:tr w14:paraId="41E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C059300">
            <w:pPr>
              <w:spacing w:line="276" w:lineRule="auto"/>
              <w:jc w:val="center"/>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w:t>
            </w:r>
          </w:p>
        </w:tc>
        <w:tc>
          <w:tcPr>
            <w:tcW w:w="1170" w:type="dxa"/>
          </w:tcPr>
          <w:p w14:paraId="55150050">
            <w:pPr>
              <w:spacing w:line="276" w:lineRule="auto"/>
              <w:rPr>
                <w:rFonts w:ascii="仿宋" w:hAnsi="仿宋" w:eastAsia="仿宋" w:cs="Courier New"/>
                <w:bCs/>
                <w:color w:val="auto"/>
                <w:sz w:val="28"/>
                <w:szCs w:val="28"/>
                <w:highlight w:val="none"/>
              </w:rPr>
            </w:pPr>
          </w:p>
        </w:tc>
        <w:tc>
          <w:tcPr>
            <w:tcW w:w="1440" w:type="dxa"/>
          </w:tcPr>
          <w:p w14:paraId="7B062C85">
            <w:pPr>
              <w:spacing w:line="276" w:lineRule="auto"/>
              <w:rPr>
                <w:rFonts w:ascii="仿宋" w:hAnsi="仿宋" w:eastAsia="仿宋" w:cs="Courier New"/>
                <w:bCs/>
                <w:color w:val="auto"/>
                <w:sz w:val="28"/>
                <w:szCs w:val="28"/>
                <w:highlight w:val="none"/>
              </w:rPr>
            </w:pPr>
          </w:p>
        </w:tc>
        <w:tc>
          <w:tcPr>
            <w:tcW w:w="1500" w:type="dxa"/>
          </w:tcPr>
          <w:p w14:paraId="7E4417E5">
            <w:pPr>
              <w:spacing w:line="276" w:lineRule="auto"/>
              <w:rPr>
                <w:rFonts w:ascii="仿宋" w:hAnsi="仿宋" w:eastAsia="仿宋" w:cs="Courier New"/>
                <w:bCs/>
                <w:color w:val="auto"/>
                <w:sz w:val="28"/>
                <w:szCs w:val="28"/>
                <w:highlight w:val="none"/>
              </w:rPr>
            </w:pPr>
          </w:p>
        </w:tc>
        <w:tc>
          <w:tcPr>
            <w:tcW w:w="1410" w:type="dxa"/>
          </w:tcPr>
          <w:p w14:paraId="075FFA64">
            <w:pPr>
              <w:spacing w:line="276" w:lineRule="auto"/>
              <w:rPr>
                <w:rFonts w:ascii="仿宋" w:hAnsi="仿宋" w:eastAsia="仿宋" w:cs="Courier New"/>
                <w:bCs/>
                <w:color w:val="auto"/>
                <w:sz w:val="28"/>
                <w:szCs w:val="28"/>
                <w:highlight w:val="none"/>
              </w:rPr>
            </w:pPr>
          </w:p>
        </w:tc>
        <w:tc>
          <w:tcPr>
            <w:tcW w:w="1470" w:type="dxa"/>
          </w:tcPr>
          <w:p w14:paraId="56925BD4">
            <w:pPr>
              <w:spacing w:line="276" w:lineRule="auto"/>
              <w:rPr>
                <w:rFonts w:ascii="仿宋" w:hAnsi="仿宋" w:eastAsia="仿宋" w:cs="Courier New"/>
                <w:bCs/>
                <w:color w:val="auto"/>
                <w:sz w:val="28"/>
                <w:szCs w:val="28"/>
                <w:highlight w:val="none"/>
              </w:rPr>
            </w:pPr>
          </w:p>
        </w:tc>
        <w:tc>
          <w:tcPr>
            <w:tcW w:w="1500" w:type="dxa"/>
          </w:tcPr>
          <w:p w14:paraId="488412CF">
            <w:pPr>
              <w:spacing w:line="276" w:lineRule="auto"/>
              <w:rPr>
                <w:rFonts w:ascii="仿宋" w:hAnsi="仿宋" w:eastAsia="仿宋" w:cs="Courier New"/>
                <w:bCs/>
                <w:color w:val="auto"/>
                <w:sz w:val="28"/>
                <w:szCs w:val="28"/>
                <w:highlight w:val="none"/>
              </w:rPr>
            </w:pPr>
          </w:p>
        </w:tc>
      </w:tr>
    </w:tbl>
    <w:p w14:paraId="4B9CB97D">
      <w:pPr>
        <w:pStyle w:val="10"/>
        <w:spacing w:line="360" w:lineRule="auto"/>
        <w:rPr>
          <w:rFonts w:hAnsi="宋体" w:cs="宋体"/>
          <w:color w:val="auto"/>
          <w:sz w:val="24"/>
          <w:highlight w:val="none"/>
        </w:rPr>
      </w:pPr>
    </w:p>
    <w:p w14:paraId="2631A2D0">
      <w:pPr>
        <w:spacing w:line="276" w:lineRule="auto"/>
        <w:rPr>
          <w:rFonts w:ascii="仿宋" w:hAnsi="仿宋" w:eastAsia="仿宋" w:cs="Courier New"/>
          <w:bCs/>
          <w:color w:val="auto"/>
          <w:sz w:val="28"/>
          <w:szCs w:val="28"/>
          <w:highlight w:val="none"/>
        </w:rPr>
      </w:pPr>
      <w:r>
        <w:rPr>
          <w:rFonts w:hint="eastAsia" w:ascii="仿宋" w:hAnsi="仿宋" w:eastAsia="仿宋" w:cs="Courier New"/>
          <w:bCs/>
          <w:color w:val="auto"/>
          <w:sz w:val="28"/>
          <w:szCs w:val="28"/>
          <w:highlight w:val="none"/>
        </w:rPr>
        <w:t>声明：除本服务偏离表所列的偏离服务外，其他所有服务均完全响应“招标文件”中的要求。</w:t>
      </w:r>
    </w:p>
    <w:p w14:paraId="51F63EBC">
      <w:pPr>
        <w:spacing w:line="500" w:lineRule="exact"/>
        <w:jc w:val="center"/>
        <w:rPr>
          <w:rFonts w:hint="eastAsia" w:ascii="仿宋" w:hAnsi="仿宋" w:eastAsia="仿宋"/>
          <w:b/>
          <w:bCs/>
          <w:color w:val="auto"/>
          <w:sz w:val="32"/>
          <w:szCs w:val="32"/>
          <w:highlight w:val="none"/>
        </w:rPr>
      </w:pPr>
    </w:p>
    <w:p w14:paraId="3A11D17F">
      <w:pPr>
        <w:spacing w:line="500" w:lineRule="exact"/>
        <w:jc w:val="center"/>
        <w:rPr>
          <w:rFonts w:hint="eastAsia" w:ascii="仿宋" w:hAnsi="仿宋" w:eastAsia="仿宋"/>
          <w:b/>
          <w:bCs/>
          <w:color w:val="auto"/>
          <w:sz w:val="32"/>
          <w:szCs w:val="32"/>
          <w:highlight w:val="none"/>
        </w:rPr>
      </w:pPr>
    </w:p>
    <w:p w14:paraId="466513B1">
      <w:pPr>
        <w:spacing w:line="500" w:lineRule="exact"/>
        <w:jc w:val="center"/>
        <w:rPr>
          <w:rFonts w:hint="eastAsia" w:ascii="仿宋" w:hAnsi="仿宋" w:eastAsia="仿宋"/>
          <w:b/>
          <w:bCs/>
          <w:color w:val="auto"/>
          <w:sz w:val="32"/>
          <w:szCs w:val="32"/>
          <w:highlight w:val="none"/>
        </w:rPr>
      </w:pPr>
    </w:p>
    <w:p w14:paraId="19C65A8C">
      <w:pPr>
        <w:spacing w:line="500" w:lineRule="exact"/>
        <w:jc w:val="center"/>
        <w:rPr>
          <w:rFonts w:hint="eastAsia" w:ascii="仿宋" w:hAnsi="仿宋" w:eastAsia="仿宋"/>
          <w:b/>
          <w:bCs/>
          <w:color w:val="auto"/>
          <w:sz w:val="32"/>
          <w:szCs w:val="32"/>
          <w:highlight w:val="none"/>
        </w:rPr>
      </w:pPr>
    </w:p>
    <w:p w14:paraId="79D1CFE5">
      <w:pPr>
        <w:spacing w:line="500" w:lineRule="exact"/>
        <w:jc w:val="center"/>
        <w:rPr>
          <w:rFonts w:hint="eastAsia" w:ascii="仿宋" w:hAnsi="仿宋" w:eastAsia="仿宋"/>
          <w:b/>
          <w:bCs/>
          <w:color w:val="auto"/>
          <w:sz w:val="32"/>
          <w:szCs w:val="32"/>
          <w:highlight w:val="none"/>
        </w:rPr>
      </w:pPr>
    </w:p>
    <w:p w14:paraId="609F497E">
      <w:pPr>
        <w:spacing w:line="500" w:lineRule="exact"/>
        <w:jc w:val="center"/>
        <w:rPr>
          <w:rFonts w:hint="eastAsia" w:ascii="仿宋" w:hAnsi="仿宋" w:eastAsia="仿宋"/>
          <w:b/>
          <w:bCs/>
          <w:color w:val="auto"/>
          <w:sz w:val="32"/>
          <w:szCs w:val="32"/>
          <w:highlight w:val="none"/>
        </w:rPr>
      </w:pPr>
    </w:p>
    <w:p w14:paraId="7CDDDA92">
      <w:pPr>
        <w:spacing w:line="500" w:lineRule="exact"/>
        <w:jc w:val="center"/>
        <w:rPr>
          <w:rFonts w:hint="eastAsia" w:ascii="仿宋" w:hAnsi="仿宋" w:eastAsia="仿宋"/>
          <w:b/>
          <w:bCs/>
          <w:color w:val="auto"/>
          <w:sz w:val="32"/>
          <w:szCs w:val="32"/>
          <w:highlight w:val="none"/>
        </w:rPr>
      </w:pPr>
    </w:p>
    <w:p w14:paraId="0C5BD0D0">
      <w:pPr>
        <w:spacing w:line="500" w:lineRule="exact"/>
        <w:jc w:val="center"/>
        <w:rPr>
          <w:rFonts w:hint="eastAsia" w:ascii="仿宋" w:hAnsi="仿宋" w:eastAsia="仿宋"/>
          <w:b/>
          <w:bCs/>
          <w:color w:val="auto"/>
          <w:sz w:val="32"/>
          <w:szCs w:val="32"/>
          <w:highlight w:val="none"/>
        </w:rPr>
      </w:pPr>
    </w:p>
    <w:p w14:paraId="1156C160">
      <w:pPr>
        <w:spacing w:line="500" w:lineRule="exact"/>
        <w:jc w:val="center"/>
        <w:rPr>
          <w:rFonts w:hint="eastAsia" w:ascii="仿宋" w:hAnsi="仿宋" w:eastAsia="仿宋"/>
          <w:b/>
          <w:bCs/>
          <w:color w:val="auto"/>
          <w:sz w:val="32"/>
          <w:szCs w:val="32"/>
          <w:highlight w:val="none"/>
        </w:rPr>
      </w:pPr>
    </w:p>
    <w:p w14:paraId="2F5D7E09">
      <w:pPr>
        <w:spacing w:line="500" w:lineRule="exact"/>
        <w:jc w:val="center"/>
        <w:rPr>
          <w:rFonts w:hint="eastAsia" w:ascii="仿宋" w:hAnsi="仿宋" w:eastAsia="仿宋"/>
          <w:b/>
          <w:bCs/>
          <w:color w:val="auto"/>
          <w:sz w:val="32"/>
          <w:szCs w:val="32"/>
          <w:highlight w:val="none"/>
        </w:rPr>
      </w:pPr>
    </w:p>
    <w:p w14:paraId="7300580D">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50345555">
      <w:pPr>
        <w:spacing w:line="500" w:lineRule="exact"/>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4</w:t>
      </w:r>
    </w:p>
    <w:p w14:paraId="33C11B37">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法定代表人授权书</w:t>
      </w:r>
    </w:p>
    <w:p w14:paraId="7706D876">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致：</w:t>
      </w:r>
      <w:r>
        <w:rPr>
          <w:rFonts w:hint="eastAsia" w:ascii="仿宋" w:hAnsi="仿宋" w:eastAsia="仿宋"/>
          <w:color w:val="auto"/>
          <w:sz w:val="32"/>
          <w:szCs w:val="32"/>
          <w:highlight w:val="none"/>
          <w:u w:val="single"/>
          <w:lang w:val="en-US" w:eastAsia="zh-CN"/>
        </w:rPr>
        <w:t xml:space="preserve"> 招标人     </w:t>
      </w:r>
    </w:p>
    <w:p w14:paraId="1DB66DDE">
      <w:pPr>
        <w:pStyle w:val="1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u w:val="none"/>
          <w:lang w:val="en-US" w:eastAsia="zh-CN"/>
        </w:rPr>
        <w:t>本人</w:t>
      </w:r>
      <w:r>
        <w:rPr>
          <w:rFonts w:hint="eastAsia" w:ascii="仿宋" w:hAnsi="仿宋" w:eastAsia="仿宋"/>
          <w:color w:val="auto"/>
          <w:sz w:val="32"/>
          <w:szCs w:val="32"/>
          <w:highlight w:val="none"/>
          <w:u w:val="single"/>
          <w:lang w:val="en-US" w:eastAsia="zh-CN"/>
        </w:rPr>
        <w:t>（姓名）</w:t>
      </w:r>
      <w:r>
        <w:rPr>
          <w:rFonts w:hint="eastAsia" w:ascii="仿宋" w:hAnsi="仿宋" w:eastAsia="仿宋"/>
          <w:color w:val="auto"/>
          <w:sz w:val="32"/>
          <w:szCs w:val="32"/>
          <w:highlight w:val="none"/>
          <w:u w:val="none"/>
          <w:lang w:val="en-US" w:eastAsia="zh-CN"/>
        </w:rPr>
        <w:t>系</w:t>
      </w:r>
      <w:r>
        <w:rPr>
          <w:rFonts w:hint="eastAsia" w:ascii="仿宋" w:hAnsi="仿宋" w:eastAsia="仿宋"/>
          <w:color w:val="auto"/>
          <w:sz w:val="32"/>
          <w:szCs w:val="32"/>
          <w:highlight w:val="none"/>
          <w:u w:val="single"/>
        </w:rPr>
        <w:t>（投标人全称）</w:t>
      </w:r>
      <w:r>
        <w:rPr>
          <w:rFonts w:hint="eastAsia" w:ascii="仿宋" w:hAnsi="仿宋" w:eastAsia="仿宋"/>
          <w:color w:val="auto"/>
          <w:sz w:val="32"/>
          <w:szCs w:val="32"/>
          <w:highlight w:val="none"/>
        </w:rPr>
        <w:t>法定代表人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现</w:t>
      </w:r>
      <w:r>
        <w:rPr>
          <w:rFonts w:hint="eastAsia" w:ascii="仿宋" w:hAnsi="仿宋" w:eastAsia="仿宋"/>
          <w:color w:val="auto"/>
          <w:sz w:val="32"/>
          <w:szCs w:val="32"/>
          <w:highlight w:val="none"/>
        </w:rPr>
        <w:t>授权</w:t>
      </w:r>
      <w:r>
        <w:rPr>
          <w:rFonts w:hint="eastAsia" w:ascii="仿宋" w:hAnsi="仿宋" w:eastAsia="仿宋"/>
          <w:color w:val="auto"/>
          <w:sz w:val="32"/>
          <w:szCs w:val="32"/>
          <w:highlight w:val="none"/>
          <w:u w:val="single"/>
        </w:rPr>
        <w:t xml:space="preserve"> （投标人代表姓名）</w:t>
      </w:r>
      <w:r>
        <w:rPr>
          <w:rFonts w:hint="eastAsia" w:ascii="仿宋" w:hAnsi="仿宋" w:eastAsia="仿宋"/>
          <w:color w:val="auto"/>
          <w:sz w:val="32"/>
          <w:szCs w:val="32"/>
          <w:highlight w:val="none"/>
        </w:rPr>
        <w:t>为投标人代表，代表本公司参加贵司组织的</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lang w:val="en-US" w:eastAsia="zh-CN"/>
        </w:rPr>
        <w:t>项目名称）</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u w:val="single"/>
        </w:rPr>
        <w:t>（招标编号</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735FE6AE">
      <w:pPr>
        <w:pStyle w:val="1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特此授权。</w:t>
      </w:r>
    </w:p>
    <w:p w14:paraId="5B701DCF">
      <w:pPr>
        <w:pStyle w:val="1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本授权书自出具之日起生效。</w:t>
      </w:r>
    </w:p>
    <w:p w14:paraId="7E8E5A38">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性别：</w:t>
      </w:r>
      <w:r>
        <w:rPr>
          <w:rFonts w:hint="eastAsia" w:ascii="仿宋" w:hAnsi="仿宋" w:eastAsia="仿宋"/>
          <w:color w:val="auto"/>
          <w:sz w:val="32"/>
          <w:szCs w:val="32"/>
          <w:highlight w:val="none"/>
          <w:u w:val="single"/>
          <w:lang w:val="en-US" w:eastAsia="zh-CN"/>
        </w:rPr>
        <w:t xml:space="preserve">              </w:t>
      </w:r>
    </w:p>
    <w:p w14:paraId="18988ECA">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身份证号：</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p w14:paraId="43DAA167">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部门：</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职务：</w:t>
      </w:r>
      <w:r>
        <w:rPr>
          <w:rFonts w:hint="eastAsia" w:ascii="仿宋" w:hAnsi="仿宋" w:eastAsia="仿宋"/>
          <w:color w:val="auto"/>
          <w:sz w:val="32"/>
          <w:szCs w:val="32"/>
          <w:highlight w:val="none"/>
          <w:u w:val="single"/>
          <w:lang w:val="en-US" w:eastAsia="zh-CN"/>
        </w:rPr>
        <w:t xml:space="preserve">              </w:t>
      </w:r>
    </w:p>
    <w:p w14:paraId="5D221727">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详细通讯地址：</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邮政编码</w:t>
      </w:r>
      <w:r>
        <w:rPr>
          <w:rFonts w:ascii="仿宋" w:hAnsi="仿宋" w:eastAsia="仿宋"/>
          <w:color w:val="auto"/>
          <w:sz w:val="32"/>
          <w:szCs w:val="32"/>
          <w:highlight w:val="none"/>
        </w:rPr>
        <w:t>:</w:t>
      </w:r>
      <w:r>
        <w:rPr>
          <w:rFonts w:hint="eastAsia" w:ascii="仿宋" w:hAnsi="仿宋" w:eastAsia="仿宋"/>
          <w:color w:val="auto"/>
          <w:sz w:val="32"/>
          <w:szCs w:val="32"/>
          <w:highlight w:val="none"/>
          <w:u w:val="single"/>
          <w:lang w:val="en-US" w:eastAsia="zh-CN"/>
        </w:rPr>
        <w:t xml:space="preserve">           </w:t>
      </w:r>
    </w:p>
    <w:p w14:paraId="67E5C1DD">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lang w:val="en-US" w:eastAsia="zh-CN"/>
        </w:rPr>
        <w:t xml:space="preserve">                     </w:t>
      </w:r>
    </w:p>
    <w:p w14:paraId="1E09BCE6">
      <w:pPr>
        <w:spacing w:line="500" w:lineRule="exact"/>
        <w:ind w:firstLine="5120" w:firstLineChars="1600"/>
        <w:rPr>
          <w:rFonts w:hint="eastAsia" w:ascii="仿宋" w:hAnsi="仿宋" w:eastAsia="仿宋"/>
          <w:color w:val="auto"/>
          <w:sz w:val="32"/>
          <w:szCs w:val="32"/>
          <w:highlight w:val="none"/>
        </w:rPr>
      </w:pPr>
    </w:p>
    <w:p w14:paraId="4D1F522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授权方</w:t>
      </w:r>
    </w:p>
    <w:p w14:paraId="7B7894D7">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投标人：</w:t>
      </w:r>
      <w:r>
        <w:rPr>
          <w:rFonts w:hint="eastAsia" w:ascii="仿宋" w:hAnsi="仿宋" w:eastAsia="仿宋"/>
          <w:color w:val="auto"/>
          <w:sz w:val="32"/>
          <w:szCs w:val="32"/>
          <w:highlight w:val="none"/>
          <w:u w:val="single"/>
        </w:rPr>
        <w:t>（全称并加盖公章）</w:t>
      </w:r>
      <w:r>
        <w:rPr>
          <w:rFonts w:hint="eastAsia" w:ascii="仿宋" w:hAnsi="仿宋" w:eastAsia="仿宋"/>
          <w:color w:val="auto"/>
          <w:sz w:val="32"/>
          <w:szCs w:val="32"/>
          <w:highlight w:val="none"/>
          <w:u w:val="single"/>
          <w:lang w:val="en-US" w:eastAsia="zh-CN"/>
        </w:rPr>
        <w:t xml:space="preserve">    </w:t>
      </w:r>
    </w:p>
    <w:p w14:paraId="6F71989E">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法定代表人签字：</w:t>
      </w:r>
      <w:r>
        <w:rPr>
          <w:rFonts w:hint="eastAsia" w:ascii="仿宋" w:hAnsi="仿宋" w:eastAsia="仿宋"/>
          <w:color w:val="auto"/>
          <w:sz w:val="32"/>
          <w:szCs w:val="32"/>
          <w:highlight w:val="none"/>
          <w:u w:val="single"/>
          <w:lang w:val="en-US" w:eastAsia="zh-CN"/>
        </w:rPr>
        <w:t xml:space="preserve">              </w:t>
      </w:r>
    </w:p>
    <w:p w14:paraId="77388FA5">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6D1F2CFC">
      <w:pPr>
        <w:spacing w:line="500" w:lineRule="exact"/>
        <w:ind w:firstLine="5120" w:firstLineChars="1600"/>
        <w:rPr>
          <w:rFonts w:hint="eastAsia" w:ascii="仿宋" w:hAnsi="仿宋" w:eastAsia="仿宋"/>
          <w:color w:val="auto"/>
          <w:sz w:val="32"/>
          <w:szCs w:val="32"/>
          <w:highlight w:val="none"/>
        </w:rPr>
      </w:pPr>
    </w:p>
    <w:p w14:paraId="71219B4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接受授权方</w:t>
      </w:r>
    </w:p>
    <w:p w14:paraId="4A5594D8">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5E1534A4">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F0F8C16">
      <w:pPr>
        <w:pStyle w:val="18"/>
        <w:rPr>
          <w:rFonts w:hint="eastAsia"/>
          <w:color w:val="auto"/>
          <w:highlight w:val="none"/>
          <w:lang w:val="en-US" w:eastAsia="zh-CN"/>
        </w:rPr>
      </w:pPr>
    </w:p>
    <w:p w14:paraId="1BB013A2">
      <w:pPr>
        <w:wordWrap w:val="0"/>
        <w:spacing w:line="360" w:lineRule="auto"/>
        <w:ind w:firstLine="723" w:firstLineChars="300"/>
        <w:rPr>
          <w:rFonts w:hint="eastAsia" w:ascii="宋体" w:hAnsi="宋体"/>
          <w:b/>
          <w:color w:val="auto"/>
          <w:sz w:val="24"/>
          <w:highlight w:val="none"/>
        </w:rPr>
      </w:pPr>
      <w:r>
        <w:rPr>
          <w:rFonts w:hint="eastAsia" w:ascii="宋体" w:hAnsi="宋体" w:cs="Times New Roman"/>
          <w:b/>
          <w:color w:val="auto"/>
          <w:sz w:val="24"/>
          <w:highlight w:val="none"/>
        </w:rPr>
        <w:t>后附：法定代表人身份证</w:t>
      </w:r>
      <w:r>
        <w:rPr>
          <w:rFonts w:hint="eastAsia" w:ascii="宋体" w:hAnsi="宋体" w:cs="Times New Roman"/>
          <w:b/>
          <w:color w:val="auto"/>
          <w:sz w:val="24"/>
          <w:highlight w:val="none"/>
          <w:lang w:val="en-US" w:eastAsia="zh-CN"/>
        </w:rPr>
        <w:t>正反面</w:t>
      </w:r>
      <w:r>
        <w:rPr>
          <w:rFonts w:hint="eastAsia" w:ascii="宋体" w:hAnsi="宋体" w:cs="Times New Roman"/>
          <w:b/>
          <w:color w:val="auto"/>
          <w:sz w:val="24"/>
          <w:highlight w:val="none"/>
        </w:rPr>
        <w:t>复印件、投标</w:t>
      </w:r>
      <w:r>
        <w:rPr>
          <w:rFonts w:hint="eastAsia" w:ascii="宋体" w:hAnsi="宋体"/>
          <w:b/>
          <w:color w:val="auto"/>
          <w:sz w:val="24"/>
          <w:highlight w:val="none"/>
        </w:rPr>
        <w:t>人代表身份证正反面复印件</w:t>
      </w:r>
    </w:p>
    <w:p w14:paraId="4EFBE606">
      <w:pPr>
        <w:wordWrap/>
        <w:spacing w:line="240" w:lineRule="auto"/>
        <w:ind w:firstLine="0" w:firstLineChars="0"/>
        <w:rPr>
          <w:rFonts w:hint="eastAsia" w:ascii="宋体" w:hAnsi="宋体"/>
          <w:b/>
          <w:color w:val="auto"/>
          <w:sz w:val="24"/>
          <w:highlight w:val="none"/>
        </w:rPr>
      </w:pPr>
      <w:r>
        <w:rPr>
          <w:rFonts w:hint="eastAsia" w:ascii="宋体" w:hAnsi="宋体"/>
          <w:b/>
          <w:color w:val="auto"/>
          <w:sz w:val="24"/>
          <w:highlight w:val="none"/>
        </w:rPr>
        <w:br w:type="page"/>
      </w:r>
    </w:p>
    <w:p w14:paraId="32162921">
      <w:pPr>
        <w:wordWrap w:val="0"/>
        <w:spacing w:line="360" w:lineRule="auto"/>
        <w:ind w:firstLine="0" w:firstLineChars="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 xml:space="preserve">   </w:t>
      </w:r>
    </w:p>
    <w:p w14:paraId="3E383007">
      <w:pPr>
        <w:spacing w:line="500" w:lineRule="exact"/>
        <w:rPr>
          <w:rFonts w:ascii="仿宋" w:hAnsi="仿宋" w:eastAsia="仿宋"/>
          <w:b/>
          <w:bCs/>
          <w:color w:val="auto"/>
          <w:sz w:val="32"/>
          <w:szCs w:val="32"/>
          <w:highlight w:val="none"/>
        </w:rPr>
      </w:pPr>
    </w:p>
    <w:p w14:paraId="4466CEFD">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法人营业执照</w:t>
      </w:r>
    </w:p>
    <w:p w14:paraId="0971978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6E4854F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u w:val="single"/>
          <w:lang w:val="en-US" w:eastAsia="zh-CN"/>
        </w:rPr>
        <w:t xml:space="preserve">招标人 </w:t>
      </w:r>
      <w:r>
        <w:rPr>
          <w:rFonts w:hint="eastAsia" w:ascii="仿宋" w:hAnsi="仿宋" w:eastAsia="仿宋"/>
          <w:color w:val="auto"/>
          <w:sz w:val="32"/>
          <w:szCs w:val="32"/>
          <w:highlight w:val="none"/>
        </w:rPr>
        <w:t>：</w:t>
      </w:r>
    </w:p>
    <w:p w14:paraId="3E0DFF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auto"/>
          <w:sz w:val="32"/>
          <w:szCs w:val="32"/>
          <w:highlight w:val="none"/>
          <w:u w:val="single"/>
        </w:rPr>
      </w:pPr>
      <w:r>
        <w:rPr>
          <w:rFonts w:hint="eastAsia" w:ascii="仿宋" w:hAnsi="仿宋" w:eastAsia="仿宋"/>
          <w:color w:val="auto"/>
          <w:sz w:val="32"/>
          <w:szCs w:val="32"/>
          <w:highlight w:val="none"/>
        </w:rPr>
        <w:t>现附上由</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（签发机关名称）</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签发的我方营业执照复印件，该执照</w:t>
      </w:r>
      <w:r>
        <w:rPr>
          <w:rFonts w:hint="eastAsia" w:ascii="仿宋" w:hAnsi="仿宋" w:eastAsia="仿宋"/>
          <w:color w:val="auto"/>
          <w:sz w:val="32"/>
          <w:szCs w:val="32"/>
          <w:highlight w:val="none"/>
          <w:lang w:val="en-US" w:eastAsia="zh-CN"/>
        </w:rPr>
        <w:t>复印件与原件一致，</w:t>
      </w:r>
      <w:r>
        <w:rPr>
          <w:rFonts w:hint="eastAsia" w:ascii="仿宋" w:hAnsi="仿宋" w:eastAsia="仿宋"/>
          <w:color w:val="auto"/>
          <w:sz w:val="32"/>
          <w:szCs w:val="32"/>
          <w:highlight w:val="none"/>
        </w:rPr>
        <w:t>真实有效。</w:t>
      </w:r>
    </w:p>
    <w:p w14:paraId="34C1873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DFA4900">
      <w:pPr>
        <w:pStyle w:val="18"/>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1A3E14DA">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 标 人（全称并加盖公章）：</w:t>
      </w:r>
      <w:r>
        <w:rPr>
          <w:rFonts w:hint="eastAsia" w:ascii="仿宋" w:hAnsi="仿宋" w:eastAsia="仿宋"/>
          <w:color w:val="auto"/>
          <w:sz w:val="32"/>
          <w:szCs w:val="32"/>
          <w:highlight w:val="none"/>
          <w:u w:val="single"/>
          <w:lang w:val="en-US" w:eastAsia="zh-CN"/>
        </w:rPr>
        <w:t xml:space="preserve">         </w:t>
      </w:r>
    </w:p>
    <w:p w14:paraId="61A58DBF">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67DA474B">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647E5D3C">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06EBB092">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 xml:space="preserve">  </w:t>
      </w:r>
    </w:p>
    <w:p w14:paraId="1F316064">
      <w:pPr>
        <w:spacing w:before="120" w:beforeLines="50" w:after="120" w:afterLines="50"/>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带“★”号条款逐条响应表</w:t>
      </w:r>
    </w:p>
    <w:p w14:paraId="1A9C22D4">
      <w:pPr>
        <w:pStyle w:val="18"/>
        <w:rPr>
          <w:color w:val="auto"/>
          <w:highlight w:val="none"/>
        </w:rPr>
      </w:pPr>
    </w:p>
    <w:p w14:paraId="534EB2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32"/>
          <w:szCs w:val="32"/>
          <w:highlight w:val="none"/>
        </w:rPr>
      </w:pPr>
      <w:r>
        <w:rPr>
          <w:rFonts w:hint="eastAsia" w:ascii="仿宋" w:hAnsi="仿宋" w:eastAsia="仿宋" w:cs="宋体"/>
          <w:color w:val="auto"/>
          <w:sz w:val="32"/>
          <w:szCs w:val="32"/>
          <w:highlight w:val="none"/>
        </w:rPr>
        <w:t>项目名称：</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 xml:space="preserve">  </w:t>
      </w:r>
    </w:p>
    <w:p w14:paraId="22DF67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宋体"/>
          <w:color w:val="auto"/>
          <w:sz w:val="32"/>
          <w:szCs w:val="32"/>
          <w:highlight w:val="none"/>
          <w:u w:val="single"/>
          <w:lang w:val="en-US" w:eastAsia="zh-CN"/>
        </w:rPr>
      </w:pPr>
      <w:r>
        <w:rPr>
          <w:rFonts w:hint="eastAsia" w:ascii="仿宋" w:hAnsi="仿宋" w:eastAsia="仿宋"/>
          <w:color w:val="auto"/>
          <w:sz w:val="32"/>
          <w:szCs w:val="32"/>
          <w:highlight w:val="none"/>
        </w:rPr>
        <w:t>招标编号</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u w:val="single"/>
          <w:lang w:val="en-US" w:eastAsia="zh-CN"/>
        </w:rPr>
        <w:t xml:space="preserve">            </w:t>
      </w:r>
    </w:p>
    <w:p w14:paraId="0B9111E6">
      <w:pPr>
        <w:pStyle w:val="18"/>
        <w:rPr>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5CBB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5D65707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序号</w:t>
            </w:r>
          </w:p>
        </w:tc>
        <w:tc>
          <w:tcPr>
            <w:tcW w:w="3733" w:type="dxa"/>
            <w:vAlign w:val="center"/>
          </w:tcPr>
          <w:p w14:paraId="793802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招标文件中带</w:t>
            </w:r>
            <w:r>
              <w:rPr>
                <w:rFonts w:hint="eastAsia" w:ascii="仿宋" w:hAnsi="仿宋" w:eastAsia="仿宋" w:cs="仿宋"/>
                <w:bCs/>
                <w:color w:val="auto"/>
                <w:sz w:val="28"/>
                <w:szCs w:val="28"/>
                <w:highlight w:val="none"/>
              </w:rPr>
              <w:t>“★”号的条款</w:t>
            </w:r>
          </w:p>
        </w:tc>
        <w:tc>
          <w:tcPr>
            <w:tcW w:w="2117" w:type="dxa"/>
            <w:vAlign w:val="center"/>
          </w:tcPr>
          <w:p w14:paraId="1A4BB43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投标响应内容</w:t>
            </w:r>
          </w:p>
        </w:tc>
        <w:tc>
          <w:tcPr>
            <w:tcW w:w="2495" w:type="dxa"/>
            <w:vAlign w:val="center"/>
          </w:tcPr>
          <w:p w14:paraId="4C3D2F2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对应投标文件页码</w:t>
            </w:r>
          </w:p>
        </w:tc>
      </w:tr>
      <w:tr w14:paraId="6899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E8E365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360456E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1B43C5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2429FF2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1E6D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AEDD6F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67F6792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13BDD76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6361026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2227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3F3885F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77310A0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1D5EA74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7ADFC6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0833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CBB184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26CE16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947EE2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5195AA7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5F30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A98388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111F5E8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3AF8FE9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517D759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bl>
    <w:p w14:paraId="30CDC2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注：以上★号条款为招标文件中的所有★号条款，无论是技术指标或文字描述要求，投标人必须逐条如实地书面响应及承诺。（说明：若无带“★”号条款则无需提供此表）</w:t>
      </w:r>
    </w:p>
    <w:p w14:paraId="02E87BC3">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auto"/>
          <w:highlight w:val="none"/>
        </w:rPr>
      </w:pPr>
    </w:p>
    <w:p w14:paraId="74B0F03C">
      <w:pPr>
        <w:pStyle w:val="18"/>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355C7E95">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4C3E23CB">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6D313B31">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期： </w:t>
      </w:r>
      <w:r>
        <w:rPr>
          <w:rFonts w:hint="eastAsia" w:ascii="仿宋" w:hAnsi="仿宋" w:eastAsia="仿宋"/>
          <w:color w:val="auto"/>
          <w:sz w:val="32"/>
          <w:szCs w:val="32"/>
          <w:highlight w:val="none"/>
          <w:u w:val="single"/>
          <w:lang w:val="en-US" w:eastAsia="zh-CN"/>
        </w:rPr>
        <w:t xml:space="preserve">                       </w:t>
      </w:r>
    </w:p>
    <w:p w14:paraId="7AB92AB6">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olor w:val="auto"/>
          <w:sz w:val="32"/>
          <w:szCs w:val="32"/>
          <w:highlight w:val="none"/>
        </w:rPr>
      </w:pPr>
    </w:p>
    <w:p w14:paraId="282DDC82">
      <w:pPr>
        <w:spacing w:line="540" w:lineRule="exact"/>
        <w:ind w:firstLine="5600" w:firstLineChars="1750"/>
        <w:rPr>
          <w:rFonts w:hint="eastAsia" w:ascii="仿宋" w:hAnsi="仿宋" w:eastAsia="仿宋"/>
          <w:color w:val="auto"/>
          <w:sz w:val="32"/>
          <w:szCs w:val="32"/>
          <w:highlight w:val="none"/>
        </w:rPr>
      </w:pPr>
    </w:p>
    <w:p w14:paraId="1DF8C878">
      <w:pPr>
        <w:spacing w:line="540" w:lineRule="exact"/>
        <w:ind w:firstLine="5600" w:firstLineChars="1750"/>
        <w:rPr>
          <w:rFonts w:hint="eastAsia" w:ascii="仿宋" w:hAnsi="仿宋" w:eastAsia="仿宋"/>
          <w:color w:val="auto"/>
          <w:sz w:val="32"/>
          <w:szCs w:val="32"/>
          <w:highlight w:val="none"/>
        </w:rPr>
      </w:pPr>
    </w:p>
    <w:p w14:paraId="027DEA35">
      <w:pPr>
        <w:spacing w:line="540" w:lineRule="exact"/>
        <w:ind w:firstLine="5600" w:firstLineChars="1750"/>
        <w:rPr>
          <w:rFonts w:hint="eastAsia" w:ascii="仿宋" w:hAnsi="仿宋" w:eastAsia="仿宋"/>
          <w:color w:val="auto"/>
          <w:sz w:val="32"/>
          <w:szCs w:val="32"/>
          <w:highlight w:val="none"/>
        </w:rPr>
      </w:pPr>
    </w:p>
    <w:p w14:paraId="0D491152">
      <w:pPr>
        <w:spacing w:line="540" w:lineRule="exact"/>
        <w:ind w:firstLine="5600" w:firstLineChars="1750"/>
        <w:rPr>
          <w:rFonts w:hint="eastAsia" w:ascii="仿宋" w:hAnsi="仿宋" w:eastAsia="仿宋"/>
          <w:color w:val="auto"/>
          <w:sz w:val="32"/>
          <w:szCs w:val="32"/>
          <w:highlight w:val="none"/>
        </w:rPr>
      </w:pPr>
    </w:p>
    <w:p w14:paraId="7694CC57">
      <w:pPr>
        <w:spacing w:line="540" w:lineRule="exact"/>
        <w:ind w:firstLine="5600" w:firstLineChars="1750"/>
        <w:rPr>
          <w:rFonts w:hint="eastAsia" w:ascii="仿宋" w:hAnsi="仿宋" w:eastAsia="仿宋"/>
          <w:color w:val="auto"/>
          <w:sz w:val="32"/>
          <w:szCs w:val="32"/>
          <w:highlight w:val="none"/>
        </w:rPr>
      </w:pPr>
    </w:p>
    <w:p w14:paraId="33C30B47">
      <w:pPr>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10A31E6A">
      <w:pPr>
        <w:jc w:val="left"/>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7</w:t>
      </w:r>
    </w:p>
    <w:p w14:paraId="072AFB68">
      <w:pPr>
        <w:spacing w:line="500" w:lineRule="exact"/>
        <w:rPr>
          <w:rFonts w:ascii="仿宋" w:hAnsi="仿宋" w:eastAsia="仿宋"/>
          <w:b/>
          <w:bCs/>
          <w:color w:val="auto"/>
          <w:sz w:val="32"/>
          <w:szCs w:val="32"/>
          <w:highlight w:val="none"/>
        </w:rPr>
      </w:pPr>
    </w:p>
    <w:p w14:paraId="779CABA2">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投标人在投标截止时间前仍在服务期限内的餐饮服务</w:t>
      </w:r>
    </w:p>
    <w:p w14:paraId="5183520B">
      <w:pPr>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（包括合同等相关证明材料）</w:t>
      </w:r>
    </w:p>
    <w:tbl>
      <w:tblPr>
        <w:tblStyle w:val="19"/>
        <w:tblW w:w="8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570"/>
        <w:gridCol w:w="2164"/>
        <w:gridCol w:w="1543"/>
        <w:gridCol w:w="1701"/>
      </w:tblGrid>
      <w:tr w14:paraId="20063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8" w:hRule="exact"/>
          <w:jc w:val="center"/>
        </w:trPr>
        <w:tc>
          <w:tcPr>
            <w:tcW w:w="1512" w:type="dxa"/>
            <w:vAlign w:val="center"/>
          </w:tcPr>
          <w:p w14:paraId="7044FF2B">
            <w:pPr>
              <w:jc w:val="center"/>
              <w:rPr>
                <w:color w:val="auto"/>
                <w:highlight w:val="none"/>
              </w:rPr>
            </w:pPr>
            <w:r>
              <w:rPr>
                <w:rFonts w:hint="eastAsia"/>
                <w:color w:val="auto"/>
                <w:highlight w:val="none"/>
              </w:rPr>
              <w:t>地区</w:t>
            </w:r>
          </w:p>
        </w:tc>
        <w:tc>
          <w:tcPr>
            <w:tcW w:w="1570" w:type="dxa"/>
            <w:vAlign w:val="center"/>
          </w:tcPr>
          <w:p w14:paraId="1CD6D63D">
            <w:pPr>
              <w:jc w:val="center"/>
              <w:rPr>
                <w:color w:val="auto"/>
                <w:highlight w:val="none"/>
              </w:rPr>
            </w:pPr>
            <w:r>
              <w:rPr>
                <w:rFonts w:hint="eastAsia"/>
                <w:color w:val="auto"/>
                <w:highlight w:val="none"/>
              </w:rPr>
              <w:t>合作对象名称</w:t>
            </w:r>
          </w:p>
        </w:tc>
        <w:tc>
          <w:tcPr>
            <w:tcW w:w="2164" w:type="dxa"/>
            <w:vAlign w:val="center"/>
          </w:tcPr>
          <w:p w14:paraId="262D7C7A">
            <w:pPr>
              <w:jc w:val="center"/>
              <w:rPr>
                <w:color w:val="auto"/>
                <w:highlight w:val="none"/>
              </w:rPr>
            </w:pPr>
            <w:r>
              <w:rPr>
                <w:rFonts w:hint="eastAsia"/>
                <w:color w:val="auto"/>
                <w:highlight w:val="none"/>
              </w:rPr>
              <w:t>合作对象性质</w:t>
            </w:r>
          </w:p>
        </w:tc>
        <w:tc>
          <w:tcPr>
            <w:tcW w:w="1543" w:type="dxa"/>
            <w:vAlign w:val="center"/>
          </w:tcPr>
          <w:p w14:paraId="6198B326">
            <w:pPr>
              <w:jc w:val="center"/>
              <w:rPr>
                <w:color w:val="auto"/>
                <w:highlight w:val="none"/>
              </w:rPr>
            </w:pPr>
            <w:r>
              <w:rPr>
                <w:rFonts w:hint="eastAsia"/>
                <w:color w:val="auto"/>
                <w:highlight w:val="none"/>
              </w:rPr>
              <w:t>合作时间（列明起止时间）</w:t>
            </w:r>
          </w:p>
        </w:tc>
        <w:tc>
          <w:tcPr>
            <w:tcW w:w="1701" w:type="dxa"/>
            <w:vAlign w:val="center"/>
          </w:tcPr>
          <w:p w14:paraId="4B83720F">
            <w:pPr>
              <w:jc w:val="center"/>
              <w:rPr>
                <w:color w:val="auto"/>
                <w:highlight w:val="none"/>
              </w:rPr>
            </w:pPr>
            <w:r>
              <w:rPr>
                <w:rFonts w:hint="eastAsia"/>
                <w:color w:val="auto"/>
                <w:highlight w:val="none"/>
              </w:rPr>
              <w:t>合作规模（供餐人数）</w:t>
            </w:r>
          </w:p>
        </w:tc>
      </w:tr>
      <w:tr w14:paraId="2A98D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6FDC4679">
            <w:pPr>
              <w:jc w:val="center"/>
              <w:rPr>
                <w:color w:val="auto"/>
                <w:highlight w:val="none"/>
              </w:rPr>
            </w:pPr>
          </w:p>
        </w:tc>
        <w:tc>
          <w:tcPr>
            <w:tcW w:w="1570" w:type="dxa"/>
            <w:vAlign w:val="center"/>
          </w:tcPr>
          <w:p w14:paraId="7277B2AB">
            <w:pPr>
              <w:jc w:val="center"/>
              <w:rPr>
                <w:color w:val="auto"/>
                <w:highlight w:val="none"/>
              </w:rPr>
            </w:pPr>
          </w:p>
        </w:tc>
        <w:tc>
          <w:tcPr>
            <w:tcW w:w="2164" w:type="dxa"/>
            <w:vAlign w:val="center"/>
          </w:tcPr>
          <w:p w14:paraId="3A396030">
            <w:pPr>
              <w:jc w:val="center"/>
              <w:rPr>
                <w:color w:val="auto"/>
                <w:highlight w:val="none"/>
              </w:rPr>
            </w:pPr>
          </w:p>
        </w:tc>
        <w:tc>
          <w:tcPr>
            <w:tcW w:w="1543" w:type="dxa"/>
            <w:vAlign w:val="center"/>
          </w:tcPr>
          <w:p w14:paraId="3D3CA306">
            <w:pPr>
              <w:jc w:val="center"/>
              <w:rPr>
                <w:color w:val="auto"/>
                <w:highlight w:val="none"/>
              </w:rPr>
            </w:pPr>
          </w:p>
        </w:tc>
        <w:tc>
          <w:tcPr>
            <w:tcW w:w="1701" w:type="dxa"/>
            <w:vAlign w:val="center"/>
          </w:tcPr>
          <w:p w14:paraId="64EB1999">
            <w:pPr>
              <w:jc w:val="center"/>
              <w:rPr>
                <w:color w:val="auto"/>
                <w:highlight w:val="none"/>
              </w:rPr>
            </w:pPr>
          </w:p>
        </w:tc>
      </w:tr>
      <w:tr w14:paraId="72F7F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60E4CE8F">
            <w:pPr>
              <w:jc w:val="center"/>
              <w:rPr>
                <w:color w:val="auto"/>
                <w:highlight w:val="none"/>
              </w:rPr>
            </w:pPr>
          </w:p>
        </w:tc>
        <w:tc>
          <w:tcPr>
            <w:tcW w:w="1570" w:type="dxa"/>
            <w:vAlign w:val="center"/>
          </w:tcPr>
          <w:p w14:paraId="3A42F470">
            <w:pPr>
              <w:jc w:val="center"/>
              <w:rPr>
                <w:color w:val="auto"/>
                <w:highlight w:val="none"/>
              </w:rPr>
            </w:pPr>
          </w:p>
        </w:tc>
        <w:tc>
          <w:tcPr>
            <w:tcW w:w="2164" w:type="dxa"/>
            <w:vAlign w:val="center"/>
          </w:tcPr>
          <w:p w14:paraId="100E6805">
            <w:pPr>
              <w:jc w:val="center"/>
              <w:rPr>
                <w:color w:val="auto"/>
                <w:highlight w:val="none"/>
              </w:rPr>
            </w:pPr>
          </w:p>
        </w:tc>
        <w:tc>
          <w:tcPr>
            <w:tcW w:w="1543" w:type="dxa"/>
            <w:vAlign w:val="center"/>
          </w:tcPr>
          <w:p w14:paraId="3CC2F06A">
            <w:pPr>
              <w:jc w:val="center"/>
              <w:rPr>
                <w:color w:val="auto"/>
                <w:highlight w:val="none"/>
              </w:rPr>
            </w:pPr>
          </w:p>
        </w:tc>
        <w:tc>
          <w:tcPr>
            <w:tcW w:w="1701" w:type="dxa"/>
            <w:vAlign w:val="center"/>
          </w:tcPr>
          <w:p w14:paraId="0121F3E4">
            <w:pPr>
              <w:jc w:val="center"/>
              <w:rPr>
                <w:color w:val="auto"/>
                <w:highlight w:val="none"/>
              </w:rPr>
            </w:pPr>
          </w:p>
        </w:tc>
      </w:tr>
      <w:tr w14:paraId="6F32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23FFB187">
            <w:pPr>
              <w:jc w:val="center"/>
              <w:rPr>
                <w:color w:val="auto"/>
                <w:highlight w:val="none"/>
              </w:rPr>
            </w:pPr>
          </w:p>
        </w:tc>
        <w:tc>
          <w:tcPr>
            <w:tcW w:w="1570" w:type="dxa"/>
            <w:vAlign w:val="center"/>
          </w:tcPr>
          <w:p w14:paraId="13CC43F4">
            <w:pPr>
              <w:jc w:val="center"/>
              <w:rPr>
                <w:color w:val="auto"/>
                <w:highlight w:val="none"/>
              </w:rPr>
            </w:pPr>
          </w:p>
        </w:tc>
        <w:tc>
          <w:tcPr>
            <w:tcW w:w="2164" w:type="dxa"/>
            <w:vAlign w:val="center"/>
          </w:tcPr>
          <w:p w14:paraId="065016A2">
            <w:pPr>
              <w:jc w:val="center"/>
              <w:rPr>
                <w:color w:val="auto"/>
                <w:highlight w:val="none"/>
              </w:rPr>
            </w:pPr>
          </w:p>
        </w:tc>
        <w:tc>
          <w:tcPr>
            <w:tcW w:w="1543" w:type="dxa"/>
            <w:vAlign w:val="center"/>
          </w:tcPr>
          <w:p w14:paraId="3623C857">
            <w:pPr>
              <w:jc w:val="center"/>
              <w:rPr>
                <w:color w:val="auto"/>
                <w:highlight w:val="none"/>
              </w:rPr>
            </w:pPr>
          </w:p>
        </w:tc>
        <w:tc>
          <w:tcPr>
            <w:tcW w:w="1701" w:type="dxa"/>
            <w:vAlign w:val="center"/>
          </w:tcPr>
          <w:p w14:paraId="635409FF">
            <w:pPr>
              <w:jc w:val="center"/>
              <w:rPr>
                <w:color w:val="auto"/>
                <w:highlight w:val="none"/>
              </w:rPr>
            </w:pPr>
          </w:p>
        </w:tc>
      </w:tr>
      <w:tr w14:paraId="57F8F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369C5F84">
            <w:pPr>
              <w:jc w:val="center"/>
              <w:rPr>
                <w:color w:val="auto"/>
                <w:highlight w:val="none"/>
              </w:rPr>
            </w:pPr>
          </w:p>
        </w:tc>
        <w:tc>
          <w:tcPr>
            <w:tcW w:w="1570" w:type="dxa"/>
            <w:vAlign w:val="center"/>
          </w:tcPr>
          <w:p w14:paraId="77D7AC53">
            <w:pPr>
              <w:jc w:val="center"/>
              <w:rPr>
                <w:color w:val="auto"/>
                <w:highlight w:val="none"/>
              </w:rPr>
            </w:pPr>
          </w:p>
        </w:tc>
        <w:tc>
          <w:tcPr>
            <w:tcW w:w="2164" w:type="dxa"/>
            <w:vAlign w:val="center"/>
          </w:tcPr>
          <w:p w14:paraId="4C763388">
            <w:pPr>
              <w:jc w:val="center"/>
              <w:rPr>
                <w:color w:val="auto"/>
                <w:highlight w:val="none"/>
              </w:rPr>
            </w:pPr>
          </w:p>
        </w:tc>
        <w:tc>
          <w:tcPr>
            <w:tcW w:w="1543" w:type="dxa"/>
            <w:vAlign w:val="center"/>
          </w:tcPr>
          <w:p w14:paraId="0A733404">
            <w:pPr>
              <w:jc w:val="center"/>
              <w:rPr>
                <w:color w:val="auto"/>
                <w:highlight w:val="none"/>
              </w:rPr>
            </w:pPr>
          </w:p>
        </w:tc>
        <w:tc>
          <w:tcPr>
            <w:tcW w:w="1701" w:type="dxa"/>
            <w:vAlign w:val="center"/>
          </w:tcPr>
          <w:p w14:paraId="729CD32F">
            <w:pPr>
              <w:jc w:val="center"/>
              <w:rPr>
                <w:color w:val="auto"/>
                <w:highlight w:val="none"/>
              </w:rPr>
            </w:pPr>
          </w:p>
        </w:tc>
      </w:tr>
      <w:tr w14:paraId="176DF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69D902B8">
            <w:pPr>
              <w:jc w:val="center"/>
              <w:rPr>
                <w:color w:val="auto"/>
                <w:highlight w:val="none"/>
              </w:rPr>
            </w:pPr>
          </w:p>
        </w:tc>
        <w:tc>
          <w:tcPr>
            <w:tcW w:w="1570" w:type="dxa"/>
            <w:vAlign w:val="center"/>
          </w:tcPr>
          <w:p w14:paraId="1AA26085">
            <w:pPr>
              <w:jc w:val="center"/>
              <w:rPr>
                <w:color w:val="auto"/>
                <w:highlight w:val="none"/>
              </w:rPr>
            </w:pPr>
          </w:p>
        </w:tc>
        <w:tc>
          <w:tcPr>
            <w:tcW w:w="2164" w:type="dxa"/>
            <w:vAlign w:val="center"/>
          </w:tcPr>
          <w:p w14:paraId="7366A535">
            <w:pPr>
              <w:jc w:val="center"/>
              <w:rPr>
                <w:color w:val="auto"/>
                <w:highlight w:val="none"/>
              </w:rPr>
            </w:pPr>
          </w:p>
        </w:tc>
        <w:tc>
          <w:tcPr>
            <w:tcW w:w="1543" w:type="dxa"/>
            <w:vAlign w:val="center"/>
          </w:tcPr>
          <w:p w14:paraId="41D8D567">
            <w:pPr>
              <w:jc w:val="center"/>
              <w:rPr>
                <w:color w:val="auto"/>
                <w:highlight w:val="none"/>
              </w:rPr>
            </w:pPr>
          </w:p>
        </w:tc>
        <w:tc>
          <w:tcPr>
            <w:tcW w:w="1701" w:type="dxa"/>
            <w:vAlign w:val="center"/>
          </w:tcPr>
          <w:p w14:paraId="11728528">
            <w:pPr>
              <w:jc w:val="center"/>
              <w:rPr>
                <w:color w:val="auto"/>
                <w:highlight w:val="none"/>
              </w:rPr>
            </w:pPr>
          </w:p>
        </w:tc>
      </w:tr>
      <w:tr w14:paraId="5B122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2E35C280">
            <w:pPr>
              <w:jc w:val="center"/>
              <w:rPr>
                <w:color w:val="auto"/>
                <w:highlight w:val="none"/>
              </w:rPr>
            </w:pPr>
          </w:p>
        </w:tc>
        <w:tc>
          <w:tcPr>
            <w:tcW w:w="1570" w:type="dxa"/>
            <w:vAlign w:val="center"/>
          </w:tcPr>
          <w:p w14:paraId="7AF85261">
            <w:pPr>
              <w:jc w:val="center"/>
              <w:rPr>
                <w:color w:val="auto"/>
                <w:highlight w:val="none"/>
              </w:rPr>
            </w:pPr>
          </w:p>
        </w:tc>
        <w:tc>
          <w:tcPr>
            <w:tcW w:w="2164" w:type="dxa"/>
            <w:vAlign w:val="center"/>
          </w:tcPr>
          <w:p w14:paraId="716719D3">
            <w:pPr>
              <w:jc w:val="center"/>
              <w:rPr>
                <w:color w:val="auto"/>
                <w:highlight w:val="none"/>
              </w:rPr>
            </w:pPr>
          </w:p>
        </w:tc>
        <w:tc>
          <w:tcPr>
            <w:tcW w:w="1543" w:type="dxa"/>
            <w:vAlign w:val="center"/>
          </w:tcPr>
          <w:p w14:paraId="0FBEE3ED">
            <w:pPr>
              <w:jc w:val="center"/>
              <w:rPr>
                <w:color w:val="auto"/>
                <w:highlight w:val="none"/>
              </w:rPr>
            </w:pPr>
          </w:p>
        </w:tc>
        <w:tc>
          <w:tcPr>
            <w:tcW w:w="1701" w:type="dxa"/>
            <w:vAlign w:val="center"/>
          </w:tcPr>
          <w:p w14:paraId="42A674C8">
            <w:pPr>
              <w:jc w:val="center"/>
              <w:rPr>
                <w:color w:val="auto"/>
                <w:highlight w:val="none"/>
              </w:rPr>
            </w:pPr>
          </w:p>
        </w:tc>
      </w:tr>
      <w:tr w14:paraId="36E3B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04C89352">
            <w:pPr>
              <w:jc w:val="center"/>
              <w:rPr>
                <w:color w:val="auto"/>
                <w:highlight w:val="none"/>
              </w:rPr>
            </w:pPr>
          </w:p>
        </w:tc>
        <w:tc>
          <w:tcPr>
            <w:tcW w:w="1570" w:type="dxa"/>
            <w:vAlign w:val="center"/>
          </w:tcPr>
          <w:p w14:paraId="3DAA1BE1">
            <w:pPr>
              <w:jc w:val="center"/>
              <w:rPr>
                <w:color w:val="auto"/>
                <w:highlight w:val="none"/>
              </w:rPr>
            </w:pPr>
          </w:p>
        </w:tc>
        <w:tc>
          <w:tcPr>
            <w:tcW w:w="2164" w:type="dxa"/>
            <w:vAlign w:val="center"/>
          </w:tcPr>
          <w:p w14:paraId="0C5FE765">
            <w:pPr>
              <w:jc w:val="center"/>
              <w:rPr>
                <w:color w:val="auto"/>
                <w:highlight w:val="none"/>
              </w:rPr>
            </w:pPr>
          </w:p>
        </w:tc>
        <w:tc>
          <w:tcPr>
            <w:tcW w:w="1543" w:type="dxa"/>
            <w:vAlign w:val="center"/>
          </w:tcPr>
          <w:p w14:paraId="043E437B">
            <w:pPr>
              <w:jc w:val="center"/>
              <w:rPr>
                <w:color w:val="auto"/>
                <w:highlight w:val="none"/>
              </w:rPr>
            </w:pPr>
          </w:p>
        </w:tc>
        <w:tc>
          <w:tcPr>
            <w:tcW w:w="1701" w:type="dxa"/>
            <w:vAlign w:val="center"/>
          </w:tcPr>
          <w:p w14:paraId="46429109">
            <w:pPr>
              <w:jc w:val="center"/>
              <w:rPr>
                <w:color w:val="auto"/>
                <w:highlight w:val="none"/>
              </w:rPr>
            </w:pPr>
          </w:p>
        </w:tc>
      </w:tr>
      <w:tr w14:paraId="1A2F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07645A81">
            <w:pPr>
              <w:jc w:val="center"/>
              <w:rPr>
                <w:color w:val="auto"/>
                <w:highlight w:val="none"/>
              </w:rPr>
            </w:pPr>
          </w:p>
        </w:tc>
        <w:tc>
          <w:tcPr>
            <w:tcW w:w="1570" w:type="dxa"/>
            <w:vAlign w:val="center"/>
          </w:tcPr>
          <w:p w14:paraId="28CCE961">
            <w:pPr>
              <w:jc w:val="center"/>
              <w:rPr>
                <w:color w:val="auto"/>
                <w:highlight w:val="none"/>
              </w:rPr>
            </w:pPr>
          </w:p>
        </w:tc>
        <w:tc>
          <w:tcPr>
            <w:tcW w:w="2164" w:type="dxa"/>
            <w:vAlign w:val="center"/>
          </w:tcPr>
          <w:p w14:paraId="4017BA40">
            <w:pPr>
              <w:jc w:val="center"/>
              <w:rPr>
                <w:color w:val="auto"/>
                <w:highlight w:val="none"/>
              </w:rPr>
            </w:pPr>
          </w:p>
        </w:tc>
        <w:tc>
          <w:tcPr>
            <w:tcW w:w="1543" w:type="dxa"/>
            <w:vAlign w:val="center"/>
          </w:tcPr>
          <w:p w14:paraId="744F898D">
            <w:pPr>
              <w:jc w:val="center"/>
              <w:rPr>
                <w:color w:val="auto"/>
                <w:highlight w:val="none"/>
              </w:rPr>
            </w:pPr>
          </w:p>
        </w:tc>
        <w:tc>
          <w:tcPr>
            <w:tcW w:w="1701" w:type="dxa"/>
            <w:vAlign w:val="center"/>
          </w:tcPr>
          <w:p w14:paraId="2A380361">
            <w:pPr>
              <w:jc w:val="center"/>
              <w:rPr>
                <w:color w:val="auto"/>
                <w:highlight w:val="none"/>
              </w:rPr>
            </w:pPr>
          </w:p>
        </w:tc>
      </w:tr>
      <w:tr w14:paraId="7A3C3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5C7580D4">
            <w:pPr>
              <w:jc w:val="center"/>
              <w:rPr>
                <w:color w:val="auto"/>
                <w:highlight w:val="none"/>
              </w:rPr>
            </w:pPr>
          </w:p>
        </w:tc>
        <w:tc>
          <w:tcPr>
            <w:tcW w:w="1570" w:type="dxa"/>
            <w:vAlign w:val="center"/>
          </w:tcPr>
          <w:p w14:paraId="7CE28042">
            <w:pPr>
              <w:jc w:val="center"/>
              <w:rPr>
                <w:color w:val="auto"/>
                <w:highlight w:val="none"/>
              </w:rPr>
            </w:pPr>
          </w:p>
        </w:tc>
        <w:tc>
          <w:tcPr>
            <w:tcW w:w="2164" w:type="dxa"/>
            <w:vAlign w:val="center"/>
          </w:tcPr>
          <w:p w14:paraId="4A68157C">
            <w:pPr>
              <w:jc w:val="center"/>
              <w:rPr>
                <w:color w:val="auto"/>
                <w:highlight w:val="none"/>
              </w:rPr>
            </w:pPr>
          </w:p>
        </w:tc>
        <w:tc>
          <w:tcPr>
            <w:tcW w:w="1543" w:type="dxa"/>
            <w:vAlign w:val="center"/>
          </w:tcPr>
          <w:p w14:paraId="0AED5D97">
            <w:pPr>
              <w:jc w:val="center"/>
              <w:rPr>
                <w:color w:val="auto"/>
                <w:highlight w:val="none"/>
              </w:rPr>
            </w:pPr>
          </w:p>
        </w:tc>
        <w:tc>
          <w:tcPr>
            <w:tcW w:w="1701" w:type="dxa"/>
            <w:vAlign w:val="center"/>
          </w:tcPr>
          <w:p w14:paraId="1ED369B5">
            <w:pPr>
              <w:jc w:val="center"/>
              <w:rPr>
                <w:color w:val="auto"/>
                <w:highlight w:val="none"/>
              </w:rPr>
            </w:pPr>
          </w:p>
        </w:tc>
      </w:tr>
      <w:tr w14:paraId="4AC44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51DF59E4">
            <w:pPr>
              <w:jc w:val="center"/>
              <w:rPr>
                <w:color w:val="auto"/>
                <w:highlight w:val="none"/>
              </w:rPr>
            </w:pPr>
          </w:p>
        </w:tc>
        <w:tc>
          <w:tcPr>
            <w:tcW w:w="1570" w:type="dxa"/>
            <w:vAlign w:val="center"/>
          </w:tcPr>
          <w:p w14:paraId="16BB171F">
            <w:pPr>
              <w:jc w:val="center"/>
              <w:rPr>
                <w:color w:val="auto"/>
                <w:highlight w:val="none"/>
              </w:rPr>
            </w:pPr>
          </w:p>
        </w:tc>
        <w:tc>
          <w:tcPr>
            <w:tcW w:w="2164" w:type="dxa"/>
            <w:vAlign w:val="center"/>
          </w:tcPr>
          <w:p w14:paraId="3EE3ABC8">
            <w:pPr>
              <w:jc w:val="center"/>
              <w:rPr>
                <w:color w:val="auto"/>
                <w:highlight w:val="none"/>
              </w:rPr>
            </w:pPr>
          </w:p>
        </w:tc>
        <w:tc>
          <w:tcPr>
            <w:tcW w:w="1543" w:type="dxa"/>
            <w:vAlign w:val="center"/>
          </w:tcPr>
          <w:p w14:paraId="6B7ED038">
            <w:pPr>
              <w:jc w:val="center"/>
              <w:rPr>
                <w:color w:val="auto"/>
                <w:highlight w:val="none"/>
              </w:rPr>
            </w:pPr>
          </w:p>
        </w:tc>
        <w:tc>
          <w:tcPr>
            <w:tcW w:w="1701" w:type="dxa"/>
            <w:vAlign w:val="center"/>
          </w:tcPr>
          <w:p w14:paraId="7463DB22">
            <w:pPr>
              <w:jc w:val="center"/>
              <w:rPr>
                <w:color w:val="auto"/>
                <w:highlight w:val="none"/>
              </w:rPr>
            </w:pPr>
          </w:p>
        </w:tc>
      </w:tr>
    </w:tbl>
    <w:p w14:paraId="04FC3357">
      <w:pPr>
        <w:spacing w:line="500" w:lineRule="exact"/>
        <w:rPr>
          <w:rFonts w:ascii="仿宋" w:hAnsi="仿宋" w:eastAsia="仿宋"/>
          <w:b/>
          <w:bCs/>
          <w:color w:val="auto"/>
          <w:sz w:val="32"/>
          <w:szCs w:val="32"/>
          <w:highlight w:val="none"/>
        </w:rPr>
      </w:pPr>
    </w:p>
    <w:p w14:paraId="582CF08B">
      <w:pPr>
        <w:spacing w:line="500" w:lineRule="exact"/>
        <w:rPr>
          <w:rFonts w:ascii="仿宋" w:hAnsi="仿宋" w:eastAsia="仿宋"/>
          <w:b/>
          <w:bCs/>
          <w:color w:val="auto"/>
          <w:sz w:val="32"/>
          <w:szCs w:val="32"/>
          <w:highlight w:val="none"/>
        </w:rPr>
      </w:pPr>
    </w:p>
    <w:p w14:paraId="128BFFCA">
      <w:pPr>
        <w:spacing w:line="500" w:lineRule="exact"/>
        <w:rPr>
          <w:rFonts w:ascii="仿宋" w:hAnsi="仿宋" w:eastAsia="仿宋"/>
          <w:b/>
          <w:bCs/>
          <w:color w:val="auto"/>
          <w:sz w:val="32"/>
          <w:szCs w:val="32"/>
          <w:highlight w:val="none"/>
        </w:rPr>
      </w:pPr>
    </w:p>
    <w:p w14:paraId="7855CDBE">
      <w:pPr>
        <w:spacing w:line="500" w:lineRule="exact"/>
        <w:rPr>
          <w:rFonts w:ascii="仿宋" w:hAnsi="仿宋" w:eastAsia="仿宋"/>
          <w:b/>
          <w:bCs/>
          <w:color w:val="auto"/>
          <w:sz w:val="32"/>
          <w:szCs w:val="32"/>
          <w:highlight w:val="none"/>
        </w:rPr>
      </w:pPr>
    </w:p>
    <w:p w14:paraId="35F14904">
      <w:pPr>
        <w:spacing w:line="500" w:lineRule="exact"/>
        <w:rPr>
          <w:rFonts w:ascii="仿宋" w:hAnsi="仿宋" w:eastAsia="仿宋"/>
          <w:b/>
          <w:bCs/>
          <w:color w:val="auto"/>
          <w:sz w:val="32"/>
          <w:szCs w:val="32"/>
          <w:highlight w:val="none"/>
        </w:rPr>
      </w:pPr>
    </w:p>
    <w:p w14:paraId="738AD69D">
      <w:pPr>
        <w:spacing w:line="500" w:lineRule="exact"/>
        <w:rPr>
          <w:rFonts w:ascii="仿宋" w:hAnsi="仿宋" w:eastAsia="仿宋"/>
          <w:b/>
          <w:bCs/>
          <w:color w:val="auto"/>
          <w:sz w:val="32"/>
          <w:szCs w:val="32"/>
          <w:highlight w:val="none"/>
        </w:rPr>
      </w:pPr>
    </w:p>
    <w:p w14:paraId="446F00B3">
      <w:pPr>
        <w:spacing w:line="500" w:lineRule="exact"/>
        <w:rPr>
          <w:rFonts w:ascii="仿宋" w:hAnsi="仿宋" w:eastAsia="仿宋"/>
          <w:b/>
          <w:bCs/>
          <w:color w:val="auto"/>
          <w:sz w:val="32"/>
          <w:szCs w:val="32"/>
          <w:highlight w:val="none"/>
        </w:rPr>
      </w:pPr>
    </w:p>
    <w:p w14:paraId="2CE896BB">
      <w:pPr>
        <w:spacing w:line="500" w:lineRule="exact"/>
        <w:rPr>
          <w:rFonts w:ascii="仿宋" w:hAnsi="仿宋" w:eastAsia="仿宋"/>
          <w:b/>
          <w:bCs/>
          <w:color w:val="auto"/>
          <w:sz w:val="32"/>
          <w:szCs w:val="32"/>
          <w:highlight w:val="none"/>
        </w:rPr>
      </w:pPr>
    </w:p>
    <w:p w14:paraId="24190B39">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1E1A3737">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8</w:t>
      </w:r>
      <w:r>
        <w:rPr>
          <w:rFonts w:hint="eastAsia" w:ascii="仿宋" w:hAnsi="仿宋" w:eastAsia="仿宋"/>
          <w:b/>
          <w:bCs/>
          <w:color w:val="auto"/>
          <w:sz w:val="32"/>
          <w:szCs w:val="32"/>
          <w:highlight w:val="none"/>
        </w:rPr>
        <w:t xml:space="preserve">  </w:t>
      </w:r>
    </w:p>
    <w:p w14:paraId="512FF230">
      <w:pPr>
        <w:spacing w:line="500" w:lineRule="exact"/>
        <w:rPr>
          <w:rFonts w:ascii="仿宋" w:hAnsi="仿宋" w:eastAsia="仿宋"/>
          <w:b/>
          <w:bCs/>
          <w:color w:val="auto"/>
          <w:sz w:val="32"/>
          <w:szCs w:val="32"/>
          <w:highlight w:val="none"/>
        </w:rPr>
      </w:pPr>
    </w:p>
    <w:p w14:paraId="1CF1A486">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2021年1月1日以来在福建合作写字楼食堂项目（只限承包制）</w:t>
      </w:r>
    </w:p>
    <w:p w14:paraId="40BFE6DB">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或对外经营的餐饮门店</w:t>
      </w:r>
    </w:p>
    <w:p w14:paraId="7DE150AB">
      <w:pPr>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（包括合同等相关证明材料）</w:t>
      </w:r>
    </w:p>
    <w:tbl>
      <w:tblPr>
        <w:tblStyle w:val="19"/>
        <w:tblW w:w="8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570"/>
        <w:gridCol w:w="2164"/>
        <w:gridCol w:w="1543"/>
        <w:gridCol w:w="1701"/>
      </w:tblGrid>
      <w:tr w14:paraId="256E1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8" w:hRule="exact"/>
          <w:jc w:val="center"/>
        </w:trPr>
        <w:tc>
          <w:tcPr>
            <w:tcW w:w="1512" w:type="dxa"/>
            <w:vAlign w:val="center"/>
          </w:tcPr>
          <w:p w14:paraId="19395102">
            <w:pPr>
              <w:jc w:val="center"/>
              <w:rPr>
                <w:color w:val="auto"/>
                <w:highlight w:val="none"/>
              </w:rPr>
            </w:pPr>
            <w:r>
              <w:rPr>
                <w:rFonts w:hint="eastAsia"/>
                <w:color w:val="auto"/>
                <w:highlight w:val="none"/>
              </w:rPr>
              <w:t>地区</w:t>
            </w:r>
          </w:p>
        </w:tc>
        <w:tc>
          <w:tcPr>
            <w:tcW w:w="1570" w:type="dxa"/>
            <w:vAlign w:val="center"/>
          </w:tcPr>
          <w:p w14:paraId="13EB9D23">
            <w:pPr>
              <w:jc w:val="center"/>
              <w:rPr>
                <w:color w:val="auto"/>
                <w:highlight w:val="none"/>
              </w:rPr>
            </w:pPr>
            <w:r>
              <w:rPr>
                <w:rFonts w:hint="eastAsia"/>
                <w:color w:val="auto"/>
                <w:highlight w:val="none"/>
              </w:rPr>
              <w:t>合作对象名称</w:t>
            </w:r>
          </w:p>
        </w:tc>
        <w:tc>
          <w:tcPr>
            <w:tcW w:w="2164" w:type="dxa"/>
            <w:vAlign w:val="center"/>
          </w:tcPr>
          <w:p w14:paraId="0CF8539A">
            <w:pPr>
              <w:jc w:val="center"/>
              <w:rPr>
                <w:color w:val="auto"/>
                <w:highlight w:val="none"/>
              </w:rPr>
            </w:pPr>
            <w:r>
              <w:rPr>
                <w:rFonts w:hint="eastAsia"/>
                <w:color w:val="auto"/>
                <w:highlight w:val="none"/>
              </w:rPr>
              <w:t>合作对象性质（写字楼食堂、对外</w:t>
            </w:r>
            <w:r>
              <w:rPr>
                <w:rFonts w:hint="eastAsia" w:ascii="Calibri" w:hAnsi="Calibri"/>
                <w:color w:val="auto"/>
                <w:highlight w:val="none"/>
              </w:rPr>
              <w:t>经营的餐饮门店二选一</w:t>
            </w:r>
            <w:r>
              <w:rPr>
                <w:rFonts w:hint="eastAsia"/>
                <w:color w:val="auto"/>
                <w:highlight w:val="none"/>
              </w:rPr>
              <w:t>）</w:t>
            </w:r>
          </w:p>
        </w:tc>
        <w:tc>
          <w:tcPr>
            <w:tcW w:w="1543" w:type="dxa"/>
            <w:vAlign w:val="center"/>
          </w:tcPr>
          <w:p w14:paraId="5E2DD8DE">
            <w:pPr>
              <w:jc w:val="center"/>
              <w:rPr>
                <w:color w:val="auto"/>
                <w:highlight w:val="none"/>
              </w:rPr>
            </w:pPr>
            <w:r>
              <w:rPr>
                <w:rFonts w:hint="eastAsia"/>
                <w:color w:val="auto"/>
                <w:highlight w:val="none"/>
              </w:rPr>
              <w:t>合作时间（列明起止时间）</w:t>
            </w:r>
          </w:p>
        </w:tc>
        <w:tc>
          <w:tcPr>
            <w:tcW w:w="1701" w:type="dxa"/>
            <w:vAlign w:val="center"/>
          </w:tcPr>
          <w:p w14:paraId="6DB1A497">
            <w:pPr>
              <w:jc w:val="center"/>
              <w:rPr>
                <w:color w:val="auto"/>
                <w:highlight w:val="none"/>
              </w:rPr>
            </w:pPr>
            <w:r>
              <w:rPr>
                <w:rFonts w:hint="eastAsia"/>
                <w:color w:val="auto"/>
                <w:highlight w:val="none"/>
              </w:rPr>
              <w:t>合作规模（供餐人数）</w:t>
            </w:r>
          </w:p>
        </w:tc>
      </w:tr>
      <w:tr w14:paraId="71574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5069ECCF">
            <w:pPr>
              <w:jc w:val="center"/>
              <w:rPr>
                <w:color w:val="auto"/>
                <w:highlight w:val="none"/>
              </w:rPr>
            </w:pPr>
          </w:p>
        </w:tc>
        <w:tc>
          <w:tcPr>
            <w:tcW w:w="1570" w:type="dxa"/>
            <w:vAlign w:val="center"/>
          </w:tcPr>
          <w:p w14:paraId="5F2EC730">
            <w:pPr>
              <w:jc w:val="center"/>
              <w:rPr>
                <w:color w:val="auto"/>
                <w:highlight w:val="none"/>
              </w:rPr>
            </w:pPr>
          </w:p>
        </w:tc>
        <w:tc>
          <w:tcPr>
            <w:tcW w:w="2164" w:type="dxa"/>
            <w:vAlign w:val="center"/>
          </w:tcPr>
          <w:p w14:paraId="2CC33575">
            <w:pPr>
              <w:jc w:val="center"/>
              <w:rPr>
                <w:color w:val="auto"/>
                <w:highlight w:val="none"/>
              </w:rPr>
            </w:pPr>
          </w:p>
        </w:tc>
        <w:tc>
          <w:tcPr>
            <w:tcW w:w="1543" w:type="dxa"/>
            <w:vAlign w:val="center"/>
          </w:tcPr>
          <w:p w14:paraId="5DEE35D7">
            <w:pPr>
              <w:jc w:val="center"/>
              <w:rPr>
                <w:color w:val="auto"/>
                <w:highlight w:val="none"/>
              </w:rPr>
            </w:pPr>
          </w:p>
        </w:tc>
        <w:tc>
          <w:tcPr>
            <w:tcW w:w="1701" w:type="dxa"/>
            <w:vAlign w:val="center"/>
          </w:tcPr>
          <w:p w14:paraId="5254188C">
            <w:pPr>
              <w:jc w:val="center"/>
              <w:rPr>
                <w:color w:val="auto"/>
                <w:highlight w:val="none"/>
              </w:rPr>
            </w:pPr>
          </w:p>
        </w:tc>
      </w:tr>
      <w:tr w14:paraId="4B42F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5773CFF1">
            <w:pPr>
              <w:jc w:val="center"/>
              <w:rPr>
                <w:color w:val="auto"/>
                <w:highlight w:val="none"/>
              </w:rPr>
            </w:pPr>
          </w:p>
        </w:tc>
        <w:tc>
          <w:tcPr>
            <w:tcW w:w="1570" w:type="dxa"/>
            <w:vAlign w:val="center"/>
          </w:tcPr>
          <w:p w14:paraId="176BCC1A">
            <w:pPr>
              <w:jc w:val="center"/>
              <w:rPr>
                <w:color w:val="auto"/>
                <w:highlight w:val="none"/>
              </w:rPr>
            </w:pPr>
          </w:p>
        </w:tc>
        <w:tc>
          <w:tcPr>
            <w:tcW w:w="2164" w:type="dxa"/>
            <w:vAlign w:val="center"/>
          </w:tcPr>
          <w:p w14:paraId="2221FF03">
            <w:pPr>
              <w:jc w:val="center"/>
              <w:rPr>
                <w:color w:val="auto"/>
                <w:highlight w:val="none"/>
              </w:rPr>
            </w:pPr>
          </w:p>
        </w:tc>
        <w:tc>
          <w:tcPr>
            <w:tcW w:w="1543" w:type="dxa"/>
            <w:vAlign w:val="center"/>
          </w:tcPr>
          <w:p w14:paraId="13CA3C3D">
            <w:pPr>
              <w:jc w:val="center"/>
              <w:rPr>
                <w:color w:val="auto"/>
                <w:highlight w:val="none"/>
              </w:rPr>
            </w:pPr>
          </w:p>
        </w:tc>
        <w:tc>
          <w:tcPr>
            <w:tcW w:w="1701" w:type="dxa"/>
            <w:vAlign w:val="center"/>
          </w:tcPr>
          <w:p w14:paraId="07C9A417">
            <w:pPr>
              <w:jc w:val="center"/>
              <w:rPr>
                <w:color w:val="auto"/>
                <w:highlight w:val="none"/>
              </w:rPr>
            </w:pPr>
          </w:p>
        </w:tc>
      </w:tr>
      <w:tr w14:paraId="6CC07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2D2145DF">
            <w:pPr>
              <w:jc w:val="center"/>
              <w:rPr>
                <w:color w:val="auto"/>
                <w:highlight w:val="none"/>
              </w:rPr>
            </w:pPr>
          </w:p>
        </w:tc>
        <w:tc>
          <w:tcPr>
            <w:tcW w:w="1570" w:type="dxa"/>
            <w:vAlign w:val="center"/>
          </w:tcPr>
          <w:p w14:paraId="092CDD61">
            <w:pPr>
              <w:jc w:val="center"/>
              <w:rPr>
                <w:color w:val="auto"/>
                <w:highlight w:val="none"/>
              </w:rPr>
            </w:pPr>
          </w:p>
        </w:tc>
        <w:tc>
          <w:tcPr>
            <w:tcW w:w="2164" w:type="dxa"/>
            <w:vAlign w:val="center"/>
          </w:tcPr>
          <w:p w14:paraId="7E83672B">
            <w:pPr>
              <w:jc w:val="center"/>
              <w:rPr>
                <w:color w:val="auto"/>
                <w:highlight w:val="none"/>
              </w:rPr>
            </w:pPr>
          </w:p>
        </w:tc>
        <w:tc>
          <w:tcPr>
            <w:tcW w:w="1543" w:type="dxa"/>
            <w:vAlign w:val="center"/>
          </w:tcPr>
          <w:p w14:paraId="44704C8F">
            <w:pPr>
              <w:jc w:val="center"/>
              <w:rPr>
                <w:color w:val="auto"/>
                <w:highlight w:val="none"/>
              </w:rPr>
            </w:pPr>
          </w:p>
        </w:tc>
        <w:tc>
          <w:tcPr>
            <w:tcW w:w="1701" w:type="dxa"/>
            <w:vAlign w:val="center"/>
          </w:tcPr>
          <w:p w14:paraId="23BB0B2F">
            <w:pPr>
              <w:jc w:val="center"/>
              <w:rPr>
                <w:color w:val="auto"/>
                <w:highlight w:val="none"/>
              </w:rPr>
            </w:pPr>
          </w:p>
        </w:tc>
      </w:tr>
      <w:tr w14:paraId="0D2BD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3EC253F4">
            <w:pPr>
              <w:jc w:val="center"/>
              <w:rPr>
                <w:color w:val="auto"/>
                <w:highlight w:val="none"/>
              </w:rPr>
            </w:pPr>
          </w:p>
        </w:tc>
        <w:tc>
          <w:tcPr>
            <w:tcW w:w="1570" w:type="dxa"/>
            <w:vAlign w:val="center"/>
          </w:tcPr>
          <w:p w14:paraId="2F9777CF">
            <w:pPr>
              <w:jc w:val="center"/>
              <w:rPr>
                <w:color w:val="auto"/>
                <w:highlight w:val="none"/>
              </w:rPr>
            </w:pPr>
          </w:p>
        </w:tc>
        <w:tc>
          <w:tcPr>
            <w:tcW w:w="2164" w:type="dxa"/>
            <w:vAlign w:val="center"/>
          </w:tcPr>
          <w:p w14:paraId="63D8E5F7">
            <w:pPr>
              <w:jc w:val="center"/>
              <w:rPr>
                <w:color w:val="auto"/>
                <w:highlight w:val="none"/>
              </w:rPr>
            </w:pPr>
          </w:p>
        </w:tc>
        <w:tc>
          <w:tcPr>
            <w:tcW w:w="1543" w:type="dxa"/>
            <w:vAlign w:val="center"/>
          </w:tcPr>
          <w:p w14:paraId="7F062C0A">
            <w:pPr>
              <w:jc w:val="center"/>
              <w:rPr>
                <w:color w:val="auto"/>
                <w:highlight w:val="none"/>
              </w:rPr>
            </w:pPr>
          </w:p>
        </w:tc>
        <w:tc>
          <w:tcPr>
            <w:tcW w:w="1701" w:type="dxa"/>
            <w:vAlign w:val="center"/>
          </w:tcPr>
          <w:p w14:paraId="01FC484C">
            <w:pPr>
              <w:jc w:val="center"/>
              <w:rPr>
                <w:color w:val="auto"/>
                <w:highlight w:val="none"/>
              </w:rPr>
            </w:pPr>
          </w:p>
        </w:tc>
      </w:tr>
      <w:tr w14:paraId="093B1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42D657A0">
            <w:pPr>
              <w:jc w:val="center"/>
              <w:rPr>
                <w:color w:val="auto"/>
                <w:highlight w:val="none"/>
              </w:rPr>
            </w:pPr>
          </w:p>
        </w:tc>
        <w:tc>
          <w:tcPr>
            <w:tcW w:w="1570" w:type="dxa"/>
            <w:vAlign w:val="center"/>
          </w:tcPr>
          <w:p w14:paraId="19474BC8">
            <w:pPr>
              <w:jc w:val="center"/>
              <w:rPr>
                <w:color w:val="auto"/>
                <w:highlight w:val="none"/>
              </w:rPr>
            </w:pPr>
          </w:p>
        </w:tc>
        <w:tc>
          <w:tcPr>
            <w:tcW w:w="2164" w:type="dxa"/>
            <w:vAlign w:val="center"/>
          </w:tcPr>
          <w:p w14:paraId="6EAA688D">
            <w:pPr>
              <w:jc w:val="center"/>
              <w:rPr>
                <w:color w:val="auto"/>
                <w:highlight w:val="none"/>
              </w:rPr>
            </w:pPr>
          </w:p>
        </w:tc>
        <w:tc>
          <w:tcPr>
            <w:tcW w:w="1543" w:type="dxa"/>
            <w:vAlign w:val="center"/>
          </w:tcPr>
          <w:p w14:paraId="37DFE80F">
            <w:pPr>
              <w:jc w:val="center"/>
              <w:rPr>
                <w:color w:val="auto"/>
                <w:highlight w:val="none"/>
              </w:rPr>
            </w:pPr>
          </w:p>
        </w:tc>
        <w:tc>
          <w:tcPr>
            <w:tcW w:w="1701" w:type="dxa"/>
            <w:vAlign w:val="center"/>
          </w:tcPr>
          <w:p w14:paraId="680A95EF">
            <w:pPr>
              <w:jc w:val="center"/>
              <w:rPr>
                <w:color w:val="auto"/>
                <w:highlight w:val="none"/>
              </w:rPr>
            </w:pPr>
          </w:p>
        </w:tc>
      </w:tr>
      <w:tr w14:paraId="6B8F2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44604672">
            <w:pPr>
              <w:jc w:val="center"/>
              <w:rPr>
                <w:color w:val="auto"/>
                <w:highlight w:val="none"/>
              </w:rPr>
            </w:pPr>
          </w:p>
        </w:tc>
        <w:tc>
          <w:tcPr>
            <w:tcW w:w="1570" w:type="dxa"/>
            <w:vAlign w:val="center"/>
          </w:tcPr>
          <w:p w14:paraId="6F735142">
            <w:pPr>
              <w:jc w:val="center"/>
              <w:rPr>
                <w:color w:val="auto"/>
                <w:highlight w:val="none"/>
              </w:rPr>
            </w:pPr>
          </w:p>
        </w:tc>
        <w:tc>
          <w:tcPr>
            <w:tcW w:w="2164" w:type="dxa"/>
            <w:vAlign w:val="center"/>
          </w:tcPr>
          <w:p w14:paraId="5149DBE8">
            <w:pPr>
              <w:jc w:val="center"/>
              <w:rPr>
                <w:color w:val="auto"/>
                <w:highlight w:val="none"/>
              </w:rPr>
            </w:pPr>
          </w:p>
        </w:tc>
        <w:tc>
          <w:tcPr>
            <w:tcW w:w="1543" w:type="dxa"/>
            <w:vAlign w:val="center"/>
          </w:tcPr>
          <w:p w14:paraId="551C5A45">
            <w:pPr>
              <w:jc w:val="center"/>
              <w:rPr>
                <w:color w:val="auto"/>
                <w:highlight w:val="none"/>
              </w:rPr>
            </w:pPr>
          </w:p>
        </w:tc>
        <w:tc>
          <w:tcPr>
            <w:tcW w:w="1701" w:type="dxa"/>
            <w:vAlign w:val="center"/>
          </w:tcPr>
          <w:p w14:paraId="6FCAC1CE">
            <w:pPr>
              <w:jc w:val="center"/>
              <w:rPr>
                <w:color w:val="auto"/>
                <w:highlight w:val="none"/>
              </w:rPr>
            </w:pPr>
          </w:p>
        </w:tc>
      </w:tr>
      <w:tr w14:paraId="0E4B0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14555199">
            <w:pPr>
              <w:jc w:val="center"/>
              <w:rPr>
                <w:color w:val="auto"/>
                <w:highlight w:val="none"/>
              </w:rPr>
            </w:pPr>
          </w:p>
        </w:tc>
        <w:tc>
          <w:tcPr>
            <w:tcW w:w="1570" w:type="dxa"/>
            <w:vAlign w:val="center"/>
          </w:tcPr>
          <w:p w14:paraId="15C2A28B">
            <w:pPr>
              <w:jc w:val="center"/>
              <w:rPr>
                <w:color w:val="auto"/>
                <w:highlight w:val="none"/>
              </w:rPr>
            </w:pPr>
          </w:p>
        </w:tc>
        <w:tc>
          <w:tcPr>
            <w:tcW w:w="2164" w:type="dxa"/>
            <w:vAlign w:val="center"/>
          </w:tcPr>
          <w:p w14:paraId="3C90FB24">
            <w:pPr>
              <w:jc w:val="center"/>
              <w:rPr>
                <w:color w:val="auto"/>
                <w:highlight w:val="none"/>
              </w:rPr>
            </w:pPr>
          </w:p>
        </w:tc>
        <w:tc>
          <w:tcPr>
            <w:tcW w:w="1543" w:type="dxa"/>
            <w:vAlign w:val="center"/>
          </w:tcPr>
          <w:p w14:paraId="508594CF">
            <w:pPr>
              <w:jc w:val="center"/>
              <w:rPr>
                <w:color w:val="auto"/>
                <w:highlight w:val="none"/>
              </w:rPr>
            </w:pPr>
          </w:p>
        </w:tc>
        <w:tc>
          <w:tcPr>
            <w:tcW w:w="1701" w:type="dxa"/>
            <w:vAlign w:val="center"/>
          </w:tcPr>
          <w:p w14:paraId="456534A0">
            <w:pPr>
              <w:jc w:val="center"/>
              <w:rPr>
                <w:color w:val="auto"/>
                <w:highlight w:val="none"/>
              </w:rPr>
            </w:pPr>
          </w:p>
        </w:tc>
      </w:tr>
      <w:tr w14:paraId="003DC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666FA1B0">
            <w:pPr>
              <w:jc w:val="center"/>
              <w:rPr>
                <w:color w:val="auto"/>
                <w:highlight w:val="none"/>
              </w:rPr>
            </w:pPr>
          </w:p>
        </w:tc>
        <w:tc>
          <w:tcPr>
            <w:tcW w:w="1570" w:type="dxa"/>
            <w:vAlign w:val="center"/>
          </w:tcPr>
          <w:p w14:paraId="404C8F4D">
            <w:pPr>
              <w:jc w:val="center"/>
              <w:rPr>
                <w:color w:val="auto"/>
                <w:highlight w:val="none"/>
              </w:rPr>
            </w:pPr>
          </w:p>
        </w:tc>
        <w:tc>
          <w:tcPr>
            <w:tcW w:w="2164" w:type="dxa"/>
            <w:vAlign w:val="center"/>
          </w:tcPr>
          <w:p w14:paraId="1F9F8A1B">
            <w:pPr>
              <w:jc w:val="center"/>
              <w:rPr>
                <w:color w:val="auto"/>
                <w:highlight w:val="none"/>
              </w:rPr>
            </w:pPr>
          </w:p>
        </w:tc>
        <w:tc>
          <w:tcPr>
            <w:tcW w:w="1543" w:type="dxa"/>
            <w:vAlign w:val="center"/>
          </w:tcPr>
          <w:p w14:paraId="4E60D3CE">
            <w:pPr>
              <w:jc w:val="center"/>
              <w:rPr>
                <w:color w:val="auto"/>
                <w:highlight w:val="none"/>
              </w:rPr>
            </w:pPr>
          </w:p>
        </w:tc>
        <w:tc>
          <w:tcPr>
            <w:tcW w:w="1701" w:type="dxa"/>
            <w:vAlign w:val="center"/>
          </w:tcPr>
          <w:p w14:paraId="144F7F5D">
            <w:pPr>
              <w:jc w:val="center"/>
              <w:rPr>
                <w:color w:val="auto"/>
                <w:highlight w:val="none"/>
              </w:rPr>
            </w:pPr>
          </w:p>
        </w:tc>
      </w:tr>
      <w:tr w14:paraId="223D2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6B747401">
            <w:pPr>
              <w:jc w:val="center"/>
              <w:rPr>
                <w:color w:val="auto"/>
                <w:highlight w:val="none"/>
              </w:rPr>
            </w:pPr>
          </w:p>
        </w:tc>
        <w:tc>
          <w:tcPr>
            <w:tcW w:w="1570" w:type="dxa"/>
            <w:vAlign w:val="center"/>
          </w:tcPr>
          <w:p w14:paraId="121678A9">
            <w:pPr>
              <w:jc w:val="center"/>
              <w:rPr>
                <w:color w:val="auto"/>
                <w:highlight w:val="none"/>
              </w:rPr>
            </w:pPr>
          </w:p>
        </w:tc>
        <w:tc>
          <w:tcPr>
            <w:tcW w:w="2164" w:type="dxa"/>
            <w:vAlign w:val="center"/>
          </w:tcPr>
          <w:p w14:paraId="240F815A">
            <w:pPr>
              <w:jc w:val="center"/>
              <w:rPr>
                <w:color w:val="auto"/>
                <w:highlight w:val="none"/>
              </w:rPr>
            </w:pPr>
          </w:p>
        </w:tc>
        <w:tc>
          <w:tcPr>
            <w:tcW w:w="1543" w:type="dxa"/>
            <w:vAlign w:val="center"/>
          </w:tcPr>
          <w:p w14:paraId="53CE97AF">
            <w:pPr>
              <w:jc w:val="center"/>
              <w:rPr>
                <w:color w:val="auto"/>
                <w:highlight w:val="none"/>
              </w:rPr>
            </w:pPr>
          </w:p>
        </w:tc>
        <w:tc>
          <w:tcPr>
            <w:tcW w:w="1701" w:type="dxa"/>
            <w:vAlign w:val="center"/>
          </w:tcPr>
          <w:p w14:paraId="7BD1A597">
            <w:pPr>
              <w:jc w:val="center"/>
              <w:rPr>
                <w:color w:val="auto"/>
                <w:highlight w:val="none"/>
              </w:rPr>
            </w:pPr>
          </w:p>
        </w:tc>
      </w:tr>
      <w:tr w14:paraId="7EC04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14:paraId="1D6EA832">
            <w:pPr>
              <w:jc w:val="center"/>
              <w:rPr>
                <w:color w:val="auto"/>
                <w:highlight w:val="none"/>
              </w:rPr>
            </w:pPr>
          </w:p>
        </w:tc>
        <w:tc>
          <w:tcPr>
            <w:tcW w:w="1570" w:type="dxa"/>
            <w:vAlign w:val="center"/>
          </w:tcPr>
          <w:p w14:paraId="5FF034B2">
            <w:pPr>
              <w:jc w:val="center"/>
              <w:rPr>
                <w:color w:val="auto"/>
                <w:highlight w:val="none"/>
              </w:rPr>
            </w:pPr>
          </w:p>
        </w:tc>
        <w:tc>
          <w:tcPr>
            <w:tcW w:w="2164" w:type="dxa"/>
            <w:vAlign w:val="center"/>
          </w:tcPr>
          <w:p w14:paraId="0E708CB2">
            <w:pPr>
              <w:jc w:val="center"/>
              <w:rPr>
                <w:color w:val="auto"/>
                <w:highlight w:val="none"/>
              </w:rPr>
            </w:pPr>
          </w:p>
        </w:tc>
        <w:tc>
          <w:tcPr>
            <w:tcW w:w="1543" w:type="dxa"/>
            <w:vAlign w:val="center"/>
          </w:tcPr>
          <w:p w14:paraId="0F74FC36">
            <w:pPr>
              <w:jc w:val="center"/>
              <w:rPr>
                <w:color w:val="auto"/>
                <w:highlight w:val="none"/>
              </w:rPr>
            </w:pPr>
          </w:p>
        </w:tc>
        <w:tc>
          <w:tcPr>
            <w:tcW w:w="1701" w:type="dxa"/>
            <w:vAlign w:val="center"/>
          </w:tcPr>
          <w:p w14:paraId="6A94C987">
            <w:pPr>
              <w:jc w:val="center"/>
              <w:rPr>
                <w:color w:val="auto"/>
                <w:highlight w:val="none"/>
              </w:rPr>
            </w:pPr>
          </w:p>
        </w:tc>
      </w:tr>
    </w:tbl>
    <w:p w14:paraId="25993666">
      <w:pPr>
        <w:spacing w:line="500" w:lineRule="exact"/>
        <w:rPr>
          <w:rFonts w:ascii="仿宋" w:hAnsi="仿宋" w:eastAsia="仿宋"/>
          <w:b/>
          <w:bCs/>
          <w:color w:val="auto"/>
          <w:sz w:val="32"/>
          <w:szCs w:val="32"/>
          <w:highlight w:val="none"/>
        </w:rPr>
      </w:pPr>
    </w:p>
    <w:p w14:paraId="6191CD87">
      <w:pPr>
        <w:spacing w:line="500" w:lineRule="exact"/>
        <w:rPr>
          <w:rFonts w:ascii="仿宋" w:hAnsi="仿宋" w:eastAsia="仿宋"/>
          <w:b/>
          <w:bCs/>
          <w:color w:val="auto"/>
          <w:sz w:val="32"/>
          <w:szCs w:val="32"/>
          <w:highlight w:val="none"/>
        </w:rPr>
      </w:pPr>
    </w:p>
    <w:p w14:paraId="60F07BF6">
      <w:pPr>
        <w:spacing w:line="500" w:lineRule="exact"/>
        <w:rPr>
          <w:rFonts w:ascii="仿宋" w:hAnsi="仿宋" w:eastAsia="仿宋"/>
          <w:b/>
          <w:bCs/>
          <w:color w:val="auto"/>
          <w:sz w:val="32"/>
          <w:szCs w:val="32"/>
          <w:highlight w:val="none"/>
        </w:rPr>
      </w:pPr>
    </w:p>
    <w:p w14:paraId="6D8735D6">
      <w:pPr>
        <w:spacing w:line="500" w:lineRule="exact"/>
        <w:rPr>
          <w:rFonts w:ascii="仿宋" w:hAnsi="仿宋" w:eastAsia="仿宋"/>
          <w:b/>
          <w:bCs/>
          <w:color w:val="auto"/>
          <w:sz w:val="32"/>
          <w:szCs w:val="32"/>
          <w:highlight w:val="none"/>
        </w:rPr>
      </w:pPr>
    </w:p>
    <w:p w14:paraId="030ABFB3">
      <w:pPr>
        <w:spacing w:line="500" w:lineRule="exact"/>
        <w:rPr>
          <w:rFonts w:ascii="仿宋" w:hAnsi="仿宋" w:eastAsia="仿宋"/>
          <w:b/>
          <w:bCs/>
          <w:color w:val="auto"/>
          <w:sz w:val="32"/>
          <w:szCs w:val="32"/>
          <w:highlight w:val="none"/>
        </w:rPr>
      </w:pPr>
    </w:p>
    <w:p w14:paraId="71F304BF">
      <w:pPr>
        <w:spacing w:line="500" w:lineRule="exact"/>
        <w:rPr>
          <w:rFonts w:ascii="仿宋" w:hAnsi="仿宋" w:eastAsia="仿宋"/>
          <w:b/>
          <w:bCs/>
          <w:color w:val="auto"/>
          <w:sz w:val="32"/>
          <w:szCs w:val="32"/>
          <w:highlight w:val="none"/>
        </w:rPr>
      </w:pPr>
    </w:p>
    <w:p w14:paraId="74F87509">
      <w:pPr>
        <w:spacing w:line="500" w:lineRule="exact"/>
        <w:rPr>
          <w:rFonts w:ascii="仿宋" w:hAnsi="仿宋" w:eastAsia="仿宋"/>
          <w:b/>
          <w:bCs/>
          <w:color w:val="auto"/>
          <w:sz w:val="32"/>
          <w:szCs w:val="32"/>
          <w:highlight w:val="none"/>
        </w:rPr>
      </w:pPr>
    </w:p>
    <w:p w14:paraId="4650AA9E">
      <w:pPr>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38655ABA">
      <w:pPr>
        <w:spacing w:line="220" w:lineRule="atLeast"/>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9</w:t>
      </w:r>
    </w:p>
    <w:p w14:paraId="06EE2EA6">
      <w:pPr>
        <w:spacing w:line="360" w:lineRule="auto"/>
        <w:jc w:val="center"/>
        <w:rPr>
          <w:rFonts w:hint="eastAsia" w:ascii="仿宋" w:hAnsi="仿宋" w:eastAsia="仿宋"/>
          <w:b/>
          <w:bCs/>
          <w:color w:val="auto"/>
          <w:sz w:val="32"/>
          <w:szCs w:val="32"/>
          <w:highlight w:val="none"/>
        </w:rPr>
      </w:pPr>
    </w:p>
    <w:p w14:paraId="4C8F07BB">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食材供应方式</w:t>
      </w:r>
    </w:p>
    <w:p w14:paraId="75AC77D8">
      <w:pPr>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（包括是否有保障本市配送能力的配送中心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需提供相关证明材料。）</w:t>
      </w:r>
    </w:p>
    <w:p w14:paraId="6FDCB301">
      <w:pPr>
        <w:pStyle w:val="18"/>
        <w:ind w:left="0" w:leftChars="0" w:firstLine="0" w:firstLineChars="0"/>
        <w:rPr>
          <w:rFonts w:ascii="仿宋" w:hAnsi="仿宋" w:eastAsia="仿宋"/>
          <w:b/>
          <w:bCs/>
          <w:color w:val="auto"/>
          <w:sz w:val="32"/>
          <w:szCs w:val="32"/>
          <w:highlight w:val="none"/>
        </w:rPr>
      </w:pPr>
    </w:p>
    <w:p w14:paraId="5C33AF34">
      <w:pPr>
        <w:pStyle w:val="18"/>
        <w:ind w:left="0" w:leftChars="0" w:firstLine="0" w:firstLineChars="0"/>
        <w:rPr>
          <w:rFonts w:ascii="仿宋" w:hAnsi="仿宋" w:eastAsia="仿宋"/>
          <w:b/>
          <w:bCs/>
          <w:color w:val="auto"/>
          <w:sz w:val="32"/>
          <w:szCs w:val="32"/>
          <w:highlight w:val="none"/>
        </w:rPr>
      </w:pPr>
    </w:p>
    <w:p w14:paraId="36A4E70C">
      <w:pPr>
        <w:pStyle w:val="18"/>
        <w:ind w:left="0" w:leftChars="0" w:firstLine="0" w:firstLineChars="0"/>
        <w:rPr>
          <w:rFonts w:ascii="仿宋" w:hAnsi="仿宋" w:eastAsia="仿宋"/>
          <w:b/>
          <w:bCs/>
          <w:color w:val="auto"/>
          <w:sz w:val="32"/>
          <w:szCs w:val="32"/>
          <w:highlight w:val="none"/>
        </w:rPr>
      </w:pPr>
    </w:p>
    <w:p w14:paraId="713D0AD0">
      <w:pPr>
        <w:pStyle w:val="18"/>
        <w:ind w:left="0" w:leftChars="0" w:firstLine="0" w:firstLineChars="0"/>
        <w:rPr>
          <w:rFonts w:ascii="仿宋" w:hAnsi="仿宋" w:eastAsia="仿宋"/>
          <w:b/>
          <w:bCs/>
          <w:color w:val="auto"/>
          <w:sz w:val="32"/>
          <w:szCs w:val="32"/>
          <w:highlight w:val="none"/>
        </w:rPr>
      </w:pPr>
    </w:p>
    <w:p w14:paraId="1176C52B">
      <w:pPr>
        <w:pStyle w:val="18"/>
        <w:ind w:left="0" w:leftChars="0" w:firstLine="0" w:firstLineChars="0"/>
        <w:rPr>
          <w:rFonts w:ascii="仿宋" w:hAnsi="仿宋" w:eastAsia="仿宋"/>
          <w:b/>
          <w:bCs/>
          <w:color w:val="auto"/>
          <w:sz w:val="32"/>
          <w:szCs w:val="32"/>
          <w:highlight w:val="none"/>
        </w:rPr>
      </w:pPr>
    </w:p>
    <w:p w14:paraId="3D373CF5">
      <w:pPr>
        <w:pStyle w:val="18"/>
        <w:ind w:left="0" w:leftChars="0" w:firstLine="0" w:firstLineChars="0"/>
        <w:rPr>
          <w:rFonts w:ascii="仿宋" w:hAnsi="仿宋" w:eastAsia="仿宋"/>
          <w:b/>
          <w:bCs/>
          <w:color w:val="auto"/>
          <w:sz w:val="32"/>
          <w:szCs w:val="32"/>
          <w:highlight w:val="none"/>
        </w:rPr>
      </w:pPr>
    </w:p>
    <w:p w14:paraId="4D3C9A90">
      <w:pPr>
        <w:pStyle w:val="18"/>
        <w:ind w:left="0" w:leftChars="0" w:firstLine="0" w:firstLineChars="0"/>
        <w:rPr>
          <w:rFonts w:ascii="仿宋" w:hAnsi="仿宋" w:eastAsia="仿宋"/>
          <w:b/>
          <w:bCs/>
          <w:color w:val="auto"/>
          <w:sz w:val="32"/>
          <w:szCs w:val="32"/>
          <w:highlight w:val="none"/>
        </w:rPr>
      </w:pPr>
    </w:p>
    <w:p w14:paraId="16EA941C">
      <w:pPr>
        <w:pStyle w:val="18"/>
        <w:ind w:left="0" w:leftChars="0" w:firstLine="0" w:firstLineChars="0"/>
        <w:rPr>
          <w:rFonts w:ascii="仿宋" w:hAnsi="仿宋" w:eastAsia="仿宋"/>
          <w:b/>
          <w:bCs/>
          <w:color w:val="auto"/>
          <w:sz w:val="32"/>
          <w:szCs w:val="32"/>
          <w:highlight w:val="none"/>
        </w:rPr>
      </w:pPr>
    </w:p>
    <w:p w14:paraId="393A5A45">
      <w:pPr>
        <w:pStyle w:val="18"/>
        <w:ind w:left="0" w:leftChars="0" w:firstLine="0" w:firstLineChars="0"/>
        <w:rPr>
          <w:rFonts w:ascii="仿宋" w:hAnsi="仿宋" w:eastAsia="仿宋"/>
          <w:b/>
          <w:bCs/>
          <w:color w:val="auto"/>
          <w:sz w:val="32"/>
          <w:szCs w:val="32"/>
          <w:highlight w:val="none"/>
        </w:rPr>
      </w:pPr>
    </w:p>
    <w:p w14:paraId="5D4BA7F3">
      <w:pPr>
        <w:pStyle w:val="18"/>
        <w:ind w:left="0" w:leftChars="0" w:firstLine="0" w:firstLineChars="0"/>
        <w:rPr>
          <w:rFonts w:ascii="仿宋" w:hAnsi="仿宋" w:eastAsia="仿宋"/>
          <w:b/>
          <w:bCs/>
          <w:color w:val="auto"/>
          <w:sz w:val="32"/>
          <w:szCs w:val="32"/>
          <w:highlight w:val="none"/>
        </w:rPr>
      </w:pPr>
    </w:p>
    <w:p w14:paraId="550753EB">
      <w:pPr>
        <w:pStyle w:val="18"/>
        <w:ind w:left="0" w:leftChars="0" w:firstLine="0" w:firstLineChars="0"/>
        <w:rPr>
          <w:rFonts w:ascii="仿宋" w:hAnsi="仿宋" w:eastAsia="仿宋"/>
          <w:b/>
          <w:bCs/>
          <w:color w:val="auto"/>
          <w:sz w:val="32"/>
          <w:szCs w:val="32"/>
          <w:highlight w:val="none"/>
        </w:rPr>
      </w:pPr>
    </w:p>
    <w:p w14:paraId="5CD218C4">
      <w:pPr>
        <w:pStyle w:val="18"/>
        <w:ind w:left="0" w:leftChars="0" w:firstLine="0" w:firstLineChars="0"/>
        <w:rPr>
          <w:rFonts w:ascii="仿宋" w:hAnsi="仿宋" w:eastAsia="仿宋"/>
          <w:b/>
          <w:bCs/>
          <w:color w:val="auto"/>
          <w:sz w:val="32"/>
          <w:szCs w:val="32"/>
          <w:highlight w:val="none"/>
        </w:rPr>
      </w:pPr>
    </w:p>
    <w:p w14:paraId="537F53CD">
      <w:pPr>
        <w:pStyle w:val="18"/>
        <w:ind w:left="0" w:leftChars="0" w:firstLine="0" w:firstLineChars="0"/>
        <w:rPr>
          <w:rFonts w:ascii="仿宋" w:hAnsi="仿宋" w:eastAsia="仿宋"/>
          <w:b/>
          <w:bCs/>
          <w:color w:val="auto"/>
          <w:sz w:val="32"/>
          <w:szCs w:val="32"/>
          <w:highlight w:val="none"/>
        </w:rPr>
      </w:pPr>
    </w:p>
    <w:p w14:paraId="7AA02765">
      <w:pPr>
        <w:pStyle w:val="18"/>
        <w:ind w:left="0" w:leftChars="0" w:firstLine="0" w:firstLineChars="0"/>
        <w:rPr>
          <w:rFonts w:ascii="仿宋" w:hAnsi="仿宋" w:eastAsia="仿宋"/>
          <w:b/>
          <w:bCs/>
          <w:color w:val="auto"/>
          <w:sz w:val="32"/>
          <w:szCs w:val="32"/>
          <w:highlight w:val="none"/>
        </w:rPr>
      </w:pPr>
    </w:p>
    <w:p w14:paraId="69166907">
      <w:pPr>
        <w:pStyle w:val="18"/>
        <w:ind w:left="0" w:leftChars="0" w:firstLine="0" w:firstLineChars="0"/>
        <w:rPr>
          <w:rFonts w:ascii="仿宋" w:hAnsi="仿宋" w:eastAsia="仿宋"/>
          <w:b/>
          <w:bCs/>
          <w:color w:val="auto"/>
          <w:sz w:val="32"/>
          <w:szCs w:val="32"/>
          <w:highlight w:val="none"/>
        </w:rPr>
      </w:pPr>
    </w:p>
    <w:p w14:paraId="6797B330">
      <w:pPr>
        <w:pStyle w:val="18"/>
        <w:ind w:left="0" w:leftChars="0" w:firstLine="0" w:firstLineChars="0"/>
        <w:rPr>
          <w:rFonts w:ascii="仿宋" w:hAnsi="仿宋" w:eastAsia="仿宋"/>
          <w:b/>
          <w:bCs/>
          <w:color w:val="auto"/>
          <w:sz w:val="32"/>
          <w:szCs w:val="32"/>
          <w:highlight w:val="none"/>
        </w:rPr>
      </w:pPr>
    </w:p>
    <w:p w14:paraId="7BA918C8">
      <w:pPr>
        <w:pStyle w:val="18"/>
        <w:ind w:left="0" w:leftChars="0" w:firstLine="0" w:firstLineChars="0"/>
        <w:rPr>
          <w:rFonts w:ascii="仿宋" w:hAnsi="仿宋" w:eastAsia="仿宋"/>
          <w:b/>
          <w:bCs/>
          <w:color w:val="auto"/>
          <w:sz w:val="32"/>
          <w:szCs w:val="32"/>
          <w:highlight w:val="none"/>
        </w:rPr>
      </w:pPr>
    </w:p>
    <w:p w14:paraId="764E90AB">
      <w:pPr>
        <w:pStyle w:val="18"/>
        <w:ind w:left="0" w:leftChars="0" w:firstLine="0" w:firstLineChars="0"/>
        <w:rPr>
          <w:rFonts w:ascii="仿宋" w:hAnsi="仿宋" w:eastAsia="仿宋"/>
          <w:b/>
          <w:bCs/>
          <w:color w:val="auto"/>
          <w:sz w:val="32"/>
          <w:szCs w:val="32"/>
          <w:highlight w:val="none"/>
        </w:rPr>
      </w:pPr>
    </w:p>
    <w:p w14:paraId="073D803F">
      <w:pPr>
        <w:pStyle w:val="18"/>
        <w:ind w:left="0" w:leftChars="0" w:firstLine="0" w:firstLineChars="0"/>
        <w:rPr>
          <w:rFonts w:ascii="仿宋" w:hAnsi="仿宋" w:eastAsia="仿宋"/>
          <w:b/>
          <w:bCs/>
          <w:color w:val="auto"/>
          <w:sz w:val="32"/>
          <w:szCs w:val="32"/>
          <w:highlight w:val="none"/>
        </w:rPr>
      </w:pPr>
    </w:p>
    <w:p w14:paraId="38CD5B64">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3971732A">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10</w:t>
      </w:r>
    </w:p>
    <w:p w14:paraId="728FCAB7">
      <w:pPr>
        <w:pStyle w:val="18"/>
        <w:jc w:val="center"/>
        <w:rPr>
          <w:rFonts w:hint="eastAsia" w:ascii="仿宋" w:hAnsi="仿宋" w:eastAsia="仿宋"/>
          <w:color w:val="auto"/>
          <w:sz w:val="32"/>
          <w:szCs w:val="32"/>
          <w:highlight w:val="none"/>
        </w:rPr>
      </w:pPr>
    </w:p>
    <w:p w14:paraId="4A6FC67C">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食品卫生安全和供应商管理</w:t>
      </w:r>
    </w:p>
    <w:p w14:paraId="2CE8C8ED">
      <w:pPr>
        <w:spacing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（食品保证卫生安全、定期消杀除四害，定时组织员工培训；原材料采购源头、检测、储存、运输方案；原材料收货验收管理制度）</w:t>
      </w:r>
    </w:p>
    <w:p w14:paraId="4DE467E3">
      <w:pPr>
        <w:spacing w:line="360" w:lineRule="auto"/>
        <w:jc w:val="center"/>
        <w:rPr>
          <w:rFonts w:hint="eastAsia" w:ascii="仿宋" w:hAnsi="仿宋" w:eastAsia="仿宋"/>
          <w:color w:val="auto"/>
          <w:sz w:val="32"/>
          <w:szCs w:val="32"/>
          <w:highlight w:val="none"/>
        </w:rPr>
      </w:pPr>
    </w:p>
    <w:p w14:paraId="36F9DA2B">
      <w:pPr>
        <w:spacing w:line="360" w:lineRule="auto"/>
        <w:jc w:val="center"/>
        <w:rPr>
          <w:rFonts w:hint="eastAsia" w:ascii="仿宋" w:hAnsi="仿宋" w:eastAsia="仿宋"/>
          <w:color w:val="auto"/>
          <w:sz w:val="32"/>
          <w:szCs w:val="32"/>
          <w:highlight w:val="none"/>
        </w:rPr>
      </w:pPr>
    </w:p>
    <w:p w14:paraId="77C1ABD4">
      <w:pPr>
        <w:spacing w:line="360" w:lineRule="auto"/>
        <w:jc w:val="center"/>
        <w:rPr>
          <w:rFonts w:hint="eastAsia" w:ascii="仿宋" w:hAnsi="仿宋" w:eastAsia="仿宋"/>
          <w:color w:val="auto"/>
          <w:sz w:val="32"/>
          <w:szCs w:val="32"/>
          <w:highlight w:val="none"/>
        </w:rPr>
      </w:pPr>
    </w:p>
    <w:p w14:paraId="19B3443C">
      <w:pPr>
        <w:spacing w:line="360" w:lineRule="auto"/>
        <w:jc w:val="center"/>
        <w:rPr>
          <w:rFonts w:hint="eastAsia" w:ascii="仿宋" w:hAnsi="仿宋" w:eastAsia="仿宋"/>
          <w:color w:val="auto"/>
          <w:sz w:val="32"/>
          <w:szCs w:val="32"/>
          <w:highlight w:val="none"/>
        </w:rPr>
      </w:pPr>
    </w:p>
    <w:p w14:paraId="296921C2">
      <w:pPr>
        <w:spacing w:line="360" w:lineRule="auto"/>
        <w:jc w:val="center"/>
        <w:rPr>
          <w:rFonts w:hint="eastAsia" w:ascii="仿宋" w:hAnsi="仿宋" w:eastAsia="仿宋"/>
          <w:color w:val="auto"/>
          <w:sz w:val="32"/>
          <w:szCs w:val="32"/>
          <w:highlight w:val="none"/>
        </w:rPr>
      </w:pPr>
    </w:p>
    <w:p w14:paraId="08E4822B">
      <w:pPr>
        <w:spacing w:line="360" w:lineRule="auto"/>
        <w:jc w:val="center"/>
        <w:rPr>
          <w:rFonts w:hint="eastAsia" w:ascii="仿宋" w:hAnsi="仿宋" w:eastAsia="仿宋"/>
          <w:color w:val="auto"/>
          <w:sz w:val="32"/>
          <w:szCs w:val="32"/>
          <w:highlight w:val="none"/>
        </w:rPr>
      </w:pPr>
    </w:p>
    <w:p w14:paraId="700AEE2F">
      <w:pPr>
        <w:spacing w:line="360" w:lineRule="auto"/>
        <w:jc w:val="center"/>
        <w:rPr>
          <w:rFonts w:hint="eastAsia" w:ascii="仿宋" w:hAnsi="仿宋" w:eastAsia="仿宋"/>
          <w:color w:val="auto"/>
          <w:sz w:val="32"/>
          <w:szCs w:val="32"/>
          <w:highlight w:val="none"/>
        </w:rPr>
      </w:pPr>
    </w:p>
    <w:p w14:paraId="614C6F6C">
      <w:pPr>
        <w:spacing w:line="360" w:lineRule="auto"/>
        <w:jc w:val="center"/>
        <w:rPr>
          <w:rFonts w:hint="eastAsia" w:ascii="仿宋" w:hAnsi="仿宋" w:eastAsia="仿宋"/>
          <w:color w:val="auto"/>
          <w:sz w:val="32"/>
          <w:szCs w:val="32"/>
          <w:highlight w:val="none"/>
        </w:rPr>
      </w:pPr>
    </w:p>
    <w:p w14:paraId="18D6D24E">
      <w:pPr>
        <w:spacing w:line="360" w:lineRule="auto"/>
        <w:jc w:val="center"/>
        <w:rPr>
          <w:rFonts w:hint="eastAsia" w:ascii="仿宋" w:hAnsi="仿宋" w:eastAsia="仿宋"/>
          <w:color w:val="auto"/>
          <w:sz w:val="32"/>
          <w:szCs w:val="32"/>
          <w:highlight w:val="none"/>
        </w:rPr>
      </w:pPr>
    </w:p>
    <w:p w14:paraId="3554F6E8">
      <w:pPr>
        <w:spacing w:line="360" w:lineRule="auto"/>
        <w:jc w:val="center"/>
        <w:rPr>
          <w:rFonts w:hint="eastAsia" w:ascii="仿宋" w:hAnsi="仿宋" w:eastAsia="仿宋"/>
          <w:color w:val="auto"/>
          <w:sz w:val="32"/>
          <w:szCs w:val="32"/>
          <w:highlight w:val="none"/>
        </w:rPr>
      </w:pPr>
    </w:p>
    <w:p w14:paraId="4D54A766">
      <w:pPr>
        <w:spacing w:line="360" w:lineRule="auto"/>
        <w:jc w:val="center"/>
        <w:rPr>
          <w:rFonts w:hint="eastAsia" w:ascii="仿宋" w:hAnsi="仿宋" w:eastAsia="仿宋"/>
          <w:color w:val="auto"/>
          <w:sz w:val="32"/>
          <w:szCs w:val="32"/>
          <w:highlight w:val="none"/>
        </w:rPr>
      </w:pPr>
    </w:p>
    <w:p w14:paraId="24982168">
      <w:pPr>
        <w:spacing w:line="360" w:lineRule="auto"/>
        <w:jc w:val="center"/>
        <w:rPr>
          <w:rFonts w:hint="eastAsia" w:ascii="仿宋" w:hAnsi="仿宋" w:eastAsia="仿宋"/>
          <w:color w:val="auto"/>
          <w:sz w:val="32"/>
          <w:szCs w:val="32"/>
          <w:highlight w:val="none"/>
        </w:rPr>
      </w:pPr>
    </w:p>
    <w:p w14:paraId="2C5AA15F">
      <w:pPr>
        <w:spacing w:line="360" w:lineRule="auto"/>
        <w:jc w:val="center"/>
        <w:rPr>
          <w:rFonts w:hint="eastAsia" w:ascii="仿宋" w:hAnsi="仿宋" w:eastAsia="仿宋"/>
          <w:color w:val="auto"/>
          <w:sz w:val="32"/>
          <w:szCs w:val="32"/>
          <w:highlight w:val="none"/>
        </w:rPr>
      </w:pPr>
    </w:p>
    <w:p w14:paraId="18997140">
      <w:pPr>
        <w:spacing w:line="360" w:lineRule="auto"/>
        <w:jc w:val="center"/>
        <w:rPr>
          <w:rFonts w:hint="eastAsia" w:ascii="仿宋" w:hAnsi="仿宋" w:eastAsia="仿宋"/>
          <w:color w:val="auto"/>
          <w:sz w:val="32"/>
          <w:szCs w:val="32"/>
          <w:highlight w:val="none"/>
        </w:rPr>
      </w:pPr>
    </w:p>
    <w:p w14:paraId="017AE6AD">
      <w:pPr>
        <w:spacing w:line="360" w:lineRule="auto"/>
        <w:jc w:val="center"/>
        <w:rPr>
          <w:rFonts w:hint="eastAsia" w:ascii="仿宋" w:hAnsi="仿宋" w:eastAsia="仿宋"/>
          <w:color w:val="auto"/>
          <w:sz w:val="32"/>
          <w:szCs w:val="32"/>
          <w:highlight w:val="none"/>
        </w:rPr>
      </w:pPr>
    </w:p>
    <w:p w14:paraId="0B61CEB7">
      <w:pPr>
        <w:spacing w:line="360" w:lineRule="auto"/>
        <w:jc w:val="center"/>
        <w:rPr>
          <w:rFonts w:hint="eastAsia" w:ascii="仿宋" w:hAnsi="仿宋" w:eastAsia="仿宋"/>
          <w:color w:val="auto"/>
          <w:sz w:val="32"/>
          <w:szCs w:val="32"/>
          <w:highlight w:val="none"/>
        </w:rPr>
      </w:pPr>
    </w:p>
    <w:p w14:paraId="1474EDAC">
      <w:pPr>
        <w:spacing w:line="240" w:lineRule="auto"/>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498FA655">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11</w:t>
      </w:r>
    </w:p>
    <w:p w14:paraId="72F69DD1">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经营管理方案</w:t>
      </w:r>
    </w:p>
    <w:p w14:paraId="730C32B8">
      <w:pPr>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（包括规章制度、实施措施、经营方案（含</w:t>
      </w:r>
      <w:r>
        <w:rPr>
          <w:rFonts w:hint="eastAsia" w:ascii="仿宋" w:hAnsi="仿宋" w:eastAsia="仿宋" w:cs="华文细黑"/>
          <w:color w:val="auto"/>
          <w:sz w:val="28"/>
          <w:szCs w:val="28"/>
          <w:highlight w:val="none"/>
        </w:rPr>
        <w:t>经营管理目标、场地规划、餐厅布置</w:t>
      </w:r>
      <w:r>
        <w:rPr>
          <w:rFonts w:hint="eastAsia" w:ascii="仿宋" w:hAnsi="仿宋" w:eastAsia="仿宋"/>
          <w:color w:val="auto"/>
          <w:sz w:val="32"/>
          <w:szCs w:val="32"/>
          <w:highlight w:val="none"/>
        </w:rPr>
        <w:t>）、餐费定价水平、服务承诺及卫生安全保障等）</w:t>
      </w:r>
    </w:p>
    <w:p w14:paraId="479E8E76">
      <w:pPr>
        <w:spacing w:line="500" w:lineRule="exact"/>
        <w:jc w:val="left"/>
        <w:rPr>
          <w:rFonts w:ascii="仿宋" w:hAnsi="仿宋" w:eastAsia="仿宋"/>
          <w:b/>
          <w:bCs/>
          <w:color w:val="auto"/>
          <w:sz w:val="32"/>
          <w:szCs w:val="32"/>
          <w:highlight w:val="none"/>
        </w:rPr>
      </w:pPr>
    </w:p>
    <w:p w14:paraId="0C8A9251">
      <w:pPr>
        <w:spacing w:line="500" w:lineRule="exact"/>
        <w:rPr>
          <w:rFonts w:ascii="仿宋" w:hAnsi="仿宋" w:eastAsia="仿宋"/>
          <w:b/>
          <w:bCs/>
          <w:color w:val="auto"/>
          <w:sz w:val="32"/>
          <w:szCs w:val="32"/>
          <w:highlight w:val="none"/>
        </w:rPr>
      </w:pPr>
    </w:p>
    <w:p w14:paraId="2A1D7E01">
      <w:pPr>
        <w:spacing w:line="500" w:lineRule="exact"/>
        <w:rPr>
          <w:rFonts w:ascii="仿宋" w:hAnsi="仿宋" w:eastAsia="仿宋"/>
          <w:b/>
          <w:bCs/>
          <w:color w:val="auto"/>
          <w:sz w:val="32"/>
          <w:szCs w:val="32"/>
          <w:highlight w:val="none"/>
        </w:rPr>
      </w:pPr>
    </w:p>
    <w:p w14:paraId="127D98B2">
      <w:pPr>
        <w:spacing w:line="500" w:lineRule="exact"/>
        <w:rPr>
          <w:rFonts w:ascii="仿宋" w:hAnsi="仿宋" w:eastAsia="仿宋"/>
          <w:b/>
          <w:bCs/>
          <w:color w:val="auto"/>
          <w:sz w:val="32"/>
          <w:szCs w:val="32"/>
          <w:highlight w:val="none"/>
        </w:rPr>
      </w:pPr>
    </w:p>
    <w:p w14:paraId="77BEF8BA">
      <w:pPr>
        <w:spacing w:line="500" w:lineRule="exact"/>
        <w:rPr>
          <w:rFonts w:ascii="仿宋" w:hAnsi="仿宋" w:eastAsia="仿宋"/>
          <w:b/>
          <w:bCs/>
          <w:color w:val="auto"/>
          <w:sz w:val="32"/>
          <w:szCs w:val="32"/>
          <w:highlight w:val="none"/>
        </w:rPr>
      </w:pPr>
    </w:p>
    <w:p w14:paraId="6F3B6A41">
      <w:pPr>
        <w:spacing w:line="500" w:lineRule="exact"/>
        <w:rPr>
          <w:rFonts w:ascii="仿宋" w:hAnsi="仿宋" w:eastAsia="仿宋"/>
          <w:b/>
          <w:bCs/>
          <w:color w:val="auto"/>
          <w:sz w:val="32"/>
          <w:szCs w:val="32"/>
          <w:highlight w:val="none"/>
        </w:rPr>
      </w:pPr>
    </w:p>
    <w:p w14:paraId="13D1E793">
      <w:pPr>
        <w:spacing w:line="500" w:lineRule="exact"/>
        <w:rPr>
          <w:rFonts w:ascii="仿宋" w:hAnsi="仿宋" w:eastAsia="仿宋"/>
          <w:b/>
          <w:bCs/>
          <w:color w:val="auto"/>
          <w:sz w:val="32"/>
          <w:szCs w:val="32"/>
          <w:highlight w:val="none"/>
        </w:rPr>
      </w:pPr>
    </w:p>
    <w:p w14:paraId="7A07872F">
      <w:pPr>
        <w:spacing w:line="500" w:lineRule="exact"/>
        <w:rPr>
          <w:rFonts w:ascii="仿宋" w:hAnsi="仿宋" w:eastAsia="仿宋"/>
          <w:b/>
          <w:bCs/>
          <w:color w:val="auto"/>
          <w:sz w:val="32"/>
          <w:szCs w:val="32"/>
          <w:highlight w:val="none"/>
        </w:rPr>
      </w:pPr>
    </w:p>
    <w:p w14:paraId="78BFCB75">
      <w:pPr>
        <w:spacing w:line="500" w:lineRule="exact"/>
        <w:rPr>
          <w:rFonts w:ascii="仿宋" w:hAnsi="仿宋" w:eastAsia="仿宋"/>
          <w:b/>
          <w:bCs/>
          <w:color w:val="auto"/>
          <w:sz w:val="32"/>
          <w:szCs w:val="32"/>
          <w:highlight w:val="none"/>
        </w:rPr>
      </w:pPr>
    </w:p>
    <w:p w14:paraId="273F2428">
      <w:pPr>
        <w:spacing w:line="500" w:lineRule="exact"/>
        <w:rPr>
          <w:rFonts w:ascii="仿宋" w:hAnsi="仿宋" w:eastAsia="仿宋"/>
          <w:b/>
          <w:bCs/>
          <w:color w:val="auto"/>
          <w:sz w:val="32"/>
          <w:szCs w:val="32"/>
          <w:highlight w:val="none"/>
        </w:rPr>
      </w:pPr>
    </w:p>
    <w:p w14:paraId="14058993">
      <w:pPr>
        <w:spacing w:line="500" w:lineRule="exact"/>
        <w:rPr>
          <w:rFonts w:ascii="仿宋" w:hAnsi="仿宋" w:eastAsia="仿宋"/>
          <w:b/>
          <w:bCs/>
          <w:color w:val="auto"/>
          <w:sz w:val="32"/>
          <w:szCs w:val="32"/>
          <w:highlight w:val="none"/>
        </w:rPr>
      </w:pPr>
    </w:p>
    <w:p w14:paraId="3116A2A7">
      <w:pPr>
        <w:spacing w:line="500" w:lineRule="exact"/>
        <w:rPr>
          <w:rFonts w:ascii="仿宋" w:hAnsi="仿宋" w:eastAsia="仿宋"/>
          <w:b/>
          <w:bCs/>
          <w:color w:val="auto"/>
          <w:sz w:val="32"/>
          <w:szCs w:val="32"/>
          <w:highlight w:val="none"/>
        </w:rPr>
      </w:pPr>
    </w:p>
    <w:p w14:paraId="13E1E08A">
      <w:pPr>
        <w:spacing w:line="500" w:lineRule="exact"/>
        <w:rPr>
          <w:rFonts w:ascii="仿宋" w:hAnsi="仿宋" w:eastAsia="仿宋"/>
          <w:b/>
          <w:bCs/>
          <w:color w:val="auto"/>
          <w:sz w:val="32"/>
          <w:szCs w:val="32"/>
          <w:highlight w:val="none"/>
        </w:rPr>
      </w:pPr>
    </w:p>
    <w:p w14:paraId="0C58B13D">
      <w:pPr>
        <w:spacing w:line="500" w:lineRule="exact"/>
        <w:rPr>
          <w:rFonts w:ascii="仿宋" w:hAnsi="仿宋" w:eastAsia="仿宋"/>
          <w:b/>
          <w:bCs/>
          <w:color w:val="auto"/>
          <w:sz w:val="32"/>
          <w:szCs w:val="32"/>
          <w:highlight w:val="none"/>
        </w:rPr>
      </w:pPr>
    </w:p>
    <w:p w14:paraId="15FB40A2">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363309E7">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投标人代表签字：</w:t>
      </w:r>
    </w:p>
    <w:p w14:paraId="1084D331">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1F48FE1E">
      <w:pPr>
        <w:spacing w:line="360" w:lineRule="auto"/>
        <w:jc w:val="center"/>
        <w:rPr>
          <w:rFonts w:hint="eastAsia" w:ascii="仿宋" w:hAnsi="仿宋" w:eastAsia="仿宋"/>
          <w:color w:val="auto"/>
          <w:sz w:val="32"/>
          <w:szCs w:val="32"/>
          <w:highlight w:val="none"/>
        </w:rPr>
      </w:pPr>
    </w:p>
    <w:p w14:paraId="071CAAEC">
      <w:pPr>
        <w:spacing w:line="360" w:lineRule="auto"/>
        <w:jc w:val="center"/>
        <w:rPr>
          <w:rFonts w:hint="eastAsia" w:ascii="仿宋" w:hAnsi="仿宋" w:eastAsia="仿宋"/>
          <w:color w:val="auto"/>
          <w:sz w:val="32"/>
          <w:szCs w:val="32"/>
          <w:highlight w:val="none"/>
        </w:rPr>
      </w:pPr>
    </w:p>
    <w:p w14:paraId="06EB7528">
      <w:pPr>
        <w:spacing w:line="360" w:lineRule="auto"/>
        <w:jc w:val="center"/>
        <w:rPr>
          <w:rFonts w:hint="eastAsia" w:ascii="仿宋" w:hAnsi="仿宋" w:eastAsia="仿宋"/>
          <w:color w:val="auto"/>
          <w:sz w:val="32"/>
          <w:szCs w:val="32"/>
          <w:highlight w:val="none"/>
        </w:rPr>
      </w:pPr>
    </w:p>
    <w:p w14:paraId="34EC337B">
      <w:pPr>
        <w:spacing w:line="360" w:lineRule="auto"/>
        <w:jc w:val="center"/>
        <w:rPr>
          <w:rFonts w:hint="eastAsia" w:ascii="仿宋" w:hAnsi="仿宋" w:eastAsia="仿宋"/>
          <w:color w:val="auto"/>
          <w:sz w:val="32"/>
          <w:szCs w:val="32"/>
          <w:highlight w:val="none"/>
        </w:rPr>
      </w:pPr>
    </w:p>
    <w:p w14:paraId="4080B99C">
      <w:pPr>
        <w:spacing w:line="360" w:lineRule="auto"/>
        <w:jc w:val="center"/>
        <w:rPr>
          <w:rFonts w:hint="eastAsia" w:ascii="仿宋" w:hAnsi="仿宋" w:eastAsia="仿宋"/>
          <w:color w:val="auto"/>
          <w:sz w:val="32"/>
          <w:szCs w:val="32"/>
          <w:highlight w:val="none"/>
        </w:rPr>
      </w:pPr>
    </w:p>
    <w:p w14:paraId="2A06757F">
      <w:pPr>
        <w:spacing w:line="220" w:lineRule="atLeast"/>
        <w:jc w:val="left"/>
        <w:rPr>
          <w:rFonts w:hint="eastAsia" w:ascii="仿宋" w:hAnsi="仿宋" w:eastAsia="仿宋"/>
          <w:color w:val="auto"/>
          <w:sz w:val="32"/>
          <w:highlight w:val="none"/>
        </w:rPr>
      </w:pPr>
      <w:bookmarkStart w:id="212" w:name="_Toc19182"/>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12</w:t>
      </w:r>
    </w:p>
    <w:p w14:paraId="1E4A61CF">
      <w:pPr>
        <w:spacing w:line="220" w:lineRule="atLeast"/>
        <w:jc w:val="center"/>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突发事故的处理预案（包括卫生安全预案等）</w:t>
      </w:r>
      <w:bookmarkEnd w:id="212"/>
    </w:p>
    <w:p w14:paraId="5E7CC571">
      <w:pPr>
        <w:spacing w:line="500" w:lineRule="exact"/>
        <w:jc w:val="left"/>
        <w:rPr>
          <w:rFonts w:ascii="仿宋" w:hAnsi="仿宋" w:eastAsia="仿宋"/>
          <w:b/>
          <w:bCs/>
          <w:color w:val="auto"/>
          <w:sz w:val="32"/>
          <w:szCs w:val="32"/>
          <w:highlight w:val="none"/>
        </w:rPr>
      </w:pPr>
    </w:p>
    <w:p w14:paraId="5D6D0AAE">
      <w:pPr>
        <w:spacing w:line="500" w:lineRule="exact"/>
        <w:rPr>
          <w:rFonts w:ascii="仿宋" w:hAnsi="仿宋" w:eastAsia="仿宋"/>
          <w:b/>
          <w:bCs/>
          <w:color w:val="auto"/>
          <w:sz w:val="32"/>
          <w:szCs w:val="32"/>
          <w:highlight w:val="none"/>
        </w:rPr>
      </w:pPr>
    </w:p>
    <w:p w14:paraId="097622A7">
      <w:pPr>
        <w:spacing w:line="500" w:lineRule="exact"/>
        <w:rPr>
          <w:rFonts w:ascii="仿宋" w:hAnsi="仿宋" w:eastAsia="仿宋"/>
          <w:b/>
          <w:bCs/>
          <w:color w:val="auto"/>
          <w:sz w:val="32"/>
          <w:szCs w:val="32"/>
          <w:highlight w:val="none"/>
        </w:rPr>
      </w:pPr>
    </w:p>
    <w:p w14:paraId="7AF55CF7">
      <w:pPr>
        <w:spacing w:line="500" w:lineRule="exact"/>
        <w:rPr>
          <w:rFonts w:ascii="仿宋" w:hAnsi="仿宋" w:eastAsia="仿宋"/>
          <w:b/>
          <w:bCs/>
          <w:color w:val="auto"/>
          <w:sz w:val="32"/>
          <w:szCs w:val="32"/>
          <w:highlight w:val="none"/>
        </w:rPr>
      </w:pPr>
    </w:p>
    <w:p w14:paraId="47580831">
      <w:pPr>
        <w:spacing w:line="500" w:lineRule="exact"/>
        <w:rPr>
          <w:rFonts w:ascii="仿宋" w:hAnsi="仿宋" w:eastAsia="仿宋"/>
          <w:b/>
          <w:bCs/>
          <w:color w:val="auto"/>
          <w:sz w:val="32"/>
          <w:szCs w:val="32"/>
          <w:highlight w:val="none"/>
        </w:rPr>
      </w:pPr>
    </w:p>
    <w:p w14:paraId="6D641D6C">
      <w:pPr>
        <w:spacing w:line="500" w:lineRule="exact"/>
        <w:rPr>
          <w:rFonts w:ascii="仿宋" w:hAnsi="仿宋" w:eastAsia="仿宋"/>
          <w:b/>
          <w:bCs/>
          <w:color w:val="auto"/>
          <w:sz w:val="32"/>
          <w:szCs w:val="32"/>
          <w:highlight w:val="none"/>
        </w:rPr>
      </w:pPr>
    </w:p>
    <w:p w14:paraId="002061C5">
      <w:pPr>
        <w:spacing w:line="500" w:lineRule="exact"/>
        <w:rPr>
          <w:rFonts w:ascii="仿宋" w:hAnsi="仿宋" w:eastAsia="仿宋"/>
          <w:b/>
          <w:bCs/>
          <w:color w:val="auto"/>
          <w:sz w:val="32"/>
          <w:szCs w:val="32"/>
          <w:highlight w:val="none"/>
        </w:rPr>
      </w:pPr>
    </w:p>
    <w:p w14:paraId="43CC076B">
      <w:pPr>
        <w:spacing w:line="500" w:lineRule="exact"/>
        <w:rPr>
          <w:rFonts w:ascii="仿宋" w:hAnsi="仿宋" w:eastAsia="仿宋"/>
          <w:b/>
          <w:bCs/>
          <w:color w:val="auto"/>
          <w:sz w:val="32"/>
          <w:szCs w:val="32"/>
          <w:highlight w:val="none"/>
        </w:rPr>
      </w:pPr>
    </w:p>
    <w:p w14:paraId="65C7CB88">
      <w:pPr>
        <w:spacing w:line="500" w:lineRule="exact"/>
        <w:rPr>
          <w:rFonts w:ascii="仿宋" w:hAnsi="仿宋" w:eastAsia="仿宋"/>
          <w:b/>
          <w:bCs/>
          <w:color w:val="auto"/>
          <w:sz w:val="32"/>
          <w:szCs w:val="32"/>
          <w:highlight w:val="none"/>
        </w:rPr>
      </w:pPr>
    </w:p>
    <w:p w14:paraId="01F23951">
      <w:pPr>
        <w:spacing w:line="500" w:lineRule="exact"/>
        <w:rPr>
          <w:rFonts w:ascii="仿宋" w:hAnsi="仿宋" w:eastAsia="仿宋"/>
          <w:b/>
          <w:bCs/>
          <w:color w:val="auto"/>
          <w:sz w:val="32"/>
          <w:szCs w:val="32"/>
          <w:highlight w:val="none"/>
        </w:rPr>
      </w:pPr>
    </w:p>
    <w:p w14:paraId="36DC1E48">
      <w:pPr>
        <w:spacing w:line="500" w:lineRule="exact"/>
        <w:rPr>
          <w:rFonts w:ascii="仿宋" w:hAnsi="仿宋" w:eastAsia="仿宋"/>
          <w:b/>
          <w:bCs/>
          <w:color w:val="auto"/>
          <w:sz w:val="32"/>
          <w:szCs w:val="32"/>
          <w:highlight w:val="none"/>
        </w:rPr>
      </w:pPr>
    </w:p>
    <w:p w14:paraId="1C91B11D">
      <w:pPr>
        <w:spacing w:line="500" w:lineRule="exact"/>
        <w:rPr>
          <w:rFonts w:ascii="仿宋" w:hAnsi="仿宋" w:eastAsia="仿宋"/>
          <w:b/>
          <w:bCs/>
          <w:color w:val="auto"/>
          <w:sz w:val="32"/>
          <w:szCs w:val="32"/>
          <w:highlight w:val="none"/>
        </w:rPr>
      </w:pPr>
    </w:p>
    <w:p w14:paraId="5AE86918">
      <w:pPr>
        <w:spacing w:line="500" w:lineRule="exact"/>
        <w:rPr>
          <w:rFonts w:ascii="仿宋" w:hAnsi="仿宋" w:eastAsia="仿宋"/>
          <w:b/>
          <w:bCs/>
          <w:color w:val="auto"/>
          <w:sz w:val="32"/>
          <w:szCs w:val="32"/>
          <w:highlight w:val="none"/>
        </w:rPr>
      </w:pPr>
    </w:p>
    <w:p w14:paraId="55B00E01">
      <w:pPr>
        <w:spacing w:line="500" w:lineRule="exact"/>
        <w:rPr>
          <w:rFonts w:ascii="仿宋" w:hAnsi="仿宋" w:eastAsia="仿宋"/>
          <w:b/>
          <w:bCs/>
          <w:color w:val="auto"/>
          <w:sz w:val="32"/>
          <w:szCs w:val="32"/>
          <w:highlight w:val="none"/>
        </w:rPr>
      </w:pPr>
    </w:p>
    <w:p w14:paraId="3004D624">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01B79A3A">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投标人代表签字：</w:t>
      </w:r>
    </w:p>
    <w:p w14:paraId="0D07B469">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5ED8CBF3">
      <w:pPr>
        <w:spacing w:line="220" w:lineRule="atLeast"/>
        <w:jc w:val="left"/>
        <w:rPr>
          <w:rFonts w:ascii="仿宋" w:hAnsi="仿宋" w:eastAsia="仿宋"/>
          <w:b/>
          <w:bCs/>
          <w:color w:val="auto"/>
          <w:sz w:val="32"/>
          <w:szCs w:val="32"/>
          <w:highlight w:val="none"/>
        </w:rPr>
      </w:pPr>
    </w:p>
    <w:p w14:paraId="51F17B31">
      <w:pPr>
        <w:spacing w:line="360" w:lineRule="auto"/>
        <w:jc w:val="center"/>
        <w:rPr>
          <w:rFonts w:hint="eastAsia" w:ascii="仿宋" w:hAnsi="仿宋" w:eastAsia="仿宋"/>
          <w:color w:val="auto"/>
          <w:sz w:val="32"/>
          <w:szCs w:val="32"/>
          <w:highlight w:val="none"/>
        </w:rPr>
      </w:pPr>
    </w:p>
    <w:p w14:paraId="75F11CA3">
      <w:pPr>
        <w:spacing w:line="360" w:lineRule="auto"/>
        <w:jc w:val="center"/>
        <w:rPr>
          <w:rFonts w:hint="eastAsia" w:ascii="仿宋" w:hAnsi="仿宋" w:eastAsia="仿宋"/>
          <w:color w:val="auto"/>
          <w:sz w:val="32"/>
          <w:szCs w:val="32"/>
          <w:highlight w:val="none"/>
        </w:rPr>
      </w:pPr>
    </w:p>
    <w:p w14:paraId="7B7D0854">
      <w:pPr>
        <w:spacing w:line="360" w:lineRule="auto"/>
        <w:jc w:val="center"/>
        <w:rPr>
          <w:rFonts w:hint="eastAsia" w:ascii="仿宋" w:hAnsi="仿宋" w:eastAsia="仿宋"/>
          <w:color w:val="auto"/>
          <w:sz w:val="32"/>
          <w:szCs w:val="32"/>
          <w:highlight w:val="none"/>
        </w:rPr>
      </w:pPr>
    </w:p>
    <w:p w14:paraId="47AC8106">
      <w:pPr>
        <w:spacing w:line="360" w:lineRule="auto"/>
        <w:jc w:val="center"/>
        <w:rPr>
          <w:rFonts w:hint="eastAsia" w:ascii="仿宋" w:hAnsi="仿宋" w:eastAsia="仿宋"/>
          <w:color w:val="auto"/>
          <w:sz w:val="32"/>
          <w:szCs w:val="32"/>
          <w:highlight w:val="none"/>
        </w:rPr>
      </w:pPr>
    </w:p>
    <w:p w14:paraId="3CC2DAF2">
      <w:pPr>
        <w:spacing w:line="360" w:lineRule="auto"/>
        <w:jc w:val="center"/>
        <w:rPr>
          <w:rFonts w:hint="eastAsia" w:ascii="仿宋" w:hAnsi="仿宋" w:eastAsia="仿宋"/>
          <w:color w:val="auto"/>
          <w:sz w:val="32"/>
          <w:szCs w:val="32"/>
          <w:highlight w:val="none"/>
        </w:rPr>
      </w:pPr>
    </w:p>
    <w:p w14:paraId="112EDAB5">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6AD85C8F">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13</w:t>
      </w:r>
    </w:p>
    <w:p w14:paraId="35ADBF4B">
      <w:pPr>
        <w:spacing w:line="220" w:lineRule="atLeast"/>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承诺书</w:t>
      </w:r>
    </w:p>
    <w:p w14:paraId="74EE24AB">
      <w:pPr>
        <w:spacing w:line="300" w:lineRule="exact"/>
        <w:jc w:val="center"/>
        <w:rPr>
          <w:rFonts w:ascii="仿宋" w:hAnsi="仿宋" w:eastAsia="仿宋"/>
          <w:b/>
          <w:color w:val="auto"/>
          <w:sz w:val="28"/>
          <w:szCs w:val="28"/>
          <w:highlight w:val="none"/>
        </w:rPr>
      </w:pPr>
    </w:p>
    <w:p w14:paraId="43AB4137">
      <w:pPr>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（在以往餐饮经营中无任何食品卫生、消防安全等方面的不良记录、招标文件中要求投标人作出的其他承诺等）</w:t>
      </w:r>
    </w:p>
    <w:p w14:paraId="6225D4F7">
      <w:pPr>
        <w:spacing w:line="500" w:lineRule="exact"/>
        <w:jc w:val="left"/>
        <w:rPr>
          <w:rFonts w:ascii="仿宋" w:hAnsi="仿宋" w:eastAsia="仿宋"/>
          <w:b/>
          <w:bCs/>
          <w:color w:val="auto"/>
          <w:sz w:val="32"/>
          <w:szCs w:val="32"/>
          <w:highlight w:val="none"/>
        </w:rPr>
      </w:pPr>
    </w:p>
    <w:p w14:paraId="5EECEC69">
      <w:pPr>
        <w:spacing w:line="500" w:lineRule="exact"/>
        <w:rPr>
          <w:rFonts w:ascii="仿宋" w:hAnsi="仿宋" w:eastAsia="仿宋"/>
          <w:b/>
          <w:bCs/>
          <w:color w:val="auto"/>
          <w:sz w:val="32"/>
          <w:szCs w:val="32"/>
          <w:highlight w:val="none"/>
        </w:rPr>
      </w:pPr>
    </w:p>
    <w:p w14:paraId="61EEA46D">
      <w:pPr>
        <w:spacing w:line="500" w:lineRule="exact"/>
        <w:rPr>
          <w:rFonts w:ascii="仿宋" w:hAnsi="仿宋" w:eastAsia="仿宋"/>
          <w:b/>
          <w:bCs/>
          <w:color w:val="auto"/>
          <w:sz w:val="32"/>
          <w:szCs w:val="32"/>
          <w:highlight w:val="none"/>
        </w:rPr>
      </w:pPr>
    </w:p>
    <w:p w14:paraId="6A14A1A5">
      <w:pPr>
        <w:spacing w:line="500" w:lineRule="exact"/>
        <w:rPr>
          <w:rFonts w:ascii="仿宋" w:hAnsi="仿宋" w:eastAsia="仿宋"/>
          <w:b/>
          <w:bCs/>
          <w:color w:val="auto"/>
          <w:sz w:val="32"/>
          <w:szCs w:val="32"/>
          <w:highlight w:val="none"/>
        </w:rPr>
      </w:pPr>
    </w:p>
    <w:p w14:paraId="4976AC43">
      <w:pPr>
        <w:spacing w:line="500" w:lineRule="exact"/>
        <w:rPr>
          <w:rFonts w:ascii="仿宋" w:hAnsi="仿宋" w:eastAsia="仿宋"/>
          <w:b/>
          <w:bCs/>
          <w:color w:val="auto"/>
          <w:sz w:val="32"/>
          <w:szCs w:val="32"/>
          <w:highlight w:val="none"/>
        </w:rPr>
      </w:pPr>
    </w:p>
    <w:p w14:paraId="5A70DE8F">
      <w:pPr>
        <w:spacing w:line="500" w:lineRule="exact"/>
        <w:rPr>
          <w:rFonts w:ascii="仿宋" w:hAnsi="仿宋" w:eastAsia="仿宋"/>
          <w:b/>
          <w:bCs/>
          <w:color w:val="auto"/>
          <w:sz w:val="32"/>
          <w:szCs w:val="32"/>
          <w:highlight w:val="none"/>
        </w:rPr>
      </w:pPr>
    </w:p>
    <w:p w14:paraId="2ABE1F18">
      <w:pPr>
        <w:spacing w:line="500" w:lineRule="exact"/>
        <w:rPr>
          <w:rFonts w:ascii="仿宋" w:hAnsi="仿宋" w:eastAsia="仿宋"/>
          <w:b/>
          <w:bCs/>
          <w:color w:val="auto"/>
          <w:sz w:val="32"/>
          <w:szCs w:val="32"/>
          <w:highlight w:val="none"/>
        </w:rPr>
      </w:pPr>
    </w:p>
    <w:p w14:paraId="3CB202C4">
      <w:pPr>
        <w:spacing w:line="500" w:lineRule="exact"/>
        <w:rPr>
          <w:rFonts w:ascii="仿宋" w:hAnsi="仿宋" w:eastAsia="仿宋"/>
          <w:b/>
          <w:bCs/>
          <w:color w:val="auto"/>
          <w:sz w:val="32"/>
          <w:szCs w:val="32"/>
          <w:highlight w:val="none"/>
        </w:rPr>
      </w:pPr>
    </w:p>
    <w:p w14:paraId="72D440E1">
      <w:pPr>
        <w:spacing w:line="500" w:lineRule="exact"/>
        <w:rPr>
          <w:rFonts w:ascii="仿宋" w:hAnsi="仿宋" w:eastAsia="仿宋"/>
          <w:b/>
          <w:bCs/>
          <w:color w:val="auto"/>
          <w:sz w:val="32"/>
          <w:szCs w:val="32"/>
          <w:highlight w:val="none"/>
        </w:rPr>
      </w:pPr>
    </w:p>
    <w:p w14:paraId="0FB78A4B">
      <w:pPr>
        <w:spacing w:line="500" w:lineRule="exact"/>
        <w:rPr>
          <w:rFonts w:ascii="仿宋" w:hAnsi="仿宋" w:eastAsia="仿宋"/>
          <w:b/>
          <w:bCs/>
          <w:color w:val="auto"/>
          <w:sz w:val="32"/>
          <w:szCs w:val="32"/>
          <w:highlight w:val="none"/>
        </w:rPr>
      </w:pPr>
    </w:p>
    <w:p w14:paraId="290ED67F">
      <w:pPr>
        <w:spacing w:line="500" w:lineRule="exact"/>
        <w:rPr>
          <w:rFonts w:ascii="仿宋" w:hAnsi="仿宋" w:eastAsia="仿宋"/>
          <w:b/>
          <w:bCs/>
          <w:color w:val="auto"/>
          <w:sz w:val="32"/>
          <w:szCs w:val="32"/>
          <w:highlight w:val="none"/>
        </w:rPr>
      </w:pPr>
    </w:p>
    <w:p w14:paraId="29C4F800">
      <w:pPr>
        <w:spacing w:line="500" w:lineRule="exact"/>
        <w:rPr>
          <w:rFonts w:ascii="仿宋" w:hAnsi="仿宋" w:eastAsia="仿宋"/>
          <w:b/>
          <w:bCs/>
          <w:color w:val="auto"/>
          <w:sz w:val="32"/>
          <w:szCs w:val="32"/>
          <w:highlight w:val="none"/>
        </w:rPr>
      </w:pPr>
    </w:p>
    <w:p w14:paraId="4B1D3E94">
      <w:pPr>
        <w:spacing w:line="500" w:lineRule="exact"/>
        <w:rPr>
          <w:rFonts w:ascii="仿宋" w:hAnsi="仿宋" w:eastAsia="仿宋"/>
          <w:b/>
          <w:bCs/>
          <w:color w:val="auto"/>
          <w:sz w:val="32"/>
          <w:szCs w:val="32"/>
          <w:highlight w:val="none"/>
        </w:rPr>
      </w:pPr>
    </w:p>
    <w:p w14:paraId="405CEAE6">
      <w:pPr>
        <w:spacing w:line="500" w:lineRule="exact"/>
        <w:rPr>
          <w:rFonts w:ascii="仿宋" w:hAnsi="仿宋" w:eastAsia="仿宋"/>
          <w:b/>
          <w:bCs/>
          <w:color w:val="auto"/>
          <w:sz w:val="32"/>
          <w:szCs w:val="32"/>
          <w:highlight w:val="none"/>
        </w:rPr>
      </w:pPr>
    </w:p>
    <w:p w14:paraId="583E5500">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74CC153E">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投标人代表签字：</w:t>
      </w:r>
    </w:p>
    <w:p w14:paraId="6C4D15E5">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26AE2BE2">
      <w:pPr>
        <w:spacing w:line="360" w:lineRule="auto"/>
        <w:jc w:val="both"/>
        <w:rPr>
          <w:rFonts w:hint="eastAsia" w:ascii="仿宋" w:hAnsi="仿宋" w:eastAsia="仿宋"/>
          <w:color w:val="auto"/>
          <w:sz w:val="32"/>
          <w:szCs w:val="32"/>
          <w:highlight w:val="none"/>
        </w:rPr>
      </w:pPr>
    </w:p>
    <w:p w14:paraId="5992BD30">
      <w:pPr>
        <w:spacing w:line="360" w:lineRule="auto"/>
        <w:jc w:val="both"/>
        <w:rPr>
          <w:rFonts w:hint="eastAsia" w:ascii="仿宋" w:hAnsi="仿宋" w:eastAsia="仿宋"/>
          <w:color w:val="auto"/>
          <w:sz w:val="32"/>
          <w:szCs w:val="32"/>
          <w:highlight w:val="none"/>
        </w:rPr>
      </w:pPr>
    </w:p>
    <w:p w14:paraId="049325E1">
      <w:pPr>
        <w:spacing w:line="360" w:lineRule="auto"/>
        <w:jc w:val="both"/>
        <w:rPr>
          <w:rFonts w:hint="eastAsia" w:ascii="仿宋" w:hAnsi="仿宋" w:eastAsia="仿宋"/>
          <w:color w:val="auto"/>
          <w:sz w:val="32"/>
          <w:szCs w:val="32"/>
          <w:highlight w:val="none"/>
        </w:rPr>
      </w:pPr>
    </w:p>
    <w:p w14:paraId="69F1F664">
      <w:pPr>
        <w:spacing w:line="360" w:lineRule="auto"/>
        <w:jc w:val="both"/>
        <w:rPr>
          <w:rFonts w:hint="eastAsia" w:ascii="仿宋" w:hAnsi="仿宋" w:eastAsia="仿宋"/>
          <w:color w:val="auto"/>
          <w:sz w:val="32"/>
          <w:szCs w:val="32"/>
          <w:highlight w:val="none"/>
        </w:rPr>
      </w:pPr>
    </w:p>
    <w:p w14:paraId="03A1BA6D">
      <w:pPr>
        <w:spacing w:line="240" w:lineRule="auto"/>
        <w:jc w:val="left"/>
        <w:rPr>
          <w:rFonts w:hint="eastAsia" w:ascii="仿宋" w:hAnsi="仿宋" w:eastAsia="仿宋"/>
          <w:b/>
          <w:bCs/>
          <w:color w:val="auto"/>
          <w:sz w:val="32"/>
          <w:szCs w:val="32"/>
          <w:highlight w:val="none"/>
        </w:rPr>
      </w:pPr>
      <w:bookmarkStart w:id="213" w:name="_Toc6969"/>
      <w:r>
        <w:rPr>
          <w:rFonts w:hint="eastAsia" w:ascii="仿宋" w:hAnsi="仿宋" w:eastAsia="仿宋"/>
          <w:b/>
          <w:bCs/>
          <w:color w:val="auto"/>
          <w:sz w:val="32"/>
          <w:szCs w:val="32"/>
          <w:highlight w:val="none"/>
        </w:rPr>
        <w:br w:type="page"/>
      </w:r>
    </w:p>
    <w:p w14:paraId="156C884E">
      <w:pPr>
        <w:spacing w:line="240" w:lineRule="auto"/>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14</w:t>
      </w:r>
    </w:p>
    <w:p w14:paraId="0F25A578">
      <w:pPr>
        <w:spacing w:line="220" w:lineRule="atLeast"/>
        <w:jc w:val="center"/>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人员配备情况</w:t>
      </w:r>
      <w:bookmarkEnd w:id="213"/>
    </w:p>
    <w:p w14:paraId="02C4E309">
      <w:pPr>
        <w:spacing w:line="360" w:lineRule="auto"/>
        <w:jc w:val="center"/>
        <w:rPr>
          <w:rFonts w:ascii="宋体" w:hAnsi="宋体" w:cs="宋体"/>
          <w:color w:val="auto"/>
          <w:sz w:val="24"/>
          <w:highlight w:val="none"/>
        </w:rPr>
      </w:pPr>
      <w:r>
        <w:rPr>
          <w:rFonts w:hint="eastAsia" w:ascii="仿宋" w:hAnsi="仿宋" w:eastAsia="仿宋"/>
          <w:color w:val="auto"/>
          <w:sz w:val="32"/>
          <w:szCs w:val="32"/>
          <w:highlight w:val="none"/>
        </w:rPr>
        <w:t>（包括拟派往人数及人员简历、业务经历、执业证书等）</w:t>
      </w:r>
    </w:p>
    <w:p w14:paraId="07D28A0E">
      <w:pPr>
        <w:spacing w:line="500" w:lineRule="exact"/>
        <w:jc w:val="left"/>
        <w:rPr>
          <w:rFonts w:ascii="仿宋" w:hAnsi="仿宋" w:eastAsia="仿宋"/>
          <w:b/>
          <w:bCs/>
          <w:color w:val="auto"/>
          <w:sz w:val="32"/>
          <w:szCs w:val="32"/>
          <w:highlight w:val="none"/>
        </w:rPr>
      </w:pPr>
    </w:p>
    <w:p w14:paraId="579BC825">
      <w:pPr>
        <w:spacing w:line="500" w:lineRule="exact"/>
        <w:rPr>
          <w:rFonts w:ascii="仿宋" w:hAnsi="仿宋" w:eastAsia="仿宋"/>
          <w:b/>
          <w:bCs/>
          <w:color w:val="auto"/>
          <w:sz w:val="32"/>
          <w:szCs w:val="32"/>
          <w:highlight w:val="none"/>
        </w:rPr>
      </w:pPr>
    </w:p>
    <w:p w14:paraId="2AEDB39F">
      <w:pPr>
        <w:spacing w:line="500" w:lineRule="exact"/>
        <w:rPr>
          <w:rFonts w:ascii="仿宋" w:hAnsi="仿宋" w:eastAsia="仿宋"/>
          <w:b/>
          <w:bCs/>
          <w:color w:val="auto"/>
          <w:sz w:val="32"/>
          <w:szCs w:val="32"/>
          <w:highlight w:val="none"/>
        </w:rPr>
      </w:pPr>
    </w:p>
    <w:p w14:paraId="7BE04EE8">
      <w:pPr>
        <w:spacing w:line="500" w:lineRule="exact"/>
        <w:rPr>
          <w:rFonts w:ascii="仿宋" w:hAnsi="仿宋" w:eastAsia="仿宋"/>
          <w:b/>
          <w:bCs/>
          <w:color w:val="auto"/>
          <w:sz w:val="32"/>
          <w:szCs w:val="32"/>
          <w:highlight w:val="none"/>
        </w:rPr>
      </w:pPr>
    </w:p>
    <w:p w14:paraId="7B449455">
      <w:pPr>
        <w:spacing w:line="500" w:lineRule="exact"/>
        <w:rPr>
          <w:rFonts w:ascii="仿宋" w:hAnsi="仿宋" w:eastAsia="仿宋"/>
          <w:b/>
          <w:bCs/>
          <w:color w:val="auto"/>
          <w:sz w:val="32"/>
          <w:szCs w:val="32"/>
          <w:highlight w:val="none"/>
        </w:rPr>
      </w:pPr>
    </w:p>
    <w:p w14:paraId="7B04372C">
      <w:pPr>
        <w:spacing w:line="500" w:lineRule="exact"/>
        <w:rPr>
          <w:rFonts w:ascii="仿宋" w:hAnsi="仿宋" w:eastAsia="仿宋"/>
          <w:b/>
          <w:bCs/>
          <w:color w:val="auto"/>
          <w:sz w:val="32"/>
          <w:szCs w:val="32"/>
          <w:highlight w:val="none"/>
        </w:rPr>
      </w:pPr>
    </w:p>
    <w:p w14:paraId="731D103C">
      <w:pPr>
        <w:spacing w:line="500" w:lineRule="exact"/>
        <w:rPr>
          <w:rFonts w:ascii="仿宋" w:hAnsi="仿宋" w:eastAsia="仿宋"/>
          <w:b/>
          <w:bCs/>
          <w:color w:val="auto"/>
          <w:sz w:val="32"/>
          <w:szCs w:val="32"/>
          <w:highlight w:val="none"/>
        </w:rPr>
      </w:pPr>
    </w:p>
    <w:p w14:paraId="290D639B">
      <w:pPr>
        <w:spacing w:line="500" w:lineRule="exact"/>
        <w:rPr>
          <w:rFonts w:ascii="仿宋" w:hAnsi="仿宋" w:eastAsia="仿宋"/>
          <w:b/>
          <w:bCs/>
          <w:color w:val="auto"/>
          <w:sz w:val="32"/>
          <w:szCs w:val="32"/>
          <w:highlight w:val="none"/>
        </w:rPr>
      </w:pPr>
    </w:p>
    <w:p w14:paraId="33A3244A">
      <w:pPr>
        <w:spacing w:line="500" w:lineRule="exact"/>
        <w:rPr>
          <w:rFonts w:ascii="仿宋" w:hAnsi="仿宋" w:eastAsia="仿宋"/>
          <w:b/>
          <w:bCs/>
          <w:color w:val="auto"/>
          <w:sz w:val="32"/>
          <w:szCs w:val="32"/>
          <w:highlight w:val="none"/>
        </w:rPr>
      </w:pPr>
    </w:p>
    <w:p w14:paraId="57F45208">
      <w:pPr>
        <w:spacing w:line="500" w:lineRule="exact"/>
        <w:rPr>
          <w:rFonts w:ascii="仿宋" w:hAnsi="仿宋" w:eastAsia="仿宋"/>
          <w:b/>
          <w:bCs/>
          <w:color w:val="auto"/>
          <w:sz w:val="32"/>
          <w:szCs w:val="32"/>
          <w:highlight w:val="none"/>
        </w:rPr>
      </w:pPr>
    </w:p>
    <w:p w14:paraId="2CD2B5F4">
      <w:pPr>
        <w:spacing w:line="500" w:lineRule="exact"/>
        <w:rPr>
          <w:rFonts w:ascii="仿宋" w:hAnsi="仿宋" w:eastAsia="仿宋"/>
          <w:b/>
          <w:bCs/>
          <w:color w:val="auto"/>
          <w:sz w:val="32"/>
          <w:szCs w:val="32"/>
          <w:highlight w:val="none"/>
        </w:rPr>
      </w:pPr>
    </w:p>
    <w:p w14:paraId="4B425037">
      <w:pPr>
        <w:spacing w:line="500" w:lineRule="exact"/>
        <w:rPr>
          <w:rFonts w:ascii="仿宋" w:hAnsi="仿宋" w:eastAsia="仿宋"/>
          <w:b/>
          <w:bCs/>
          <w:color w:val="auto"/>
          <w:sz w:val="32"/>
          <w:szCs w:val="32"/>
          <w:highlight w:val="none"/>
        </w:rPr>
      </w:pPr>
    </w:p>
    <w:p w14:paraId="2891B21B">
      <w:pPr>
        <w:spacing w:line="500" w:lineRule="exact"/>
        <w:rPr>
          <w:rFonts w:ascii="仿宋" w:hAnsi="仿宋" w:eastAsia="仿宋"/>
          <w:b/>
          <w:bCs/>
          <w:color w:val="auto"/>
          <w:sz w:val="32"/>
          <w:szCs w:val="32"/>
          <w:highlight w:val="none"/>
        </w:rPr>
      </w:pPr>
    </w:p>
    <w:p w14:paraId="403EE31B">
      <w:pPr>
        <w:spacing w:line="500" w:lineRule="exact"/>
        <w:rPr>
          <w:rFonts w:ascii="仿宋" w:hAnsi="仿宋" w:eastAsia="仿宋"/>
          <w:b/>
          <w:bCs/>
          <w:color w:val="auto"/>
          <w:sz w:val="32"/>
          <w:szCs w:val="32"/>
          <w:highlight w:val="none"/>
        </w:rPr>
      </w:pPr>
    </w:p>
    <w:p w14:paraId="1D4A4BF7">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21A99369">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投标人代表签字：</w:t>
      </w:r>
    </w:p>
    <w:p w14:paraId="52270BC4">
      <w:pPr>
        <w:spacing w:line="500" w:lineRule="exact"/>
        <w:ind w:firstLine="5600" w:firstLineChars="1750"/>
        <w:rPr>
          <w:rFonts w:ascii="仿宋" w:hAnsi="仿宋" w:eastAsia="仿宋"/>
          <w:b/>
          <w:bCs/>
          <w:color w:val="auto"/>
          <w:sz w:val="32"/>
          <w:szCs w:val="32"/>
          <w:highlight w:val="none"/>
        </w:rPr>
      </w:pPr>
      <w:r>
        <w:rPr>
          <w:rFonts w:hint="eastAsia" w:ascii="仿宋" w:hAnsi="仿宋" w:eastAsia="仿宋"/>
          <w:color w:val="auto"/>
          <w:sz w:val="32"/>
          <w:szCs w:val="32"/>
          <w:highlight w:val="none"/>
        </w:rPr>
        <w:t>日          期</w:t>
      </w:r>
    </w:p>
    <w:p w14:paraId="2B683ECB">
      <w:pPr>
        <w:spacing w:line="500" w:lineRule="exact"/>
        <w:rPr>
          <w:rFonts w:ascii="仿宋" w:hAnsi="仿宋" w:eastAsia="仿宋"/>
          <w:b/>
          <w:bCs/>
          <w:color w:val="auto"/>
          <w:sz w:val="32"/>
          <w:szCs w:val="32"/>
          <w:highlight w:val="none"/>
        </w:rPr>
      </w:pPr>
    </w:p>
    <w:p w14:paraId="412081D9">
      <w:pPr>
        <w:spacing w:line="500" w:lineRule="exact"/>
        <w:rPr>
          <w:rFonts w:ascii="仿宋" w:hAnsi="仿宋" w:eastAsia="仿宋"/>
          <w:b/>
          <w:bCs/>
          <w:color w:val="auto"/>
          <w:sz w:val="32"/>
          <w:szCs w:val="32"/>
          <w:highlight w:val="none"/>
        </w:rPr>
      </w:pPr>
    </w:p>
    <w:p w14:paraId="44BC13BF">
      <w:pPr>
        <w:spacing w:line="500" w:lineRule="exact"/>
        <w:rPr>
          <w:rFonts w:ascii="仿宋" w:hAnsi="仿宋" w:eastAsia="仿宋"/>
          <w:b/>
          <w:bCs/>
          <w:color w:val="auto"/>
          <w:sz w:val="32"/>
          <w:szCs w:val="32"/>
          <w:highlight w:val="none"/>
        </w:rPr>
      </w:pPr>
    </w:p>
    <w:p w14:paraId="7E0AFE9B">
      <w:pPr>
        <w:spacing w:line="500" w:lineRule="exact"/>
        <w:rPr>
          <w:rFonts w:ascii="仿宋" w:hAnsi="仿宋" w:eastAsia="仿宋"/>
          <w:b/>
          <w:bCs/>
          <w:color w:val="auto"/>
          <w:sz w:val="32"/>
          <w:szCs w:val="32"/>
          <w:highlight w:val="none"/>
        </w:rPr>
      </w:pPr>
    </w:p>
    <w:p w14:paraId="3C2E7431">
      <w:pPr>
        <w:spacing w:line="500" w:lineRule="exact"/>
        <w:rPr>
          <w:rFonts w:ascii="仿宋" w:hAnsi="仿宋" w:eastAsia="仿宋"/>
          <w:b/>
          <w:bCs/>
          <w:color w:val="auto"/>
          <w:sz w:val="32"/>
          <w:szCs w:val="32"/>
          <w:highlight w:val="none"/>
        </w:rPr>
      </w:pPr>
    </w:p>
    <w:p w14:paraId="0FE65109">
      <w:pPr>
        <w:spacing w:line="500" w:lineRule="exact"/>
        <w:rPr>
          <w:rFonts w:ascii="仿宋" w:hAnsi="仿宋" w:eastAsia="仿宋"/>
          <w:b/>
          <w:bCs/>
          <w:color w:val="auto"/>
          <w:sz w:val="32"/>
          <w:szCs w:val="32"/>
          <w:highlight w:val="none"/>
        </w:rPr>
      </w:pPr>
    </w:p>
    <w:p w14:paraId="3C8621CD">
      <w:pPr>
        <w:spacing w:line="240" w:lineRule="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br w:type="page"/>
      </w:r>
    </w:p>
    <w:p w14:paraId="45E72DA5">
      <w:pPr>
        <w:spacing w:line="240" w:lineRule="auto"/>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val="en-US" w:eastAsia="zh-CN"/>
        </w:rPr>
        <w:t>格式</w:t>
      </w:r>
      <w:r>
        <w:rPr>
          <w:rFonts w:hint="eastAsia" w:ascii="仿宋" w:hAnsi="仿宋" w:eastAsia="仿宋"/>
          <w:b/>
          <w:bCs/>
          <w:color w:val="auto"/>
          <w:sz w:val="32"/>
          <w:szCs w:val="32"/>
          <w:highlight w:val="none"/>
        </w:rPr>
        <w:t>1</w:t>
      </w:r>
      <w:r>
        <w:rPr>
          <w:rFonts w:hint="eastAsia" w:ascii="仿宋" w:hAnsi="仿宋" w:eastAsia="仿宋"/>
          <w:b/>
          <w:bCs/>
          <w:color w:val="auto"/>
          <w:sz w:val="32"/>
          <w:szCs w:val="32"/>
          <w:highlight w:val="none"/>
          <w:lang w:val="en-US" w:eastAsia="zh-CN"/>
        </w:rPr>
        <w:t>5</w:t>
      </w:r>
    </w:p>
    <w:p w14:paraId="1DF2BA44">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拟提供菜单</w:t>
      </w:r>
    </w:p>
    <w:p w14:paraId="7DC44782">
      <w:pPr>
        <w:spacing w:line="360" w:lineRule="auto"/>
        <w:jc w:val="center"/>
        <w:rPr>
          <w:rFonts w:ascii="仿宋" w:hAnsi="仿宋" w:eastAsia="仿宋"/>
          <w:color w:val="auto"/>
          <w:sz w:val="32"/>
          <w:szCs w:val="32"/>
          <w:highlight w:val="none"/>
        </w:rPr>
      </w:pPr>
    </w:p>
    <w:p w14:paraId="015587F3">
      <w:pPr>
        <w:spacing w:line="500" w:lineRule="exact"/>
        <w:ind w:firstLine="3840" w:firstLineChars="1200"/>
        <w:rPr>
          <w:rFonts w:ascii="仿宋" w:hAnsi="仿宋" w:eastAsia="仿宋"/>
          <w:color w:val="auto"/>
          <w:sz w:val="32"/>
          <w:szCs w:val="32"/>
          <w:highlight w:val="none"/>
        </w:rPr>
      </w:pPr>
    </w:p>
    <w:p w14:paraId="08A4733B">
      <w:pPr>
        <w:spacing w:line="500" w:lineRule="exact"/>
        <w:ind w:firstLine="3840" w:firstLineChars="1200"/>
        <w:rPr>
          <w:rFonts w:ascii="仿宋" w:hAnsi="仿宋" w:eastAsia="仿宋"/>
          <w:color w:val="auto"/>
          <w:sz w:val="32"/>
          <w:szCs w:val="32"/>
          <w:highlight w:val="none"/>
        </w:rPr>
      </w:pPr>
    </w:p>
    <w:p w14:paraId="03B64290">
      <w:pPr>
        <w:spacing w:line="500" w:lineRule="exact"/>
        <w:ind w:firstLine="3840" w:firstLineChars="1200"/>
        <w:rPr>
          <w:rFonts w:ascii="仿宋" w:hAnsi="仿宋" w:eastAsia="仿宋"/>
          <w:color w:val="auto"/>
          <w:sz w:val="32"/>
          <w:szCs w:val="32"/>
          <w:highlight w:val="none"/>
        </w:rPr>
      </w:pPr>
    </w:p>
    <w:p w14:paraId="672F3488">
      <w:pPr>
        <w:spacing w:line="500" w:lineRule="exact"/>
        <w:ind w:firstLine="3840" w:firstLineChars="1200"/>
        <w:rPr>
          <w:rFonts w:ascii="仿宋" w:hAnsi="仿宋" w:eastAsia="仿宋"/>
          <w:color w:val="auto"/>
          <w:sz w:val="32"/>
          <w:szCs w:val="32"/>
          <w:highlight w:val="none"/>
        </w:rPr>
      </w:pPr>
    </w:p>
    <w:p w14:paraId="72EDC69D">
      <w:pPr>
        <w:spacing w:line="500" w:lineRule="exact"/>
        <w:ind w:firstLine="3840" w:firstLineChars="1200"/>
        <w:rPr>
          <w:rFonts w:ascii="仿宋" w:hAnsi="仿宋" w:eastAsia="仿宋"/>
          <w:color w:val="auto"/>
          <w:sz w:val="32"/>
          <w:szCs w:val="32"/>
          <w:highlight w:val="none"/>
        </w:rPr>
      </w:pPr>
    </w:p>
    <w:p w14:paraId="14FD0F1B">
      <w:pPr>
        <w:spacing w:line="500" w:lineRule="exact"/>
        <w:ind w:firstLine="3840" w:firstLineChars="1200"/>
        <w:rPr>
          <w:rFonts w:ascii="仿宋" w:hAnsi="仿宋" w:eastAsia="仿宋"/>
          <w:color w:val="auto"/>
          <w:sz w:val="32"/>
          <w:szCs w:val="32"/>
          <w:highlight w:val="none"/>
        </w:rPr>
      </w:pPr>
    </w:p>
    <w:p w14:paraId="62873E43">
      <w:pPr>
        <w:spacing w:line="500" w:lineRule="exact"/>
        <w:ind w:firstLine="3840" w:firstLineChars="1200"/>
        <w:rPr>
          <w:rFonts w:ascii="仿宋" w:hAnsi="仿宋" w:eastAsia="仿宋"/>
          <w:color w:val="auto"/>
          <w:sz w:val="32"/>
          <w:szCs w:val="32"/>
          <w:highlight w:val="none"/>
        </w:rPr>
      </w:pPr>
    </w:p>
    <w:p w14:paraId="6E0D6052">
      <w:pPr>
        <w:spacing w:line="500" w:lineRule="exact"/>
        <w:ind w:firstLine="3840" w:firstLineChars="1200"/>
        <w:rPr>
          <w:rFonts w:ascii="仿宋" w:hAnsi="仿宋" w:eastAsia="仿宋"/>
          <w:color w:val="auto"/>
          <w:sz w:val="32"/>
          <w:szCs w:val="32"/>
          <w:highlight w:val="none"/>
        </w:rPr>
      </w:pPr>
    </w:p>
    <w:p w14:paraId="78A48F0A">
      <w:pPr>
        <w:spacing w:line="500" w:lineRule="exact"/>
        <w:ind w:firstLine="3840" w:firstLineChars="1200"/>
        <w:rPr>
          <w:rFonts w:ascii="仿宋" w:hAnsi="仿宋" w:eastAsia="仿宋"/>
          <w:color w:val="auto"/>
          <w:sz w:val="32"/>
          <w:szCs w:val="32"/>
          <w:highlight w:val="none"/>
        </w:rPr>
      </w:pPr>
    </w:p>
    <w:p w14:paraId="2A44728C">
      <w:pPr>
        <w:spacing w:line="500" w:lineRule="exact"/>
        <w:ind w:firstLine="3840" w:firstLineChars="1200"/>
        <w:rPr>
          <w:rFonts w:ascii="仿宋" w:hAnsi="仿宋" w:eastAsia="仿宋"/>
          <w:color w:val="auto"/>
          <w:sz w:val="32"/>
          <w:szCs w:val="32"/>
          <w:highlight w:val="none"/>
        </w:rPr>
      </w:pPr>
    </w:p>
    <w:p w14:paraId="41A73397">
      <w:pPr>
        <w:spacing w:line="500" w:lineRule="exact"/>
        <w:ind w:firstLine="3840" w:firstLineChars="1200"/>
        <w:rPr>
          <w:rFonts w:ascii="仿宋" w:hAnsi="仿宋" w:eastAsia="仿宋"/>
          <w:color w:val="auto"/>
          <w:sz w:val="32"/>
          <w:szCs w:val="32"/>
          <w:highlight w:val="none"/>
        </w:rPr>
      </w:pPr>
    </w:p>
    <w:p w14:paraId="3F583EBB">
      <w:pPr>
        <w:spacing w:line="500" w:lineRule="exact"/>
        <w:ind w:firstLine="3840" w:firstLineChars="1200"/>
        <w:rPr>
          <w:rFonts w:ascii="仿宋" w:hAnsi="仿宋" w:eastAsia="仿宋"/>
          <w:color w:val="auto"/>
          <w:sz w:val="32"/>
          <w:szCs w:val="32"/>
          <w:highlight w:val="none"/>
        </w:rPr>
      </w:pPr>
    </w:p>
    <w:p w14:paraId="11F4DBB9">
      <w:pPr>
        <w:spacing w:line="500" w:lineRule="exact"/>
        <w:ind w:firstLine="3840" w:firstLineChars="1200"/>
        <w:rPr>
          <w:rFonts w:ascii="仿宋" w:hAnsi="仿宋" w:eastAsia="仿宋"/>
          <w:color w:val="auto"/>
          <w:sz w:val="32"/>
          <w:szCs w:val="32"/>
          <w:highlight w:val="none"/>
        </w:rPr>
      </w:pPr>
    </w:p>
    <w:p w14:paraId="6D8C7A91">
      <w:pPr>
        <w:spacing w:line="500" w:lineRule="exact"/>
        <w:ind w:firstLine="3840" w:firstLineChars="1200"/>
        <w:rPr>
          <w:rFonts w:ascii="仿宋" w:hAnsi="仿宋" w:eastAsia="仿宋"/>
          <w:color w:val="auto"/>
          <w:sz w:val="32"/>
          <w:szCs w:val="32"/>
          <w:highlight w:val="none"/>
        </w:rPr>
      </w:pPr>
    </w:p>
    <w:p w14:paraId="299444EA">
      <w:pPr>
        <w:spacing w:line="500" w:lineRule="exact"/>
        <w:ind w:firstLine="3840" w:firstLineChars="1200"/>
        <w:rPr>
          <w:rFonts w:ascii="仿宋" w:hAnsi="仿宋" w:eastAsia="仿宋"/>
          <w:color w:val="auto"/>
          <w:sz w:val="32"/>
          <w:szCs w:val="32"/>
          <w:highlight w:val="none"/>
        </w:rPr>
      </w:pPr>
    </w:p>
    <w:p w14:paraId="42E8BEA5">
      <w:pPr>
        <w:spacing w:line="500" w:lineRule="exact"/>
        <w:ind w:firstLine="3840" w:firstLineChars="1200"/>
        <w:rPr>
          <w:rFonts w:ascii="仿宋" w:hAnsi="仿宋" w:eastAsia="仿宋"/>
          <w:color w:val="auto"/>
          <w:sz w:val="32"/>
          <w:szCs w:val="32"/>
          <w:highlight w:val="none"/>
        </w:rPr>
      </w:pPr>
    </w:p>
    <w:p w14:paraId="1D94F9A9">
      <w:pPr>
        <w:spacing w:line="500" w:lineRule="exact"/>
        <w:ind w:firstLine="5440" w:firstLineChars="170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1D716655">
      <w:pPr>
        <w:spacing w:line="500" w:lineRule="exact"/>
        <w:ind w:firstLine="5440" w:firstLineChars="1700"/>
        <w:rPr>
          <w:rFonts w:ascii="仿宋" w:hAnsi="仿宋" w:eastAsia="仿宋"/>
          <w:color w:val="auto"/>
          <w:sz w:val="32"/>
          <w:szCs w:val="32"/>
          <w:highlight w:val="none"/>
        </w:rPr>
      </w:pPr>
      <w:r>
        <w:rPr>
          <w:rFonts w:hint="eastAsia" w:ascii="仿宋" w:hAnsi="仿宋" w:eastAsia="仿宋"/>
          <w:color w:val="auto"/>
          <w:sz w:val="32"/>
          <w:szCs w:val="32"/>
          <w:highlight w:val="none"/>
        </w:rPr>
        <w:t>投标人代表签字：</w:t>
      </w:r>
    </w:p>
    <w:p w14:paraId="1486938E">
      <w:pPr>
        <w:spacing w:line="500" w:lineRule="exact"/>
        <w:ind w:firstLine="5440" w:firstLineChars="170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096C6E02">
      <w:pPr>
        <w:spacing w:line="500" w:lineRule="exact"/>
        <w:rPr>
          <w:rFonts w:ascii="仿宋" w:hAnsi="仿宋" w:eastAsia="仿宋"/>
          <w:b/>
          <w:bCs/>
          <w:color w:val="auto"/>
          <w:sz w:val="32"/>
          <w:szCs w:val="32"/>
          <w:highlight w:val="none"/>
        </w:rPr>
      </w:pPr>
    </w:p>
    <w:p w14:paraId="55FFE01F">
      <w:pPr>
        <w:spacing w:line="360" w:lineRule="auto"/>
        <w:jc w:val="both"/>
        <w:rPr>
          <w:rFonts w:hint="eastAsia" w:ascii="仿宋" w:hAnsi="仿宋" w:eastAsia="仿宋"/>
          <w:color w:val="auto"/>
          <w:sz w:val="32"/>
          <w:szCs w:val="32"/>
          <w:highlight w:val="none"/>
        </w:rPr>
      </w:pPr>
    </w:p>
    <w:p w14:paraId="3421F97C">
      <w:pPr>
        <w:spacing w:line="360" w:lineRule="auto"/>
        <w:jc w:val="both"/>
        <w:rPr>
          <w:rFonts w:hint="eastAsia" w:ascii="仿宋" w:hAnsi="仿宋" w:eastAsia="仿宋"/>
          <w:color w:val="auto"/>
          <w:sz w:val="32"/>
          <w:szCs w:val="32"/>
          <w:highlight w:val="none"/>
        </w:rPr>
      </w:pPr>
    </w:p>
    <w:p w14:paraId="00BB6F1B">
      <w:pPr>
        <w:spacing w:line="360" w:lineRule="auto"/>
        <w:jc w:val="both"/>
        <w:rPr>
          <w:rFonts w:hint="eastAsia" w:ascii="仿宋" w:hAnsi="仿宋" w:eastAsia="仿宋"/>
          <w:color w:val="auto"/>
          <w:sz w:val="32"/>
          <w:szCs w:val="32"/>
          <w:highlight w:val="none"/>
        </w:rPr>
      </w:pPr>
    </w:p>
    <w:p w14:paraId="37C71C45">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650C34FF">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16</w:t>
      </w:r>
    </w:p>
    <w:p w14:paraId="189D7386">
      <w:pPr>
        <w:pStyle w:val="18"/>
        <w:jc w:val="center"/>
        <w:rPr>
          <w:rFonts w:hint="eastAsia" w:ascii="仿宋" w:hAnsi="仿宋" w:eastAsia="仿宋"/>
          <w:color w:val="auto"/>
          <w:sz w:val="32"/>
          <w:szCs w:val="32"/>
          <w:highlight w:val="none"/>
        </w:rPr>
      </w:pPr>
    </w:p>
    <w:p w14:paraId="182C6253">
      <w:pPr>
        <w:pStyle w:val="18"/>
        <w:ind w:left="0" w:leftChars="0" w:firstLine="0" w:firstLineChars="0"/>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参加采购活动前</w:t>
      </w:r>
      <w:r>
        <w:rPr>
          <w:rFonts w:hint="eastAsia" w:ascii="仿宋" w:hAnsi="仿宋" w:eastAsia="仿宋"/>
          <w:b/>
          <w:color w:val="auto"/>
          <w:sz w:val="32"/>
          <w:szCs w:val="32"/>
          <w:highlight w:val="none"/>
          <w:lang w:val="en-US" w:eastAsia="zh-CN"/>
        </w:rPr>
        <w:t>三</w:t>
      </w:r>
      <w:r>
        <w:rPr>
          <w:rFonts w:hint="eastAsia" w:ascii="仿宋" w:hAnsi="仿宋" w:eastAsia="仿宋"/>
          <w:b/>
          <w:color w:val="auto"/>
          <w:sz w:val="32"/>
          <w:szCs w:val="32"/>
          <w:highlight w:val="none"/>
        </w:rPr>
        <w:t>年内在经营活动中没有重大违法记录的</w:t>
      </w:r>
    </w:p>
    <w:p w14:paraId="31C81419">
      <w:pPr>
        <w:pStyle w:val="18"/>
        <w:ind w:left="0" w:leftChars="0" w:firstLine="0" w:firstLineChars="0"/>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书面声明</w:t>
      </w:r>
    </w:p>
    <w:p w14:paraId="019A4326">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rPr>
        <w:t>招标人</w:t>
      </w:r>
      <w:r>
        <w:rPr>
          <w:rFonts w:hint="eastAsia" w:ascii="仿宋" w:hAnsi="仿宋" w:eastAsia="仿宋" w:cs="仿宋"/>
          <w:color w:val="auto"/>
          <w:sz w:val="32"/>
          <w:szCs w:val="32"/>
          <w:highlight w:val="none"/>
          <w:u w:val="single"/>
        </w:rPr>
        <w:t>      </w:t>
      </w:r>
    </w:p>
    <w:p w14:paraId="5E0C518C">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参加招标活动前三年内，我方在经营活动中没有重大违法记录，否则产生不利后果由我方承担责任。</w:t>
      </w:r>
    </w:p>
    <w:p w14:paraId="4BEA37A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14:paraId="41F75949">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p>
    <w:p w14:paraId="7041E04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w:t>
      </w:r>
    </w:p>
    <w:p w14:paraId="245F5D32">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AE94A8B">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t>2.请投标人根据实际情况如实声明，否则视为提供虚假材料。</w:t>
      </w:r>
    </w:p>
    <w:p w14:paraId="2A4CE17D">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auto"/>
          <w:kern w:val="0"/>
          <w:sz w:val="32"/>
          <w:szCs w:val="32"/>
          <w:highlight w:val="none"/>
        </w:rPr>
      </w:pPr>
    </w:p>
    <w:p w14:paraId="2D32C72E">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33C21982">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2DDEC671">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投标人（全称并加盖公章）：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B94228F">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2AE20B88">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52183AB4">
      <w:pPr>
        <w:pStyle w:val="18"/>
        <w:rPr>
          <w:rFonts w:hint="eastAsia" w:ascii="仿宋" w:hAnsi="仿宋" w:eastAsia="仿宋"/>
          <w:color w:val="auto"/>
          <w:sz w:val="32"/>
          <w:szCs w:val="32"/>
          <w:highlight w:val="none"/>
        </w:rPr>
      </w:pPr>
    </w:p>
    <w:p w14:paraId="564F7575">
      <w:pPr>
        <w:pStyle w:val="18"/>
        <w:rPr>
          <w:rFonts w:hint="eastAsia" w:ascii="仿宋" w:hAnsi="仿宋" w:eastAsia="仿宋"/>
          <w:color w:val="auto"/>
          <w:sz w:val="32"/>
          <w:szCs w:val="32"/>
          <w:highlight w:val="none"/>
        </w:rPr>
      </w:pPr>
    </w:p>
    <w:p w14:paraId="201EB2C9">
      <w:pPr>
        <w:pStyle w:val="18"/>
        <w:rPr>
          <w:rFonts w:hint="eastAsia" w:ascii="仿宋" w:hAnsi="仿宋" w:eastAsia="仿宋"/>
          <w:color w:val="auto"/>
          <w:sz w:val="32"/>
          <w:szCs w:val="32"/>
          <w:highlight w:val="none"/>
        </w:rPr>
      </w:pPr>
    </w:p>
    <w:p w14:paraId="6930236C">
      <w:pPr>
        <w:pStyle w:val="18"/>
        <w:rPr>
          <w:rFonts w:hint="eastAsia" w:ascii="仿宋" w:hAnsi="仿宋" w:eastAsia="仿宋"/>
          <w:color w:val="auto"/>
          <w:sz w:val="32"/>
          <w:szCs w:val="32"/>
          <w:highlight w:val="none"/>
        </w:rPr>
      </w:pPr>
    </w:p>
    <w:p w14:paraId="61FAECCC">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64DA44BF">
      <w:pPr>
        <w:spacing w:line="500" w:lineRule="exact"/>
        <w:rPr>
          <w:rFonts w:hint="eastAsia"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rPr>
        <w:t>1</w:t>
      </w:r>
      <w:r>
        <w:rPr>
          <w:rFonts w:hint="eastAsia" w:ascii="仿宋" w:hAnsi="仿宋" w:eastAsia="仿宋"/>
          <w:b/>
          <w:bCs/>
          <w:color w:val="auto"/>
          <w:sz w:val="32"/>
          <w:szCs w:val="32"/>
          <w:highlight w:val="none"/>
          <w:lang w:val="en-US" w:eastAsia="zh-CN"/>
        </w:rPr>
        <w:t>7</w:t>
      </w:r>
    </w:p>
    <w:p w14:paraId="6792F202">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投标人提交的其它资料</w:t>
      </w:r>
    </w:p>
    <w:p w14:paraId="18DBAA73">
      <w:pPr>
        <w:spacing w:line="500" w:lineRule="exact"/>
        <w:rPr>
          <w:rFonts w:ascii="仿宋" w:hAnsi="仿宋" w:eastAsia="仿宋"/>
          <w:b/>
          <w:color w:val="auto"/>
          <w:sz w:val="32"/>
          <w:szCs w:val="32"/>
          <w:highlight w:val="none"/>
        </w:rPr>
      </w:pPr>
    </w:p>
    <w:p w14:paraId="49F3A4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b/>
          <w:bCs/>
          <w:color w:val="auto"/>
          <w:sz w:val="32"/>
          <w:szCs w:val="32"/>
          <w:highlight w:val="none"/>
        </w:rPr>
      </w:pPr>
      <w:r>
        <w:rPr>
          <w:rFonts w:hint="eastAsia" w:ascii="仿宋" w:hAnsi="仿宋" w:eastAsia="仿宋"/>
          <w:color w:val="auto"/>
          <w:sz w:val="32"/>
          <w:szCs w:val="32"/>
          <w:highlight w:val="none"/>
        </w:rPr>
        <w:t>（投标人认为应提交的其他材料, 可在此附件中提交）</w:t>
      </w:r>
    </w:p>
    <w:p w14:paraId="24745B3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B434B7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4A74B6A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061A7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31CB542">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0B5DEE2F">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3CC71B3B">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E46520B">
      <w:pPr>
        <w:pStyle w:val="18"/>
        <w:rPr>
          <w:rFonts w:hint="eastAsia" w:ascii="仿宋" w:hAnsi="仿宋" w:eastAsia="仿宋"/>
          <w:color w:val="auto"/>
          <w:sz w:val="32"/>
          <w:szCs w:val="32"/>
          <w:highlight w:val="none"/>
        </w:rPr>
      </w:pPr>
    </w:p>
    <w:p w14:paraId="370B4CA9">
      <w:pPr>
        <w:pStyle w:val="18"/>
        <w:rPr>
          <w:rFonts w:hint="eastAsia" w:ascii="仿宋" w:hAnsi="仿宋" w:eastAsia="仿宋"/>
          <w:color w:val="auto"/>
          <w:sz w:val="32"/>
          <w:szCs w:val="32"/>
          <w:highlight w:val="none"/>
        </w:rPr>
      </w:pPr>
    </w:p>
    <w:p w14:paraId="70A6DDCE">
      <w:pPr>
        <w:pStyle w:val="18"/>
        <w:rPr>
          <w:rFonts w:hint="eastAsia" w:ascii="仿宋" w:hAnsi="仿宋" w:eastAsia="仿宋"/>
          <w:color w:val="auto"/>
          <w:sz w:val="32"/>
          <w:szCs w:val="32"/>
          <w:highlight w:val="none"/>
        </w:rPr>
      </w:pPr>
    </w:p>
    <w:p w14:paraId="4A6E2849">
      <w:pPr>
        <w:pStyle w:val="18"/>
        <w:rPr>
          <w:rFonts w:hint="eastAsia" w:ascii="仿宋" w:hAnsi="仿宋" w:eastAsia="仿宋"/>
          <w:color w:val="auto"/>
          <w:sz w:val="32"/>
          <w:szCs w:val="32"/>
          <w:highlight w:val="none"/>
        </w:rPr>
      </w:pPr>
    </w:p>
    <w:p w14:paraId="733A43DA">
      <w:pPr>
        <w:pStyle w:val="18"/>
        <w:rPr>
          <w:rFonts w:hint="eastAsia" w:ascii="仿宋" w:hAnsi="仿宋" w:eastAsia="仿宋"/>
          <w:color w:val="auto"/>
          <w:sz w:val="32"/>
          <w:szCs w:val="32"/>
          <w:highlight w:val="none"/>
        </w:rPr>
      </w:pPr>
    </w:p>
    <w:p w14:paraId="70723339">
      <w:pPr>
        <w:pStyle w:val="18"/>
        <w:rPr>
          <w:rFonts w:hint="eastAsia" w:ascii="仿宋" w:hAnsi="仿宋" w:eastAsia="仿宋"/>
          <w:color w:val="auto"/>
          <w:sz w:val="32"/>
          <w:szCs w:val="32"/>
          <w:highlight w:val="none"/>
        </w:rPr>
      </w:pPr>
    </w:p>
    <w:p w14:paraId="62B87C77">
      <w:pPr>
        <w:pStyle w:val="18"/>
        <w:rPr>
          <w:rFonts w:hint="eastAsia" w:ascii="仿宋" w:hAnsi="仿宋" w:eastAsia="仿宋"/>
          <w:color w:val="auto"/>
          <w:sz w:val="32"/>
          <w:szCs w:val="32"/>
          <w:highlight w:val="none"/>
        </w:rPr>
      </w:pPr>
    </w:p>
    <w:p w14:paraId="16F6945D">
      <w:pPr>
        <w:pStyle w:val="18"/>
        <w:rPr>
          <w:rFonts w:hint="eastAsia" w:ascii="仿宋" w:hAnsi="仿宋" w:eastAsia="仿宋"/>
          <w:color w:val="auto"/>
          <w:sz w:val="32"/>
          <w:szCs w:val="32"/>
          <w:highlight w:val="none"/>
        </w:rPr>
      </w:pPr>
    </w:p>
    <w:p w14:paraId="45817DAC">
      <w:pPr>
        <w:pStyle w:val="18"/>
        <w:rPr>
          <w:rFonts w:hint="eastAsia" w:ascii="仿宋" w:hAnsi="仿宋" w:eastAsia="仿宋"/>
          <w:color w:val="auto"/>
          <w:sz w:val="32"/>
          <w:szCs w:val="32"/>
          <w:highlight w:val="none"/>
        </w:rPr>
      </w:pPr>
    </w:p>
    <w:p w14:paraId="78F0491E">
      <w:pPr>
        <w:pStyle w:val="18"/>
        <w:rPr>
          <w:rFonts w:hint="eastAsia" w:ascii="仿宋" w:hAnsi="仿宋" w:eastAsia="仿宋"/>
          <w:color w:val="auto"/>
          <w:sz w:val="32"/>
          <w:szCs w:val="32"/>
          <w:highlight w:val="none"/>
        </w:rPr>
      </w:pPr>
    </w:p>
    <w:p w14:paraId="250B16F8">
      <w:pPr>
        <w:pStyle w:val="18"/>
        <w:rPr>
          <w:rFonts w:hint="eastAsia" w:ascii="仿宋" w:hAnsi="仿宋" w:eastAsia="仿宋"/>
          <w:color w:val="auto"/>
          <w:sz w:val="32"/>
          <w:szCs w:val="32"/>
          <w:highlight w:val="none"/>
        </w:rPr>
      </w:pPr>
    </w:p>
    <w:p w14:paraId="6AD06892">
      <w:pPr>
        <w:pStyle w:val="18"/>
        <w:rPr>
          <w:rFonts w:hint="eastAsia" w:ascii="仿宋" w:hAnsi="仿宋" w:eastAsia="仿宋"/>
          <w:color w:val="auto"/>
          <w:sz w:val="32"/>
          <w:szCs w:val="32"/>
          <w:highlight w:val="none"/>
        </w:rPr>
      </w:pPr>
    </w:p>
    <w:p w14:paraId="4D8B120F">
      <w:pPr>
        <w:pStyle w:val="18"/>
        <w:rPr>
          <w:rFonts w:hint="eastAsia" w:ascii="仿宋" w:hAnsi="仿宋" w:eastAsia="仿宋"/>
          <w:color w:val="auto"/>
          <w:sz w:val="32"/>
          <w:szCs w:val="32"/>
          <w:highlight w:val="none"/>
        </w:rPr>
      </w:pPr>
    </w:p>
    <w:p w14:paraId="4713B0E0">
      <w:pPr>
        <w:pStyle w:val="18"/>
        <w:rPr>
          <w:rFonts w:hint="eastAsia" w:ascii="仿宋" w:hAnsi="仿宋" w:eastAsia="仿宋"/>
          <w:color w:val="auto"/>
          <w:sz w:val="32"/>
          <w:szCs w:val="32"/>
          <w:highlight w:val="none"/>
        </w:rPr>
      </w:pPr>
    </w:p>
    <w:p w14:paraId="715B8F54">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50A507E1">
      <w:pPr>
        <w:spacing w:line="5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8</w:t>
      </w:r>
      <w:r>
        <w:rPr>
          <w:rFonts w:hint="eastAsia" w:ascii="仿宋" w:hAnsi="仿宋" w:eastAsia="仿宋"/>
          <w:b/>
          <w:bCs/>
          <w:color w:val="auto"/>
          <w:sz w:val="32"/>
          <w:szCs w:val="32"/>
          <w:highlight w:val="none"/>
        </w:rPr>
        <w:t xml:space="preserve"> </w:t>
      </w:r>
    </w:p>
    <w:p w14:paraId="144E6398">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投标人密封条</w:t>
      </w:r>
    </w:p>
    <w:p w14:paraId="1504ADEB">
      <w:pPr>
        <w:spacing w:line="500" w:lineRule="exact"/>
        <w:rPr>
          <w:rFonts w:ascii="仿宋" w:hAnsi="仿宋" w:eastAsia="仿宋"/>
          <w:color w:val="auto"/>
          <w:sz w:val="32"/>
          <w:szCs w:val="32"/>
          <w:highlight w:val="none"/>
        </w:rPr>
      </w:pPr>
    </w:p>
    <w:p w14:paraId="756F265F">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1853E854">
      <w:pPr>
        <w:spacing w:line="500" w:lineRule="exact"/>
        <w:jc w:val="center"/>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密    封    条</w:t>
      </w:r>
    </w:p>
    <w:tbl>
      <w:tblPr>
        <w:tblStyle w:val="1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70"/>
        <w:gridCol w:w="1837"/>
        <w:gridCol w:w="1888"/>
        <w:gridCol w:w="2200"/>
      </w:tblGrid>
      <w:tr w14:paraId="0E9C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62" w:type="dxa"/>
            <w:vAlign w:val="center"/>
          </w:tcPr>
          <w:p w14:paraId="14CB5746">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送   呈</w:t>
            </w:r>
          </w:p>
        </w:tc>
        <w:tc>
          <w:tcPr>
            <w:tcW w:w="6995" w:type="dxa"/>
            <w:gridSpan w:val="4"/>
            <w:vAlign w:val="center"/>
          </w:tcPr>
          <w:p w14:paraId="26862326">
            <w:pPr>
              <w:spacing w:line="500" w:lineRule="exact"/>
              <w:rPr>
                <w:rFonts w:hint="default" w:ascii="仿宋" w:hAnsi="仿宋" w:eastAsia="仿宋" w:cs="Arial"/>
                <w:color w:val="auto"/>
                <w:kern w:val="0"/>
                <w:sz w:val="28"/>
                <w:szCs w:val="28"/>
                <w:highlight w:val="none"/>
                <w:lang w:val="en-US" w:eastAsia="zh-CN"/>
              </w:rPr>
            </w:pPr>
            <w:r>
              <w:rPr>
                <w:rFonts w:hint="eastAsia" w:ascii="仿宋" w:hAnsi="仿宋" w:eastAsia="仿宋" w:cs="Arial"/>
                <w:color w:val="auto"/>
                <w:kern w:val="0"/>
                <w:sz w:val="28"/>
                <w:szCs w:val="28"/>
                <w:highlight w:val="none"/>
                <w:lang w:val="en-US" w:eastAsia="zh-CN"/>
              </w:rPr>
              <w:t>招标人</w:t>
            </w:r>
          </w:p>
        </w:tc>
      </w:tr>
      <w:tr w14:paraId="1EED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2" w:type="dxa"/>
            <w:vAlign w:val="center"/>
          </w:tcPr>
          <w:p w14:paraId="22CC0705">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项目名称</w:t>
            </w:r>
          </w:p>
        </w:tc>
        <w:tc>
          <w:tcPr>
            <w:tcW w:w="2907" w:type="dxa"/>
            <w:gridSpan w:val="2"/>
            <w:vAlign w:val="center"/>
          </w:tcPr>
          <w:p w14:paraId="012545C9">
            <w:pPr>
              <w:spacing w:line="500" w:lineRule="exact"/>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*******项目</w:t>
            </w:r>
          </w:p>
        </w:tc>
        <w:tc>
          <w:tcPr>
            <w:tcW w:w="1888" w:type="dxa"/>
            <w:vAlign w:val="center"/>
          </w:tcPr>
          <w:p w14:paraId="709A4A32">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招标编号</w:t>
            </w:r>
          </w:p>
        </w:tc>
        <w:tc>
          <w:tcPr>
            <w:tcW w:w="2200" w:type="dxa"/>
            <w:vAlign w:val="center"/>
          </w:tcPr>
          <w:p w14:paraId="781A5401">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w:t>
            </w:r>
          </w:p>
        </w:tc>
      </w:tr>
      <w:tr w14:paraId="630F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62" w:type="dxa"/>
            <w:vAlign w:val="center"/>
          </w:tcPr>
          <w:p w14:paraId="0D85E4BC">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截标日期</w:t>
            </w:r>
          </w:p>
        </w:tc>
        <w:tc>
          <w:tcPr>
            <w:tcW w:w="6995" w:type="dxa"/>
            <w:gridSpan w:val="4"/>
            <w:vAlign w:val="center"/>
          </w:tcPr>
          <w:p w14:paraId="62F8D2F2">
            <w:pPr>
              <w:spacing w:line="500" w:lineRule="exact"/>
              <w:ind w:firstLine="560" w:firstLineChars="200"/>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年</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月</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日</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分止</w:t>
            </w:r>
          </w:p>
        </w:tc>
      </w:tr>
      <w:tr w14:paraId="7729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976CA91">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lang w:val="en-US" w:eastAsia="zh-CN"/>
              </w:rPr>
              <w:t>投标人</w:t>
            </w:r>
            <w:r>
              <w:rPr>
                <w:rFonts w:hint="eastAsia" w:ascii="仿宋" w:hAnsi="仿宋" w:eastAsia="仿宋" w:cs="Arial"/>
                <w:color w:val="auto"/>
                <w:kern w:val="0"/>
                <w:sz w:val="28"/>
                <w:szCs w:val="28"/>
                <w:highlight w:val="none"/>
              </w:rPr>
              <w:t>名称（加盖密封章或公章）</w:t>
            </w:r>
          </w:p>
        </w:tc>
        <w:tc>
          <w:tcPr>
            <w:tcW w:w="5925" w:type="dxa"/>
            <w:gridSpan w:val="3"/>
            <w:vAlign w:val="center"/>
          </w:tcPr>
          <w:p w14:paraId="3CB8CDFC">
            <w:pPr>
              <w:spacing w:line="500" w:lineRule="exact"/>
              <w:rPr>
                <w:rFonts w:ascii="仿宋" w:hAnsi="仿宋" w:eastAsia="仿宋" w:cs="Arial"/>
                <w:color w:val="auto"/>
                <w:kern w:val="0"/>
                <w:sz w:val="28"/>
                <w:szCs w:val="28"/>
                <w:highlight w:val="none"/>
              </w:rPr>
            </w:pPr>
          </w:p>
        </w:tc>
      </w:tr>
    </w:tbl>
    <w:p w14:paraId="03E5E6AF">
      <w:pPr>
        <w:spacing w:line="500" w:lineRule="exact"/>
        <w:rPr>
          <w:rFonts w:ascii="仿宋" w:hAnsi="仿宋" w:eastAsia="仿宋"/>
          <w:b/>
          <w:color w:val="auto"/>
          <w:sz w:val="32"/>
          <w:szCs w:val="32"/>
          <w:highlight w:val="none"/>
        </w:rPr>
      </w:pPr>
    </w:p>
    <w:p w14:paraId="7E9EC396">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435BF198">
      <w:pPr>
        <w:spacing w:line="500" w:lineRule="exact"/>
        <w:rPr>
          <w:rFonts w:ascii="仿宋" w:hAnsi="仿宋" w:eastAsia="仿宋"/>
          <w:color w:val="auto"/>
          <w:sz w:val="32"/>
          <w:szCs w:val="32"/>
          <w:highlight w:val="none"/>
        </w:rPr>
      </w:pPr>
    </w:p>
    <w:bookmarkEnd w:id="5"/>
    <w:bookmarkEnd w:id="6"/>
    <w:p w14:paraId="636CDC6A">
      <w:pPr>
        <w:snapToGrid w:val="0"/>
        <w:spacing w:line="500" w:lineRule="exact"/>
        <w:ind w:left="794" w:leftChars="378" w:firstLine="321" w:firstLineChars="100"/>
        <w:rPr>
          <w:rFonts w:ascii="仿宋" w:hAnsi="仿宋" w:eastAsia="仿宋"/>
          <w:b/>
          <w:color w:val="auto"/>
          <w:sz w:val="32"/>
          <w:szCs w:val="32"/>
          <w:highlight w:val="none"/>
          <w:u w:val="single"/>
        </w:rPr>
      </w:pPr>
    </w:p>
    <w:p w14:paraId="0A1E7140">
      <w:pPr>
        <w:snapToGrid w:val="0"/>
        <w:spacing w:line="500" w:lineRule="exact"/>
        <w:ind w:left="794" w:leftChars="378" w:firstLine="321" w:firstLineChars="100"/>
        <w:rPr>
          <w:rFonts w:ascii="仿宋" w:hAnsi="仿宋" w:eastAsia="仿宋"/>
          <w:b/>
          <w:color w:val="auto"/>
          <w:sz w:val="32"/>
          <w:szCs w:val="32"/>
          <w:highlight w:val="none"/>
          <w:u w:val="single"/>
        </w:rPr>
      </w:pPr>
    </w:p>
    <w:p w14:paraId="5BA05925">
      <w:pPr>
        <w:snapToGrid w:val="0"/>
        <w:spacing w:line="500" w:lineRule="exact"/>
        <w:ind w:left="794" w:leftChars="378" w:firstLine="321" w:firstLineChars="100"/>
        <w:rPr>
          <w:rFonts w:ascii="仿宋" w:hAnsi="仿宋" w:eastAsia="仿宋"/>
          <w:b/>
          <w:color w:val="auto"/>
          <w:sz w:val="32"/>
          <w:szCs w:val="32"/>
          <w:highlight w:val="none"/>
          <w:u w:val="single"/>
        </w:rPr>
      </w:pPr>
    </w:p>
    <w:p w14:paraId="2D4CFD5E">
      <w:pPr>
        <w:snapToGrid w:val="0"/>
        <w:spacing w:line="500" w:lineRule="exact"/>
        <w:ind w:left="794" w:leftChars="378" w:firstLine="321" w:firstLineChars="100"/>
        <w:rPr>
          <w:rFonts w:ascii="仿宋" w:hAnsi="仿宋" w:eastAsia="仿宋"/>
          <w:b/>
          <w:color w:val="auto"/>
          <w:sz w:val="32"/>
          <w:szCs w:val="32"/>
          <w:highlight w:val="none"/>
          <w:u w:val="single"/>
        </w:rPr>
      </w:pPr>
    </w:p>
    <w:p w14:paraId="75DCF4CF">
      <w:pPr>
        <w:snapToGrid w:val="0"/>
        <w:spacing w:line="500" w:lineRule="exact"/>
        <w:ind w:left="794" w:leftChars="378" w:firstLine="321" w:firstLineChars="100"/>
        <w:rPr>
          <w:rFonts w:ascii="仿宋" w:hAnsi="仿宋" w:eastAsia="仿宋"/>
          <w:b/>
          <w:color w:val="auto"/>
          <w:sz w:val="32"/>
          <w:szCs w:val="32"/>
          <w:highlight w:val="none"/>
          <w:u w:val="single"/>
        </w:rPr>
      </w:pPr>
    </w:p>
    <w:p w14:paraId="1EE65C88">
      <w:pPr>
        <w:snapToGrid w:val="0"/>
        <w:spacing w:line="500" w:lineRule="exact"/>
        <w:ind w:left="794" w:leftChars="378" w:firstLine="321" w:firstLineChars="100"/>
        <w:rPr>
          <w:rFonts w:ascii="仿宋" w:hAnsi="仿宋" w:eastAsia="仿宋"/>
          <w:b/>
          <w:color w:val="auto"/>
          <w:sz w:val="32"/>
          <w:szCs w:val="32"/>
          <w:highlight w:val="none"/>
          <w:u w:val="single"/>
        </w:rPr>
      </w:pPr>
    </w:p>
    <w:p w14:paraId="106D01CF">
      <w:pPr>
        <w:snapToGrid w:val="0"/>
        <w:spacing w:line="500" w:lineRule="exact"/>
        <w:ind w:left="794" w:leftChars="378" w:firstLine="321" w:firstLineChars="100"/>
        <w:rPr>
          <w:rFonts w:ascii="仿宋" w:hAnsi="仿宋" w:eastAsia="仿宋"/>
          <w:b/>
          <w:color w:val="auto"/>
          <w:sz w:val="32"/>
          <w:szCs w:val="32"/>
          <w:highlight w:val="none"/>
          <w:u w:val="single"/>
        </w:rPr>
      </w:pPr>
    </w:p>
    <w:p w14:paraId="2479729B">
      <w:pPr>
        <w:snapToGrid w:val="0"/>
        <w:spacing w:line="500" w:lineRule="exact"/>
        <w:ind w:left="794" w:leftChars="378" w:firstLine="321" w:firstLineChars="100"/>
        <w:rPr>
          <w:rFonts w:ascii="仿宋" w:hAnsi="仿宋" w:eastAsia="仿宋"/>
          <w:b/>
          <w:color w:val="auto"/>
          <w:sz w:val="32"/>
          <w:szCs w:val="32"/>
          <w:highlight w:val="none"/>
          <w:u w:val="single"/>
        </w:rPr>
      </w:pPr>
    </w:p>
    <w:p w14:paraId="353DB609">
      <w:pPr>
        <w:snapToGrid w:val="0"/>
        <w:spacing w:line="500" w:lineRule="exact"/>
        <w:ind w:left="794" w:leftChars="378" w:firstLine="321" w:firstLineChars="100"/>
        <w:rPr>
          <w:rFonts w:ascii="仿宋" w:hAnsi="仿宋" w:eastAsia="仿宋"/>
          <w:b/>
          <w:color w:val="auto"/>
          <w:sz w:val="32"/>
          <w:szCs w:val="32"/>
          <w:highlight w:val="none"/>
          <w:u w:val="single"/>
        </w:rPr>
      </w:pPr>
    </w:p>
    <w:p w14:paraId="12C67666">
      <w:pPr>
        <w:snapToGrid w:val="0"/>
        <w:spacing w:line="500" w:lineRule="exact"/>
        <w:ind w:left="794" w:leftChars="378" w:firstLine="321" w:firstLineChars="100"/>
        <w:rPr>
          <w:rFonts w:ascii="仿宋" w:hAnsi="仿宋" w:eastAsia="仿宋"/>
          <w:b/>
          <w:color w:val="auto"/>
          <w:sz w:val="32"/>
          <w:szCs w:val="32"/>
          <w:highlight w:val="none"/>
          <w:u w:val="single"/>
        </w:rPr>
      </w:pPr>
    </w:p>
    <w:p w14:paraId="3FDB94D2">
      <w:pPr>
        <w:snapToGrid w:val="0"/>
        <w:spacing w:line="500" w:lineRule="exact"/>
        <w:ind w:left="794" w:leftChars="378" w:firstLine="321" w:firstLineChars="100"/>
        <w:rPr>
          <w:rFonts w:ascii="仿宋" w:hAnsi="仿宋" w:eastAsia="仿宋"/>
          <w:b/>
          <w:color w:val="auto"/>
          <w:sz w:val="32"/>
          <w:szCs w:val="32"/>
          <w:highlight w:val="none"/>
          <w:u w:val="single"/>
        </w:rPr>
      </w:pPr>
    </w:p>
    <w:p w14:paraId="764E6988">
      <w:pPr>
        <w:snapToGrid w:val="0"/>
        <w:spacing w:line="500" w:lineRule="exact"/>
        <w:ind w:left="794" w:leftChars="378" w:firstLine="321" w:firstLineChars="100"/>
        <w:rPr>
          <w:rFonts w:ascii="仿宋" w:hAnsi="仿宋" w:eastAsia="仿宋"/>
          <w:b/>
          <w:color w:val="auto"/>
          <w:sz w:val="32"/>
          <w:szCs w:val="32"/>
          <w:highlight w:val="none"/>
          <w:u w:val="single"/>
        </w:rPr>
      </w:pPr>
    </w:p>
    <w:p w14:paraId="410559AE">
      <w:pPr>
        <w:snapToGrid w:val="0"/>
        <w:spacing w:line="500" w:lineRule="exact"/>
        <w:ind w:left="794" w:leftChars="378" w:firstLine="321" w:firstLineChars="100"/>
        <w:rPr>
          <w:rFonts w:ascii="仿宋" w:hAnsi="仿宋" w:eastAsia="仿宋"/>
          <w:b/>
          <w:color w:val="auto"/>
          <w:sz w:val="32"/>
          <w:szCs w:val="32"/>
          <w:highlight w:val="none"/>
          <w:u w:val="single"/>
        </w:rPr>
      </w:pPr>
    </w:p>
    <w:p w14:paraId="191611B4">
      <w:pPr>
        <w:snapToGrid/>
        <w:spacing w:line="240" w:lineRule="auto"/>
        <w:ind w:left="0" w:leftChars="0" w:firstLine="0" w:firstLineChars="0"/>
        <w:rPr>
          <w:rFonts w:ascii="仿宋" w:hAnsi="仿宋" w:eastAsia="仿宋"/>
          <w:b/>
          <w:color w:val="auto"/>
          <w:sz w:val="32"/>
          <w:szCs w:val="32"/>
          <w:highlight w:val="none"/>
          <w:u w:val="single"/>
        </w:rPr>
      </w:pPr>
      <w:r>
        <w:rPr>
          <w:rFonts w:ascii="仿宋" w:hAnsi="仿宋" w:eastAsia="仿宋"/>
          <w:b/>
          <w:color w:val="auto"/>
          <w:sz w:val="32"/>
          <w:szCs w:val="32"/>
          <w:highlight w:val="none"/>
          <w:u w:val="single"/>
        </w:rPr>
        <w:br w:type="page"/>
      </w:r>
    </w:p>
    <w:p w14:paraId="290019F8">
      <w:pPr>
        <w:spacing w:line="5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 xml:space="preserve">  合同主要条款</w:t>
      </w:r>
    </w:p>
    <w:tbl>
      <w:tblPr>
        <w:tblStyle w:val="19"/>
        <w:tblpPr w:leftFromText="180" w:rightFromText="180" w:vertAnchor="page" w:horzAnchor="page" w:tblpX="1432" w:tblpY="2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4E74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0A8D1C87">
            <w:pPr>
              <w:wordWrap w:val="0"/>
              <w:spacing w:line="360" w:lineRule="auto"/>
              <w:rPr>
                <w:rFonts w:ascii="宋体" w:hAnsi="宋体"/>
                <w:color w:val="auto"/>
                <w:szCs w:val="21"/>
                <w:highlight w:val="none"/>
              </w:rPr>
            </w:pPr>
            <w:r>
              <w:rPr>
                <w:rFonts w:hint="eastAsia" w:ascii="宋体" w:hAnsi="宋体"/>
                <w:color w:val="auto"/>
                <w:szCs w:val="21"/>
                <w:highlight w:val="none"/>
              </w:rPr>
              <w:t>注释：</w:t>
            </w:r>
            <w:r>
              <w:rPr>
                <w:rFonts w:ascii="宋体" w:hAnsi="宋体"/>
                <w:color w:val="auto"/>
                <w:szCs w:val="21"/>
                <w:highlight w:val="none"/>
              </w:rPr>
              <w:t>本格式条款仅作为双方签订合同的参考，为阐明各方的权利和义务，经协商可增加新的条款、修改相关条款，但不得与</w:t>
            </w:r>
            <w:r>
              <w:rPr>
                <w:rFonts w:hint="eastAsia" w:ascii="宋体" w:hAnsi="宋体"/>
                <w:color w:val="auto"/>
                <w:szCs w:val="21"/>
                <w:highlight w:val="none"/>
              </w:rPr>
              <w:t>招标文件</w:t>
            </w:r>
            <w:r>
              <w:rPr>
                <w:rFonts w:ascii="宋体" w:hAnsi="宋体"/>
                <w:color w:val="auto"/>
                <w:szCs w:val="21"/>
                <w:highlight w:val="none"/>
              </w:rPr>
              <w:t>、</w:t>
            </w:r>
            <w:r>
              <w:rPr>
                <w:rFonts w:hint="eastAsia" w:ascii="宋体" w:hAnsi="宋体"/>
                <w:color w:val="auto"/>
                <w:szCs w:val="21"/>
                <w:highlight w:val="none"/>
              </w:rPr>
              <w:t>投标文件</w:t>
            </w:r>
            <w:r>
              <w:rPr>
                <w:rFonts w:ascii="宋体" w:hAnsi="宋体"/>
                <w:color w:val="auto"/>
                <w:szCs w:val="21"/>
                <w:highlight w:val="none"/>
              </w:rPr>
              <w:t>的实质性内容相背离。</w:t>
            </w:r>
          </w:p>
        </w:tc>
      </w:tr>
    </w:tbl>
    <w:p w14:paraId="55543901">
      <w:pPr>
        <w:pStyle w:val="18"/>
        <w:rPr>
          <w:color w:val="auto"/>
          <w:highlight w:val="none"/>
        </w:rPr>
      </w:pPr>
    </w:p>
    <w:p w14:paraId="560BEAF6">
      <w:pPr>
        <w:spacing w:line="500" w:lineRule="exact"/>
        <w:jc w:val="center"/>
        <w:rPr>
          <w:rFonts w:ascii="仿宋" w:hAnsi="仿宋" w:eastAsia="仿宋"/>
          <w:b/>
          <w:bCs/>
          <w:color w:val="auto"/>
          <w:sz w:val="32"/>
          <w:szCs w:val="32"/>
          <w:highlight w:val="none"/>
        </w:rPr>
      </w:pPr>
    </w:p>
    <w:p w14:paraId="070F9897">
      <w:pPr>
        <w:spacing w:line="360" w:lineRule="auto"/>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国贸商务中心餐饮中心租赁经营合同</w:t>
      </w:r>
    </w:p>
    <w:p w14:paraId="7C5D9026">
      <w:pPr>
        <w:spacing w:line="360" w:lineRule="auto"/>
        <w:jc w:val="center"/>
        <w:rPr>
          <w:rFonts w:asciiTheme="minorEastAsia" w:hAnsiTheme="minorEastAsia" w:eastAsiaTheme="minorEastAsia"/>
          <w:b/>
          <w:bCs/>
          <w:color w:val="auto"/>
          <w:sz w:val="24"/>
          <w:highlight w:val="none"/>
          <w:u w:val="single"/>
        </w:rPr>
      </w:pPr>
    </w:p>
    <w:p w14:paraId="2C7003F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14:paraId="6054951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法定代表人或负责人：</w:t>
      </w:r>
    </w:p>
    <w:p w14:paraId="27E93B7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p>
    <w:p w14:paraId="399B64C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14:paraId="1976F021">
      <w:pPr>
        <w:spacing w:line="360" w:lineRule="auto"/>
        <w:rPr>
          <w:rFonts w:asciiTheme="minorEastAsia" w:hAnsiTheme="minorEastAsia" w:eastAsiaTheme="minorEastAsia"/>
          <w:color w:val="auto"/>
          <w:sz w:val="24"/>
          <w:highlight w:val="none"/>
        </w:rPr>
      </w:pPr>
    </w:p>
    <w:p w14:paraId="02E6EBC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14:paraId="6FF0A15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法定代表人或负责人：</w:t>
      </w:r>
    </w:p>
    <w:p w14:paraId="7D6B45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p>
    <w:p w14:paraId="175ED25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14:paraId="2BB8A22F">
      <w:pPr>
        <w:spacing w:line="360" w:lineRule="auto"/>
        <w:rPr>
          <w:rFonts w:asciiTheme="minorEastAsia" w:hAnsiTheme="minorEastAsia" w:eastAsiaTheme="minorEastAsia"/>
          <w:color w:val="auto"/>
          <w:sz w:val="24"/>
          <w:highlight w:val="none"/>
        </w:rPr>
      </w:pPr>
    </w:p>
    <w:p w14:paraId="194F3DE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甲方根据需要将国贸商务中心3楼餐饮中心（以下称“餐饮中心”）出租给乙方进行经营管理，</w:t>
      </w:r>
      <w:r>
        <w:rPr>
          <w:rFonts w:asciiTheme="minorEastAsia" w:hAnsiTheme="minorEastAsia" w:eastAsiaTheme="minorEastAsia"/>
          <w:color w:val="auto"/>
          <w:sz w:val="24"/>
          <w:highlight w:val="none"/>
        </w:rPr>
        <w:t>建筑面积为</w:t>
      </w:r>
      <w:r>
        <w:rPr>
          <w:rFonts w:hint="eastAsia" w:asciiTheme="minorEastAsia" w:hAnsiTheme="minorEastAsia" w:eastAsiaTheme="minorEastAsia"/>
          <w:color w:val="auto"/>
          <w:sz w:val="24"/>
          <w:highlight w:val="none"/>
          <w:u w:val="single"/>
        </w:rPr>
        <w:t xml:space="preserve"> 2050.4 </w:t>
      </w:r>
      <w:r>
        <w:rPr>
          <w:rFonts w:asciiTheme="minorEastAsia" w:hAnsiTheme="minorEastAsia" w:eastAsiaTheme="minorEastAsia"/>
          <w:color w:val="auto"/>
          <w:sz w:val="24"/>
          <w:highlight w:val="none"/>
        </w:rPr>
        <w:t>平方米</w:t>
      </w:r>
      <w:r>
        <w:rPr>
          <w:rFonts w:hint="eastAsia" w:asciiTheme="minorEastAsia" w:hAnsiTheme="minorEastAsia" w:eastAsiaTheme="minorEastAsia"/>
          <w:color w:val="auto"/>
          <w:sz w:val="24"/>
          <w:highlight w:val="none"/>
        </w:rPr>
        <w:t xml:space="preserve">，平面图见附件二，经双方友好协商，特签订本合同。甲、乙双方将共同遵守、执行下列之条款： </w:t>
      </w:r>
    </w:p>
    <w:p w14:paraId="7554F14B">
      <w:pPr>
        <w:spacing w:line="360" w:lineRule="auto"/>
        <w:rPr>
          <w:rFonts w:asciiTheme="minorEastAsia" w:hAnsiTheme="minorEastAsia" w:eastAsiaTheme="minorEastAsia"/>
          <w:color w:val="auto"/>
          <w:sz w:val="24"/>
          <w:highlight w:val="none"/>
        </w:rPr>
      </w:pPr>
    </w:p>
    <w:p w14:paraId="29BFAAB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一、租赁经营期限 </w:t>
      </w:r>
    </w:p>
    <w:p w14:paraId="4F932F67">
      <w:pPr>
        <w:spacing w:line="360" w:lineRule="auto"/>
        <w:ind w:left="210" w:leftChars="100"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1．租赁经营期限自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日起至</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日</w:t>
      </w:r>
      <w:r>
        <w:rPr>
          <w:rFonts w:asciiTheme="minorEastAsia" w:hAnsiTheme="minorEastAsia" w:eastAsiaTheme="minorEastAsia"/>
          <w:color w:val="auto"/>
          <w:sz w:val="24"/>
          <w:highlight w:val="none"/>
        </w:rPr>
        <w:t>止。</w:t>
      </w:r>
    </w:p>
    <w:p w14:paraId="05A0C1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餐饮中心</w:t>
      </w:r>
      <w:r>
        <w:rPr>
          <w:rFonts w:asciiTheme="minorEastAsia" w:hAnsiTheme="minorEastAsia" w:eastAsiaTheme="minorEastAsia"/>
          <w:color w:val="auto"/>
          <w:sz w:val="24"/>
          <w:highlight w:val="none"/>
        </w:rPr>
        <w:t>因</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原因致使交付延期，本合同中的租赁</w:t>
      </w:r>
      <w:r>
        <w:rPr>
          <w:rFonts w:hint="eastAsia" w:asciiTheme="minorEastAsia" w:hAnsiTheme="minorEastAsia" w:eastAsiaTheme="minorEastAsia"/>
          <w:color w:val="auto"/>
          <w:sz w:val="24"/>
          <w:highlight w:val="none"/>
        </w:rPr>
        <w:t>经营</w:t>
      </w:r>
      <w:r>
        <w:rPr>
          <w:rFonts w:asciiTheme="minorEastAsia" w:hAnsiTheme="minorEastAsia" w:eastAsiaTheme="minorEastAsia"/>
          <w:color w:val="auto"/>
          <w:sz w:val="24"/>
          <w:highlight w:val="none"/>
        </w:rPr>
        <w:t>期限、租赁</w:t>
      </w:r>
      <w:r>
        <w:rPr>
          <w:rFonts w:hint="eastAsia" w:asciiTheme="minorEastAsia" w:hAnsiTheme="minorEastAsia" w:eastAsiaTheme="minorEastAsia"/>
          <w:color w:val="auto"/>
          <w:sz w:val="24"/>
          <w:highlight w:val="none"/>
        </w:rPr>
        <w:t>优惠</w:t>
      </w:r>
      <w:r>
        <w:rPr>
          <w:rFonts w:asciiTheme="minorEastAsia" w:hAnsiTheme="minorEastAsia" w:eastAsiaTheme="minorEastAsia"/>
          <w:color w:val="auto"/>
          <w:sz w:val="24"/>
          <w:highlight w:val="none"/>
        </w:rPr>
        <w:t>期、计租日、租金的起始时间等也相应顺延。</w:t>
      </w:r>
    </w:p>
    <w:p w14:paraId="2AC5F9B1">
      <w:pPr>
        <w:spacing w:line="360" w:lineRule="auto"/>
        <w:rPr>
          <w:rFonts w:asciiTheme="minorEastAsia" w:hAnsiTheme="minorEastAsia" w:eastAsiaTheme="minorEastAsia"/>
          <w:color w:val="auto"/>
          <w:sz w:val="24"/>
          <w:highlight w:val="none"/>
        </w:rPr>
      </w:pPr>
    </w:p>
    <w:p w14:paraId="74EF0B8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二、具体内容</w:t>
      </w:r>
    </w:p>
    <w:p w14:paraId="62DF93FC">
      <w:pPr>
        <w:spacing w:line="276" w:lineRule="auto"/>
        <w:ind w:firstLine="480" w:firstLineChars="200"/>
        <w:rPr>
          <w:rFonts w:ascii="宋体" w:hAnsi="宋体"/>
          <w:color w:val="auto"/>
          <w:sz w:val="24"/>
          <w:highlight w:val="none"/>
        </w:rPr>
      </w:pPr>
      <w:r>
        <w:rPr>
          <w:rFonts w:hint="eastAsia" w:asciiTheme="minorEastAsia" w:hAnsiTheme="minorEastAsia" w:eastAsiaTheme="minorEastAsia"/>
          <w:color w:val="auto"/>
          <w:sz w:val="24"/>
          <w:highlight w:val="none"/>
        </w:rPr>
        <w:t>1．甲方委托乙方运营国贸商务中心餐饮中心，包括</w:t>
      </w:r>
      <w:r>
        <w:rPr>
          <w:rFonts w:hint="eastAsia" w:ascii="宋体" w:hAnsi="宋体"/>
          <w:color w:val="auto"/>
          <w:sz w:val="24"/>
          <w:highlight w:val="none"/>
        </w:rPr>
        <w:t>提供工作日早、中、晚餐及现有三个包间的运营。套餐可向周边写字楼辐射提供配送服务，但应优先保证本大楼客户服务品质，同时乙方可以根据客户需求开辟个性化包厢定制服务、茶点服务等</w:t>
      </w:r>
      <w:r>
        <w:rPr>
          <w:rFonts w:hint="eastAsia" w:asciiTheme="minorEastAsia" w:hAnsiTheme="minorEastAsia" w:eastAsiaTheme="minorEastAsia"/>
          <w:color w:val="auto"/>
          <w:sz w:val="24"/>
          <w:highlight w:val="none"/>
        </w:rPr>
        <w:t xml:space="preserve">，并负责餐饮中心的清洁卫生。 </w:t>
      </w:r>
    </w:p>
    <w:p w14:paraId="1B95EBF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2．甲方为乙方提供场地及部分设备（包括厨房设施设备、餐具等，以实际双方移交清单为准），如需新增设备设施，费用由乙方承担。</w:t>
      </w:r>
    </w:p>
    <w:p w14:paraId="44A3AFD6">
      <w:pPr>
        <w:snapToGrid w:val="0"/>
        <w:spacing w:line="360" w:lineRule="auto"/>
        <w:ind w:right="-64" w:firstLine="480" w:firstLineChars="200"/>
        <w:rPr>
          <w:rFonts w:ascii="宋体" w:hAnsi="宋体" w:cs="宋体"/>
          <w:bCs/>
          <w:color w:val="auto"/>
          <w:kern w:val="0"/>
          <w:sz w:val="28"/>
          <w:szCs w:val="28"/>
          <w:highlight w:val="none"/>
        </w:rPr>
      </w:pPr>
      <w:r>
        <w:rPr>
          <w:rFonts w:hint="eastAsia" w:asciiTheme="minorEastAsia" w:hAnsiTheme="minorEastAsia" w:eastAsiaTheme="minorEastAsia"/>
          <w:color w:val="auto"/>
          <w:sz w:val="24"/>
          <w:highlight w:val="none"/>
        </w:rPr>
        <w:t>3.租金金额：</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rPr>
        <w:t>元/月</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lang w:eastAsia="zh-CN"/>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元</w:t>
      </w:r>
      <w:r>
        <w:rPr>
          <w:rFonts w:hint="eastAsia" w:asciiTheme="minorEastAsia" w:hAnsiTheme="minorEastAsia" w:eastAsiaTheme="minorEastAsia"/>
          <w:color w:val="auto"/>
          <w:sz w:val="24"/>
          <w:highlight w:val="none"/>
        </w:rPr>
        <w:t>整），每个季度租金合计</w:t>
      </w:r>
      <w:r>
        <w:rPr>
          <w:rFonts w:hint="eastAsia" w:asciiTheme="minorEastAsia" w:hAnsiTheme="minorEastAsia" w:eastAsiaTheme="minorEastAsia"/>
          <w:color w:val="auto"/>
          <w:sz w:val="24"/>
          <w:highlight w:val="none"/>
          <w:u w:val="single"/>
          <w:lang w:eastAsia="zh-CN"/>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元（大写：人民币</w:t>
      </w:r>
      <w:r>
        <w:rPr>
          <w:rFonts w:hint="eastAsia" w:asciiTheme="minorEastAsia" w:hAnsiTheme="minorEastAsia" w:eastAsiaTheme="minorEastAsia"/>
          <w:color w:val="auto"/>
          <w:sz w:val="24"/>
          <w:highlight w:val="none"/>
          <w:u w:val="single"/>
          <w:lang w:eastAsia="zh-CN"/>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元</w:t>
      </w:r>
      <w:r>
        <w:rPr>
          <w:rFonts w:hint="eastAsia" w:asciiTheme="minorEastAsia" w:hAnsiTheme="minorEastAsia" w:eastAsiaTheme="minorEastAsia"/>
          <w:color w:val="auto"/>
          <w:sz w:val="24"/>
          <w:highlight w:val="none"/>
        </w:rPr>
        <w:t>整）。租金按每个季度收取一次，首期租金乙方应于本合同签订时支付，之后乙方应于每个自然季度（每年的1月- 3月、4月- 6月、7月- 9月、10月- 12月分别为一个自然季度）的首月10日前向甲方支付本自然季度的租金。</w:t>
      </w:r>
    </w:p>
    <w:p w14:paraId="115B794C">
      <w:pPr>
        <w:spacing w:line="360" w:lineRule="auto"/>
        <w:ind w:firstLine="480"/>
        <w:rPr>
          <w:rFonts w:asciiTheme="minorEastAsia" w:hAnsiTheme="minorEastAsia" w:eastAsiaTheme="minorEastAsia"/>
          <w:color w:val="auto"/>
          <w:sz w:val="24"/>
          <w:highlight w:val="none"/>
        </w:rPr>
      </w:pPr>
      <w:r>
        <w:rPr>
          <w:rFonts w:hint="eastAsia" w:ascii="宋体" w:hAnsi="宋体"/>
          <w:color w:val="auto"/>
          <w:sz w:val="24"/>
          <w:highlight w:val="none"/>
        </w:rPr>
        <w:t>4.</w:t>
      </w:r>
      <w:r>
        <w:rPr>
          <w:rFonts w:hint="eastAsia" w:asciiTheme="minorEastAsia" w:hAnsiTheme="minorEastAsia" w:eastAsiaTheme="minorEastAsia"/>
          <w:color w:val="auto"/>
          <w:sz w:val="24"/>
          <w:highlight w:val="none"/>
        </w:rPr>
        <w:t>乙方承担餐饮中心的水、电、燃气、公共能耗费用（公共能耗费用=建筑面积*每平方米分摊费用）以及餐饮垃圾分类清运、租用场所各项设备设施的维修保养以及附属设备设施（隔油池及油烟管道）每月定期清掏、清洗及保养等费用。</w:t>
      </w:r>
    </w:p>
    <w:p w14:paraId="5D52C31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5．在租赁经营期间内，双方应按照合同规定之条款通力协作，互相配合。 </w:t>
      </w:r>
    </w:p>
    <w:p w14:paraId="56727C5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6．本合同履约保证金金额为人民币</w:t>
      </w:r>
      <w:r>
        <w:rPr>
          <w:rFonts w:hint="eastAsia" w:asciiTheme="minorEastAsia" w:hAnsiTheme="minorEastAsia" w:eastAsiaTheme="minorEastAsia"/>
          <w:color w:val="auto"/>
          <w:sz w:val="24"/>
          <w:szCs w:val="24"/>
          <w:highlight w:val="none"/>
          <w:lang w:eastAsia="zh-CN"/>
        </w:rPr>
        <w:t>贰万</w:t>
      </w:r>
      <w:r>
        <w:rPr>
          <w:rFonts w:hint="eastAsia" w:asciiTheme="minorEastAsia" w:hAnsiTheme="minorEastAsia" w:eastAsiaTheme="minorEastAsia"/>
          <w:color w:val="auto"/>
          <w:sz w:val="24"/>
          <w:szCs w:val="24"/>
          <w:highlight w:val="none"/>
          <w:lang w:val="en-US" w:eastAsia="zh-CN"/>
        </w:rPr>
        <w:t>肆</w:t>
      </w:r>
      <w:r>
        <w:rPr>
          <w:rFonts w:hint="eastAsia" w:asciiTheme="minorEastAsia" w:hAnsiTheme="minorEastAsia" w:eastAsiaTheme="minorEastAsia"/>
          <w:color w:val="auto"/>
          <w:sz w:val="24"/>
          <w:szCs w:val="24"/>
          <w:highlight w:val="none"/>
          <w:lang w:eastAsia="zh-CN"/>
        </w:rPr>
        <w:t>仟</w:t>
      </w:r>
      <w:r>
        <w:rPr>
          <w:rFonts w:hint="eastAsia" w:asciiTheme="minorEastAsia" w:hAnsiTheme="minorEastAsia" w:eastAsiaTheme="minorEastAsia"/>
          <w:color w:val="auto"/>
          <w:sz w:val="24"/>
          <w:highlight w:val="none"/>
        </w:rPr>
        <w:t>元整，自本合同签订之日起，乙方于投标时缴纳的投标保证金人民币</w:t>
      </w:r>
      <w:r>
        <w:rPr>
          <w:rFonts w:hint="eastAsia" w:asciiTheme="minorEastAsia" w:hAnsiTheme="minorEastAsia" w:eastAsiaTheme="minorEastAsia"/>
          <w:color w:val="auto"/>
          <w:sz w:val="24"/>
          <w:szCs w:val="24"/>
          <w:highlight w:val="none"/>
          <w:lang w:val="en-US" w:eastAsia="zh-CN"/>
        </w:rPr>
        <w:t>肆</w:t>
      </w:r>
      <w:r>
        <w:rPr>
          <w:rFonts w:hint="eastAsia" w:asciiTheme="minorEastAsia" w:hAnsiTheme="minorEastAsia" w:eastAsiaTheme="minorEastAsia"/>
          <w:color w:val="auto"/>
          <w:sz w:val="24"/>
          <w:highlight w:val="none"/>
        </w:rPr>
        <w:t>仟元整自动转为本合同履约保证金，不足部分由乙方于本合同签订时一次性向甲方缴清。若乙方违反本合同约定或租赁经营期限内发生任何责任事故的，甲方有权依约直接</w:t>
      </w:r>
      <w:r>
        <w:rPr>
          <w:rFonts w:hint="eastAsia" w:asciiTheme="minorEastAsia" w:hAnsiTheme="minorEastAsia" w:eastAsiaTheme="minorEastAsia"/>
          <w:color w:val="auto"/>
          <w:sz w:val="24"/>
          <w:highlight w:val="none"/>
          <w:lang w:val="en-US" w:eastAsia="zh-CN"/>
        </w:rPr>
        <w:t>扣除</w:t>
      </w:r>
      <w:r>
        <w:rPr>
          <w:rFonts w:hint="eastAsia" w:asciiTheme="minorEastAsia" w:hAnsiTheme="minorEastAsia" w:eastAsiaTheme="minorEastAsia"/>
          <w:color w:val="auto"/>
          <w:sz w:val="24"/>
          <w:highlight w:val="none"/>
        </w:rPr>
        <w:t>全部或部分履约保证金作为违约金，同时乙方应在甲方通知后三日内补足相应保证金。保证金在保证期间（即租赁经营期间）不计利息，租赁经营期满后，若无任何责任事故或重大违约行为并经甲方验收后30日内，甲方一次性退还乙方保证金。</w:t>
      </w:r>
    </w:p>
    <w:p w14:paraId="5193589A">
      <w:pPr>
        <w:spacing w:line="360" w:lineRule="auto"/>
        <w:rPr>
          <w:rFonts w:asciiTheme="minorEastAsia" w:hAnsiTheme="minorEastAsia" w:eastAsiaTheme="minorEastAsia"/>
          <w:color w:val="auto"/>
          <w:sz w:val="24"/>
          <w:highlight w:val="none"/>
        </w:rPr>
      </w:pPr>
    </w:p>
    <w:p w14:paraId="566091A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三、甲方权利、义务 </w:t>
      </w:r>
    </w:p>
    <w:p w14:paraId="02FCB1EB">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甲方提供国贸商务中心三楼厨房、餐厅供乙方使用（具体详见附件二餐饮中心平面图）其中房间1及管理用户由甲方自用，其余区域厨房、餐厅的资产包括房屋及装修、炊事机具等（具体资产明细以双方交接资产清单为准），其所有权归甲方，本合同结束时，乙方应如数、完好地归还甲方，如有损坏应照价赔偿。</w:t>
      </w:r>
    </w:p>
    <w:p w14:paraId="20979742">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2．甲方有权对乙方</w:t>
      </w:r>
      <w:r>
        <w:rPr>
          <w:rFonts w:hint="eastAsia" w:asciiTheme="minorEastAsia" w:hAnsiTheme="minorEastAsia" w:eastAsiaTheme="minorEastAsia"/>
          <w:color w:val="auto"/>
          <w:sz w:val="24"/>
          <w:highlight w:val="none"/>
          <w:lang w:val="en-US" w:eastAsia="zh-CN"/>
        </w:rPr>
        <w:t>餐饮中心的经营情况</w:t>
      </w:r>
      <w:r>
        <w:rPr>
          <w:rFonts w:hint="eastAsia" w:asciiTheme="minorEastAsia" w:hAnsiTheme="minorEastAsia" w:eastAsiaTheme="minorEastAsia"/>
          <w:color w:val="auto"/>
          <w:sz w:val="24"/>
          <w:highlight w:val="none"/>
        </w:rPr>
        <w:t>进行监督，</w:t>
      </w:r>
      <w:r>
        <w:rPr>
          <w:rFonts w:hint="eastAsia" w:asciiTheme="minorEastAsia" w:hAnsiTheme="minorEastAsia" w:eastAsiaTheme="minorEastAsia"/>
          <w:color w:val="auto"/>
          <w:sz w:val="24"/>
          <w:highlight w:val="none"/>
          <w:lang w:val="en-US" w:eastAsia="zh-CN"/>
        </w:rPr>
        <w:t>若乙方在租赁经营期内因环境</w:t>
      </w:r>
      <w:r>
        <w:rPr>
          <w:rFonts w:hint="eastAsia" w:asciiTheme="minorEastAsia" w:hAnsiTheme="minorEastAsia" w:eastAsiaTheme="minorEastAsia"/>
          <w:color w:val="auto"/>
          <w:sz w:val="24"/>
          <w:highlight w:val="none"/>
        </w:rPr>
        <w:t>卫生、</w:t>
      </w:r>
      <w:r>
        <w:rPr>
          <w:rFonts w:hint="eastAsia" w:asciiTheme="minorEastAsia" w:hAnsiTheme="minorEastAsia" w:eastAsiaTheme="minorEastAsia"/>
          <w:color w:val="auto"/>
          <w:sz w:val="24"/>
          <w:highlight w:val="none"/>
          <w:lang w:val="en-US" w:eastAsia="zh-CN"/>
        </w:rPr>
        <w:t>食品</w:t>
      </w:r>
      <w:r>
        <w:rPr>
          <w:rFonts w:hint="eastAsia" w:asciiTheme="minorEastAsia" w:hAnsiTheme="minorEastAsia" w:eastAsiaTheme="minorEastAsia"/>
          <w:color w:val="auto"/>
          <w:sz w:val="24"/>
          <w:highlight w:val="none"/>
        </w:rPr>
        <w:t>安全、治安、消防</w:t>
      </w:r>
      <w:r>
        <w:rPr>
          <w:rFonts w:hint="eastAsia" w:asciiTheme="minorEastAsia" w:hAnsiTheme="minorEastAsia" w:eastAsiaTheme="minorEastAsia"/>
          <w:color w:val="auto"/>
          <w:sz w:val="24"/>
          <w:highlight w:val="none"/>
          <w:lang w:val="en-US" w:eastAsia="zh-CN"/>
        </w:rPr>
        <w:t>安全</w:t>
      </w:r>
      <w:r>
        <w:rPr>
          <w:rFonts w:hint="eastAsia" w:asciiTheme="minorEastAsia" w:hAnsiTheme="minorEastAsia" w:eastAsiaTheme="minorEastAsia"/>
          <w:color w:val="auto"/>
          <w:sz w:val="24"/>
          <w:highlight w:val="none"/>
        </w:rPr>
        <w:t>等</w:t>
      </w:r>
      <w:r>
        <w:rPr>
          <w:rFonts w:hint="eastAsia" w:asciiTheme="minorEastAsia" w:hAnsiTheme="minorEastAsia" w:eastAsiaTheme="minorEastAsia"/>
          <w:color w:val="auto"/>
          <w:sz w:val="24"/>
          <w:highlight w:val="none"/>
          <w:lang w:val="en-US" w:eastAsia="zh-CN"/>
        </w:rPr>
        <w:t>问题，</w:t>
      </w:r>
      <w:r>
        <w:rPr>
          <w:rFonts w:hint="eastAsia" w:cs="Times New Roman" w:asciiTheme="minorEastAsia" w:hAnsiTheme="minorEastAsia" w:eastAsiaTheme="minorEastAsia"/>
          <w:color w:val="auto"/>
          <w:kern w:val="2"/>
          <w:sz w:val="24"/>
          <w:szCs w:val="24"/>
          <w:highlight w:val="none"/>
          <w:lang w:val="en-US" w:eastAsia="zh-CN" w:bidi="ar"/>
        </w:rPr>
        <w:t>造成客户食物中毒（一般食品安全事故及以上等级的）或其他食源性疾病、火灾等重大安全事故的</w:t>
      </w:r>
      <w:r>
        <w:rPr>
          <w:rFonts w:hint="eastAsia" w:asciiTheme="minorEastAsia" w:hAnsiTheme="minorEastAsia" w:eastAsiaTheme="minorEastAsia"/>
          <w:color w:val="auto"/>
          <w:sz w:val="24"/>
          <w:highlight w:val="none"/>
        </w:rPr>
        <w:t>，甲方有权解除本合同</w:t>
      </w:r>
      <w:r>
        <w:rPr>
          <w:rFonts w:hint="eastAsia" w:asciiTheme="minorEastAsia" w:hAnsiTheme="minorEastAsia" w:eastAsiaTheme="minorEastAsia"/>
          <w:color w:val="auto"/>
          <w:sz w:val="24"/>
          <w:highlight w:val="none"/>
          <w:lang w:val="en-US" w:eastAsia="zh-CN"/>
        </w:rPr>
        <w:t>并不予退还</w:t>
      </w:r>
      <w:r>
        <w:rPr>
          <w:rFonts w:hint="eastAsia" w:asciiTheme="minorEastAsia" w:hAnsiTheme="minorEastAsia" w:eastAsiaTheme="minorEastAsia"/>
          <w:color w:val="auto"/>
          <w:sz w:val="24"/>
          <w:highlight w:val="none"/>
        </w:rPr>
        <w:t>履约保证金，</w:t>
      </w:r>
      <w:r>
        <w:rPr>
          <w:rFonts w:hint="eastAsia" w:asciiTheme="minorEastAsia" w:hAnsiTheme="minorEastAsia" w:eastAsiaTheme="minorEastAsia"/>
          <w:color w:val="auto"/>
          <w:sz w:val="24"/>
          <w:highlight w:val="none"/>
          <w:lang w:val="en-US" w:eastAsia="zh-CN"/>
        </w:rPr>
        <w:t>且</w:t>
      </w:r>
      <w:r>
        <w:rPr>
          <w:rFonts w:hint="eastAsia" w:asciiTheme="minorEastAsia" w:hAnsiTheme="minorEastAsia" w:eastAsiaTheme="minorEastAsia"/>
          <w:color w:val="auto"/>
          <w:sz w:val="24"/>
          <w:highlight w:val="none"/>
        </w:rPr>
        <w:t>乙方</w:t>
      </w:r>
      <w:r>
        <w:rPr>
          <w:rFonts w:hint="eastAsia" w:cs="Times New Roman" w:asciiTheme="minorEastAsia" w:hAnsiTheme="minorEastAsia" w:eastAsiaTheme="minorEastAsia"/>
          <w:color w:val="auto"/>
          <w:sz w:val="24"/>
          <w:highlight w:val="none"/>
          <w:lang w:val="en-US" w:eastAsia="zh-CN"/>
        </w:rPr>
        <w:t>应</w:t>
      </w:r>
      <w:r>
        <w:rPr>
          <w:rFonts w:hint="eastAsia" w:asciiTheme="minorEastAsia" w:hAnsiTheme="minorEastAsia" w:eastAsiaTheme="minorEastAsia"/>
          <w:color w:val="auto"/>
          <w:sz w:val="24"/>
          <w:highlight w:val="none"/>
        </w:rPr>
        <w:t>赔偿</w:t>
      </w:r>
      <w:r>
        <w:rPr>
          <w:rFonts w:hint="eastAsia" w:asciiTheme="minorEastAsia" w:hAnsiTheme="minorEastAsia" w:eastAsiaTheme="minorEastAsia"/>
          <w:color w:val="auto"/>
          <w:sz w:val="24"/>
          <w:highlight w:val="none"/>
          <w:lang w:val="en-US" w:eastAsia="zh-CN"/>
        </w:rPr>
        <w:t>由此造成的一切</w:t>
      </w:r>
      <w:r>
        <w:rPr>
          <w:rFonts w:hint="eastAsia" w:asciiTheme="minorEastAsia" w:hAnsiTheme="minorEastAsia" w:eastAsiaTheme="minorEastAsia"/>
          <w:color w:val="auto"/>
          <w:sz w:val="24"/>
          <w:highlight w:val="none"/>
        </w:rPr>
        <w:t xml:space="preserve">损失。 </w:t>
      </w:r>
    </w:p>
    <w:p w14:paraId="76B9210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3．因乙方工作人员失职影响到甲方的正常工作，甲方有权要求</w:t>
      </w:r>
      <w:r>
        <w:rPr>
          <w:rFonts w:asciiTheme="minorEastAsia" w:hAnsiTheme="minorEastAsia" w:eastAsiaTheme="minorEastAsia"/>
          <w:color w:val="auto"/>
          <w:sz w:val="24"/>
          <w:highlight w:val="none"/>
        </w:rPr>
        <w:t>乙方整改，如整改不合格，甲方有权解除</w:t>
      </w:r>
      <w:r>
        <w:rPr>
          <w:rFonts w:hint="eastAsia"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并不予退还</w:t>
      </w:r>
      <w:r>
        <w:rPr>
          <w:rFonts w:hint="eastAsia" w:asciiTheme="minorEastAsia" w:hAnsiTheme="minorEastAsia" w:eastAsiaTheme="minorEastAsia"/>
          <w:color w:val="auto"/>
          <w:sz w:val="24"/>
          <w:highlight w:val="none"/>
        </w:rPr>
        <w:t xml:space="preserve">履约保证金。 </w:t>
      </w:r>
    </w:p>
    <w:p w14:paraId="4EC1210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4．甲方有权对饭菜质量、数量、卫生、服务等情况进行监督检查，如未达到</w:t>
      </w:r>
      <w:r>
        <w:rPr>
          <w:rFonts w:hint="eastAsia" w:asciiTheme="minorEastAsia" w:hAnsiTheme="minorEastAsia" w:eastAsiaTheme="minorEastAsia"/>
          <w:color w:val="auto"/>
          <w:sz w:val="24"/>
          <w:highlight w:val="none"/>
          <w:lang w:val="en-US" w:eastAsia="zh-CN"/>
        </w:rPr>
        <w:t>合同约定</w:t>
      </w:r>
      <w:r>
        <w:rPr>
          <w:rFonts w:hint="eastAsia" w:asciiTheme="minorEastAsia" w:hAnsiTheme="minorEastAsia" w:eastAsiaTheme="minorEastAsia"/>
          <w:color w:val="auto"/>
          <w:sz w:val="24"/>
          <w:highlight w:val="none"/>
        </w:rPr>
        <w:t>标准，甲方有权</w:t>
      </w:r>
      <w:r>
        <w:rPr>
          <w:rFonts w:asciiTheme="minorEastAsia" w:hAnsiTheme="minorEastAsia" w:eastAsiaTheme="minorEastAsia"/>
          <w:color w:val="auto"/>
          <w:sz w:val="24"/>
          <w:highlight w:val="none"/>
        </w:rPr>
        <w:t>解除</w:t>
      </w:r>
      <w:r>
        <w:rPr>
          <w:rFonts w:hint="eastAsia"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并不予退还</w:t>
      </w:r>
      <w:r>
        <w:rPr>
          <w:rFonts w:hint="eastAsia" w:asciiTheme="minorEastAsia" w:hAnsiTheme="minorEastAsia" w:eastAsiaTheme="minorEastAsia"/>
          <w:color w:val="auto"/>
          <w:sz w:val="24"/>
          <w:highlight w:val="none"/>
        </w:rPr>
        <w:t>履约保证金，要求乙方赔偿损失。</w:t>
      </w:r>
    </w:p>
    <w:p w14:paraId="0AF621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甲方每月</w:t>
      </w:r>
      <w:r>
        <w:rPr>
          <w:rFonts w:hint="eastAsia" w:asciiTheme="minorEastAsia" w:hAnsiTheme="minorEastAsia" w:eastAsiaTheme="minorEastAsia"/>
          <w:color w:val="auto"/>
          <w:sz w:val="24"/>
          <w:highlight w:val="none"/>
        </w:rPr>
        <w:t>不定期</w:t>
      </w:r>
      <w:r>
        <w:rPr>
          <w:rFonts w:asciiTheme="minorEastAsia" w:hAnsiTheme="minorEastAsia" w:eastAsiaTheme="minorEastAsia"/>
          <w:color w:val="auto"/>
          <w:sz w:val="24"/>
          <w:highlight w:val="none"/>
        </w:rPr>
        <w:t>对乙方进行</w:t>
      </w:r>
      <w:r>
        <w:rPr>
          <w:rFonts w:hint="eastAsia" w:asciiTheme="minorEastAsia" w:hAnsiTheme="minorEastAsia" w:eastAsiaTheme="minorEastAsia"/>
          <w:color w:val="auto"/>
          <w:sz w:val="24"/>
          <w:highlight w:val="none"/>
        </w:rPr>
        <w:t>考核</w:t>
      </w:r>
      <w:r>
        <w:rPr>
          <w:rFonts w:asciiTheme="minorEastAsia" w:hAnsiTheme="minorEastAsia" w:eastAsiaTheme="minorEastAsia"/>
          <w:color w:val="auto"/>
          <w:sz w:val="24"/>
          <w:highlight w:val="none"/>
        </w:rPr>
        <w:t>（具体考核标准和评分要求</w:t>
      </w:r>
      <w:r>
        <w:rPr>
          <w:rFonts w:hint="eastAsia" w:asciiTheme="minorEastAsia" w:hAnsiTheme="minorEastAsia" w:eastAsiaTheme="minorEastAsia"/>
          <w:color w:val="auto"/>
          <w:sz w:val="24"/>
          <w:highlight w:val="none"/>
        </w:rPr>
        <w:t>详见</w:t>
      </w:r>
      <w:r>
        <w:rPr>
          <w:rFonts w:asciiTheme="minorEastAsia" w:hAnsiTheme="minorEastAsia" w:eastAsiaTheme="minorEastAsia"/>
          <w:color w:val="auto"/>
          <w:sz w:val="24"/>
          <w:highlight w:val="none"/>
        </w:rPr>
        <w:t>附件一），</w:t>
      </w:r>
      <w:r>
        <w:rPr>
          <w:rFonts w:hint="eastAsia" w:asciiTheme="minorEastAsia" w:hAnsiTheme="minorEastAsia" w:eastAsiaTheme="minorEastAsia"/>
          <w:color w:val="auto"/>
          <w:sz w:val="24"/>
          <w:highlight w:val="none"/>
        </w:rPr>
        <w:t>对于考核中</w:t>
      </w:r>
      <w:r>
        <w:rPr>
          <w:rFonts w:asciiTheme="minorEastAsia" w:hAnsiTheme="minorEastAsia" w:eastAsiaTheme="minorEastAsia"/>
          <w:color w:val="auto"/>
          <w:sz w:val="24"/>
          <w:highlight w:val="none"/>
        </w:rPr>
        <w:t>所发现问题</w:t>
      </w:r>
      <w:r>
        <w:rPr>
          <w:rFonts w:hint="eastAsia" w:asciiTheme="minorEastAsia" w:hAnsiTheme="minorEastAsia" w:eastAsiaTheme="minorEastAsia"/>
          <w:color w:val="auto"/>
          <w:sz w:val="24"/>
          <w:highlight w:val="none"/>
        </w:rPr>
        <w:t>，乙方应在</w:t>
      </w:r>
      <w:r>
        <w:rPr>
          <w:rFonts w:asciiTheme="minorEastAsia" w:hAnsiTheme="minorEastAsia" w:eastAsiaTheme="minorEastAsia"/>
          <w:color w:val="auto"/>
          <w:sz w:val="24"/>
          <w:highlight w:val="none"/>
        </w:rPr>
        <w:t>当天回复并于三天</w:t>
      </w:r>
      <w:r>
        <w:rPr>
          <w:rFonts w:hint="eastAsia" w:asciiTheme="minorEastAsia" w:hAnsiTheme="minorEastAsia" w:eastAsiaTheme="minorEastAsia"/>
          <w:color w:val="auto"/>
          <w:sz w:val="24"/>
          <w:highlight w:val="none"/>
        </w:rPr>
        <w:t>内</w:t>
      </w:r>
      <w:r>
        <w:rPr>
          <w:rFonts w:asciiTheme="minorEastAsia" w:hAnsiTheme="minorEastAsia" w:eastAsiaTheme="minorEastAsia"/>
          <w:color w:val="auto"/>
          <w:sz w:val="24"/>
          <w:highlight w:val="none"/>
        </w:rPr>
        <w:t>整改完成，</w:t>
      </w:r>
      <w:r>
        <w:rPr>
          <w:rFonts w:hint="eastAsia" w:asciiTheme="minorEastAsia" w:hAnsiTheme="minorEastAsia" w:eastAsiaTheme="minorEastAsia"/>
          <w:color w:val="auto"/>
          <w:sz w:val="24"/>
          <w:highlight w:val="none"/>
        </w:rPr>
        <w:t>如</w:t>
      </w:r>
      <w:r>
        <w:rPr>
          <w:rFonts w:asciiTheme="minorEastAsia" w:hAnsiTheme="minorEastAsia" w:eastAsiaTheme="minorEastAsia"/>
          <w:color w:val="auto"/>
          <w:sz w:val="24"/>
          <w:highlight w:val="none"/>
        </w:rPr>
        <w:t>未</w:t>
      </w:r>
      <w:r>
        <w:rPr>
          <w:rFonts w:hint="eastAsia" w:asciiTheme="minorEastAsia" w:hAnsiTheme="minorEastAsia" w:eastAsiaTheme="minorEastAsia"/>
          <w:color w:val="auto"/>
          <w:sz w:val="24"/>
          <w:highlight w:val="none"/>
        </w:rPr>
        <w:t>按期</w:t>
      </w:r>
      <w:r>
        <w:rPr>
          <w:rFonts w:asciiTheme="minorEastAsia" w:hAnsiTheme="minorEastAsia" w:eastAsiaTheme="minorEastAsia"/>
          <w:color w:val="auto"/>
          <w:sz w:val="24"/>
          <w:highlight w:val="none"/>
        </w:rPr>
        <w:t>整改到位，</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将视问题轻重程度</w:t>
      </w:r>
      <w:r>
        <w:rPr>
          <w:rFonts w:hint="eastAsia" w:asciiTheme="minorEastAsia" w:hAnsiTheme="minorEastAsia" w:eastAsiaTheme="minorEastAsia"/>
          <w:color w:val="auto"/>
          <w:sz w:val="24"/>
          <w:highlight w:val="none"/>
        </w:rPr>
        <w:t>扣除</w:t>
      </w:r>
      <w:r>
        <w:rPr>
          <w:rFonts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100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履约保证金；如连续两次考核不合格，</w:t>
      </w:r>
      <w:r>
        <w:rPr>
          <w:rFonts w:hint="eastAsia" w:asciiTheme="minorEastAsia" w:hAnsiTheme="minorEastAsia" w:eastAsiaTheme="minorEastAsia"/>
          <w:color w:val="auto"/>
          <w:sz w:val="24"/>
          <w:highlight w:val="none"/>
        </w:rPr>
        <w:t>则</w:t>
      </w:r>
      <w:r>
        <w:rPr>
          <w:rFonts w:asciiTheme="minorEastAsia" w:hAnsiTheme="minorEastAsia" w:eastAsiaTheme="minorEastAsia"/>
          <w:color w:val="auto"/>
          <w:sz w:val="24"/>
          <w:highlight w:val="none"/>
        </w:rPr>
        <w:t>甲方有权</w:t>
      </w:r>
      <w:r>
        <w:rPr>
          <w:rFonts w:hint="eastAsia" w:asciiTheme="minorEastAsia" w:hAnsiTheme="minorEastAsia" w:eastAsiaTheme="minorEastAsia"/>
          <w:color w:val="auto"/>
          <w:sz w:val="24"/>
          <w:highlight w:val="none"/>
        </w:rPr>
        <w:t>解除</w:t>
      </w:r>
      <w:r>
        <w:rPr>
          <w:rFonts w:asciiTheme="minorEastAsia" w:hAnsiTheme="minorEastAsia" w:eastAsiaTheme="minorEastAsia"/>
          <w:color w:val="auto"/>
          <w:sz w:val="24"/>
          <w:highlight w:val="none"/>
        </w:rPr>
        <w:t>本合同，并</w:t>
      </w:r>
      <w:r>
        <w:rPr>
          <w:rFonts w:hint="eastAsia" w:asciiTheme="minorEastAsia" w:hAnsiTheme="minorEastAsia" w:eastAsiaTheme="minorEastAsia"/>
          <w:color w:val="auto"/>
          <w:sz w:val="24"/>
          <w:highlight w:val="none"/>
        </w:rPr>
        <w:t>不予退还</w:t>
      </w:r>
      <w:r>
        <w:rPr>
          <w:rFonts w:asciiTheme="minorEastAsia" w:hAnsiTheme="minorEastAsia" w:eastAsiaTheme="minorEastAsia"/>
          <w:color w:val="auto"/>
          <w:sz w:val="24"/>
          <w:highlight w:val="none"/>
        </w:rPr>
        <w:t>乙方履约保证金</w:t>
      </w:r>
      <w:r>
        <w:rPr>
          <w:rFonts w:hint="eastAsia" w:asciiTheme="minorEastAsia" w:hAnsiTheme="minorEastAsia" w:eastAsiaTheme="minorEastAsia"/>
          <w:color w:val="auto"/>
          <w:sz w:val="24"/>
          <w:highlight w:val="none"/>
        </w:rPr>
        <w:t>。</w:t>
      </w:r>
    </w:p>
    <w:p w14:paraId="049EB3C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6．甲方有权向乙方发出书面整改通知单，乙方应在接到通知后一周内完成整改，并将整改情况书面报告甲方，由</w:t>
      </w:r>
      <w:r>
        <w:rPr>
          <w:rFonts w:asciiTheme="minorEastAsia" w:hAnsiTheme="minorEastAsia" w:eastAsiaTheme="minorEastAsia"/>
          <w:color w:val="auto"/>
          <w:sz w:val="24"/>
          <w:highlight w:val="none"/>
        </w:rPr>
        <w:t>甲方进行验收</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经</w:t>
      </w:r>
      <w:r>
        <w:rPr>
          <w:rFonts w:asciiTheme="minorEastAsia" w:hAnsiTheme="minorEastAsia" w:eastAsiaTheme="minorEastAsia"/>
          <w:color w:val="auto"/>
          <w:sz w:val="24"/>
          <w:highlight w:val="none"/>
        </w:rPr>
        <w:t>甲方验收不合格，</w:t>
      </w:r>
      <w:r>
        <w:rPr>
          <w:rFonts w:hint="eastAsia" w:asciiTheme="minorEastAsia" w:hAnsiTheme="minorEastAsia" w:eastAsiaTheme="minorEastAsia"/>
          <w:color w:val="auto"/>
          <w:sz w:val="24"/>
          <w:highlight w:val="none"/>
          <w:lang w:val="en-US" w:eastAsia="zh-CN"/>
        </w:rPr>
        <w:t>则</w:t>
      </w:r>
      <w:r>
        <w:rPr>
          <w:rFonts w:hint="eastAsia" w:asciiTheme="minorEastAsia" w:hAnsiTheme="minorEastAsia" w:eastAsiaTheme="minorEastAsia"/>
          <w:color w:val="auto"/>
          <w:sz w:val="24"/>
          <w:highlight w:val="none"/>
        </w:rPr>
        <w:t>甲方有权</w:t>
      </w:r>
      <w:r>
        <w:rPr>
          <w:rFonts w:asciiTheme="minorEastAsia" w:hAnsiTheme="minorEastAsia" w:eastAsiaTheme="minorEastAsia"/>
          <w:color w:val="auto"/>
          <w:sz w:val="24"/>
          <w:highlight w:val="none"/>
        </w:rPr>
        <w:t>解除</w:t>
      </w:r>
      <w:r>
        <w:rPr>
          <w:rFonts w:hint="eastAsia"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并不予退还</w:t>
      </w:r>
      <w:r>
        <w:rPr>
          <w:rFonts w:hint="eastAsia" w:asciiTheme="minorEastAsia" w:hAnsiTheme="minorEastAsia" w:eastAsiaTheme="minorEastAsia"/>
          <w:color w:val="auto"/>
          <w:sz w:val="24"/>
          <w:highlight w:val="none"/>
        </w:rPr>
        <w:t>履约保证金，造成甲方损失的，甲方有权要求乙方</w:t>
      </w:r>
      <w:r>
        <w:rPr>
          <w:rFonts w:hint="eastAsia" w:asciiTheme="minorEastAsia" w:hAnsiTheme="minorEastAsia" w:eastAsiaTheme="minorEastAsia"/>
          <w:color w:val="auto"/>
          <w:sz w:val="24"/>
          <w:highlight w:val="none"/>
          <w:lang w:val="en-US" w:eastAsia="zh-CN"/>
        </w:rPr>
        <w:t>予以</w:t>
      </w:r>
      <w:r>
        <w:rPr>
          <w:rFonts w:hint="eastAsia" w:asciiTheme="minorEastAsia" w:hAnsiTheme="minorEastAsia" w:eastAsiaTheme="minorEastAsia"/>
          <w:color w:val="auto"/>
          <w:sz w:val="24"/>
          <w:highlight w:val="none"/>
        </w:rPr>
        <w:t>赔偿。</w:t>
      </w:r>
    </w:p>
    <w:p w14:paraId="3A9BFCE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7．因乙方原因造成误餐或停餐，甲方有权要求乙方给予经济补偿，若经济补偿无法确定的，则按本合同一个季度租金为标准进行补偿。 </w:t>
      </w:r>
    </w:p>
    <w:p w14:paraId="4C74961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四、乙方权利、义务</w:t>
      </w:r>
    </w:p>
    <w:p w14:paraId="5B10233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（一）乙方应承担的食品卫生管理责任</w:t>
      </w:r>
    </w:p>
    <w:p w14:paraId="7835B3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1．日常管理卫生要求</w:t>
      </w:r>
    </w:p>
    <w:p w14:paraId="48B9924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w:t>
      </w:r>
      <w:r>
        <w:rPr>
          <w:rFonts w:asciiTheme="minorEastAsia" w:hAnsiTheme="minorEastAsia" w:eastAsiaTheme="minorEastAsia"/>
          <w:color w:val="auto"/>
          <w:sz w:val="24"/>
          <w:highlight w:val="none"/>
        </w:rPr>
        <w:t>乙方须办理</w:t>
      </w:r>
      <w:r>
        <w:rPr>
          <w:rFonts w:hint="eastAsia" w:asciiTheme="minorEastAsia" w:hAnsiTheme="minorEastAsia" w:eastAsiaTheme="minorEastAsia"/>
          <w:color w:val="auto"/>
          <w:sz w:val="24"/>
          <w:highlight w:val="none"/>
        </w:rPr>
        <w:t>国贸商务中心的《食品经营许可证》及其他相应的证件。</w:t>
      </w:r>
    </w:p>
    <w:p w14:paraId="09997E0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2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②</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确保餐饮中心的卫生防疫、就餐环境达到国家规定的食堂卫生标准，做好餐饮中心区域内的卫生清洁（包含电梯厅公区以及男、女厕所内的卫生清洁及纸巾耗材等），及时清运餐饮中心所产生的生活垃圾。</w:t>
      </w:r>
    </w:p>
    <w:p w14:paraId="5F2970E7">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3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③</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餐饮中心工作人员按卫生部门规定进行健康检查，持证上岗，并按国家规定定期进行体检，乙方从业人员的健康证明须在餐厅内公示。乙方工作人员须穿着统一工作服装和使用卫生防护用品。</w:t>
      </w:r>
    </w:p>
    <w:p w14:paraId="1949E7C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4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④</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经营场所进行定期防鼠灭蝇及防疫消毒工作。</w:t>
      </w:r>
    </w:p>
    <w:p w14:paraId="2E36C0B6">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5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⑤</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 xml:space="preserve">严格执行各项管理制度，严格按餐饮中心操作规程及卫生管理制度运营。 </w:t>
      </w:r>
    </w:p>
    <w:p w14:paraId="686DFA21">
      <w:pPr>
        <w:spacing w:line="360" w:lineRule="auto"/>
        <w:rPr>
          <w:rFonts w:ascii="宋体" w:hAnsi="宋体"/>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6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⑥</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乙方</w:t>
      </w:r>
      <w:r>
        <w:rPr>
          <w:rFonts w:hint="eastAsia" w:ascii="宋体" w:hAnsi="宋体"/>
          <w:color w:val="auto"/>
          <w:sz w:val="24"/>
          <w:highlight w:val="none"/>
        </w:rPr>
        <w:t>食品原材料供应商须符合国家相关法律法规标准，且向甲方报备，并做好餐厅的索证索票台账工作，做到有据可查，随时接受甲方及相关政府主管部门的检查。</w:t>
      </w:r>
    </w:p>
    <w:p w14:paraId="4DC5605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hint="eastAsia" w:asciiTheme="minorEastAsia" w:hAnsiTheme="minorEastAsia" w:eastAsiaTheme="minorEastAsia"/>
          <w:color w:val="auto"/>
          <w:sz w:val="24"/>
          <w:highlight w:val="none"/>
        </w:rPr>
        <w:instrText xml:space="preserve">= 7 \* GB3</w:instrText>
      </w:r>
      <w:r>
        <w:rPr>
          <w:rFonts w:asciiTheme="minorEastAsia" w:hAnsiTheme="minorEastAsia" w:eastAsiaTheme="minorEastAsia"/>
          <w:color w:val="auto"/>
          <w:sz w:val="24"/>
          <w:highlight w:val="none"/>
        </w:rPr>
        <w:fldChar w:fldCharType="separate"/>
      </w:r>
      <w:r>
        <w:rPr>
          <w:rFonts w:hint="eastAsia" w:asciiTheme="minorEastAsia" w:hAnsiTheme="minorEastAsia" w:eastAsiaTheme="minorEastAsia"/>
          <w:color w:val="auto"/>
          <w:sz w:val="24"/>
          <w:highlight w:val="none"/>
        </w:rPr>
        <w:t>⑦</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必须确保食物的质量，把住进货渠道及进货质量关，严禁购进变质变霉的食物，保证食品卫生达标，并将每天每种菜品按有关规定留样并保存48小时。若发生食物中毒等食品安全事故，由乙方负责并承担相关经济赔偿责任，甲方保留进一步追加处罚乙方的权利。</w:t>
      </w:r>
    </w:p>
    <w:p w14:paraId="63E346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2．粗加工区卫生要求</w:t>
      </w:r>
    </w:p>
    <w:p w14:paraId="4D56A46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①食品粗加工应该做到荤素食品分池清洗。洗涤拖把等清洁用品与清洗食品的水池分开。</w:t>
      </w:r>
    </w:p>
    <w:p w14:paraId="58D8365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②粗加工操作卫生</w:t>
      </w:r>
    </w:p>
    <w:p w14:paraId="5EB8FD5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各种荤素食品原料，在粗加工过程中，首先要检查食品的质量，发现食品腐败变质、发霉、生虫、掺杂、掺假有毒有害等，均不宜清洁加工。</w:t>
      </w:r>
    </w:p>
    <w:p w14:paraId="3B8AD94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A、肉类  加工清洁前，应检查有无经过兽医卫生检验，经过卫生检验属正常的肉食品，清洗干净后，放于清洁的容器。肠、肚等内脏应与肉品分开清洗，分容器盛放，以免串味污染。</w:t>
      </w:r>
    </w:p>
    <w:p w14:paraId="4B61EF5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B、水产品  清洗前应逐条检查鱼的质量，尤其要拣剔有毒鱼及某些鱼的有毒内脏。水产品要刮鳞、去鳃和内脏，清洗干净后放入清洁的容器内，尽快送入厨房加工烹调，暂时不用或一时用不完的应放入冰箱冷藏保存，以免鱼体变质。</w:t>
      </w:r>
    </w:p>
    <w:p w14:paraId="37714DF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C、禽蛋类  活禽宰杀前注意有无疾病，宰杀后脱净羽毛，去掉头爪，除净内脏，清洗干净后送入厨房。</w:t>
      </w:r>
    </w:p>
    <w:p w14:paraId="68B660A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D、蔬菜  拣去枯萎黄叶，去掉泥砂杂物和不可食部分，再进行清洗，由于蔬菜在种植时多采用人畜粪便用肥料，尤其时菜类蔬菜更应认真仔细清洗。为防止营养素流失，对各种蔬菜均应按照“一拣、二洗、三切”的顺序进行操作。清洗后的蔬菜要在清水中浸泡30分钟以上，不宜放置过夜。</w:t>
      </w:r>
    </w:p>
    <w:p w14:paraId="14EEB92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③食用油及米面类食材需符合食品卫生有关合格产品标准，招标人有权推荐使用具体品牌，投标人应予接受。</w:t>
      </w:r>
    </w:p>
    <w:p w14:paraId="7E67FA2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3．切配卫生要求</w:t>
      </w:r>
    </w:p>
    <w:p w14:paraId="45F648D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①切配场所卫生 </w:t>
      </w:r>
    </w:p>
    <w:p w14:paraId="64012D3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切配间无污迹和食物残渣，保持下水道通畅，加工下来的废弃物及时倒入废弃物箱内，并当日清除。配菜结束，应及时做好冲洗，清洗等清洁工作，以保持室内清洁卫生。</w:t>
      </w:r>
    </w:p>
    <w:p w14:paraId="0AF5AA5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②工具、用具卫生 </w:t>
      </w:r>
    </w:p>
    <w:p w14:paraId="5D09E3E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菜用的工具、容器、盛器保持清洁，刀、砧板用后洗刷干净，刀不用时放入清洁的石灰水中，可防止生锈。砧板洗刷揩干后竖立存放，防止发霉。抹布在使用过程中经常清洗，用后晾干。盛放生熟食品、荤素食品的容器、盛器应分开使用，每次使用后应洗刷干净，用前消毒。</w:t>
      </w:r>
    </w:p>
    <w:p w14:paraId="12D83D3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③切配操作卫生 </w:t>
      </w:r>
    </w:p>
    <w:p w14:paraId="6B0297E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食品在切配时应注意食品的质量，如发现食品腐败变质、污秽不洁或可疑被污染时，不应切配加工，将其剔除另作处理。 </w:t>
      </w:r>
    </w:p>
    <w:p w14:paraId="44C385A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切配食品应根据不同烧煮烹调方法选择合适的原料。采用煎、炒等方法烹调，如炒肉丝、肉片、鱼片等，要选择新鲜原料。品质差的原料有大量细菌，一般煎、炒不易将污染在食品上的细菌全部杀灭，食后易引起中毒。切配过鱼的刀、砧板、抹布必须洗刷干净后，再切配其他食品，否则会造成交叉污染。</w:t>
      </w:r>
    </w:p>
    <w:p w14:paraId="1062B6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4．烧煮烹调卫生要求</w:t>
      </w:r>
    </w:p>
    <w:p w14:paraId="69D5861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①烧煮烹调场所卫生 </w:t>
      </w:r>
    </w:p>
    <w:p w14:paraId="332A29B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灶面及灶台墙壁经常洗刷，做到无油污、无积灰、无食物残渣、排气罩不滴油，工作结束做好地面、灶台、操作台和工用具的清洗、洗刷，保持加工场所清洁。生进、熟出最好做到分台或架桥式操作台，下面进生，上面出熟，避免进、出菜在同一台面。</w:t>
      </w:r>
    </w:p>
    <w:p w14:paraId="7E9BD8A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②烧煮、烹调操作卫生要求 </w:t>
      </w:r>
    </w:p>
    <w:p w14:paraId="10C5C38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饭菜烧煮，烧煮时必须充分加热，使食品每个部位都均匀受热。防止产生有害物质。油炸食品时应经常补充新油和滤除油渣，减少油中有害物质含量。烘烤食品应避免明火直接与食品接触。</w:t>
      </w:r>
    </w:p>
    <w:p w14:paraId="69F2A97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防止交叉污染。为避免食品污染和食物中毒，要求操作者在烧煮烹调食品时注意操作卫生。盛放熟食的容器与餐具应生熟分开，熟食品容器应有明显标志，使用前应严格消毒，不能用未消毒的容器放熟食；饮具应保持清洁，烹调时不能用炒勺或手指直接尝味，尝余下的汤或菜不应倒回锅内。</w:t>
      </w:r>
    </w:p>
    <w:p w14:paraId="0E0477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5．餐具清洗消毒要求</w:t>
      </w:r>
    </w:p>
    <w:p w14:paraId="132C80D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餐具清洗应专人负责要有记录。餐具清洗消毒场所应与切、配、烹调场所分开，以免食品污染。餐具消毒可采用物理消毒和化学消毒两种。物理消毒必须按“除残渣、碱水刷、净水冲、热力消”等四道工序进行，热力消毒的要求为100℃10分钟；化学消毒必须按“除残渣、碱水刷、药物消、净水冲等四道工序进行，如使用含氯消毒剂，有效氯浓度应达到250PPM，消毒时间为5分钟。清洗消毒好的餐具应存放在保洁厨内。</w:t>
      </w:r>
    </w:p>
    <w:p w14:paraId="7D72142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（二）乙方应承担的经营管理责任</w:t>
      </w:r>
    </w:p>
    <w:p w14:paraId="17E88D5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1．工作日的早、中、晚餐供餐时间如下：</w:t>
      </w:r>
    </w:p>
    <w:p w14:paraId="45FB62A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（1）早餐供应时间：7:30-8:45；</w:t>
      </w:r>
    </w:p>
    <w:p w14:paraId="3A86F4A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（2）午餐供应时间：11:20-12:45；</w:t>
      </w:r>
    </w:p>
    <w:p w14:paraId="462828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（3）晚餐供应时间：17:15-18:30。</w:t>
      </w:r>
    </w:p>
    <w:p w14:paraId="383E9A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上早、中、晚餐供应时间应根据实际客户需求进行相应调整，供餐时间由甲乙双方共同商定，若有变动，在甲方同意的前提下，乙方提供书面通知报备甲方。非工作日的供餐时间按国贸商务中心客户的需求而定。</w:t>
      </w:r>
    </w:p>
    <w:p w14:paraId="26D1887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乙方应指定一名代表人在餐厅现场负责协调相关事宜。乙方所有工作人员应遵守甲方相关规定并提供优质服务，不得与甲方员工争吵或打架。如遇双方员工出现纠纷，乙方应及时通知甲方处理，双方对各自的人员均负有教育及管理责任。</w:t>
      </w:r>
    </w:p>
    <w:p w14:paraId="46F13D8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3．乙方厨房工作人员必须遵守甲方规章制度，不得随意出入甲方办公场所及其它禁止区域，如违反者，可依甲方之规定予以处罚。 </w:t>
      </w:r>
    </w:p>
    <w:p w14:paraId="0BB910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4．甲方除提供移交清单所载设施设备、炊事机具外，其他器具均由乙方自行配备。对甲方厨房现有设施、设备及餐具，乙方应合理使用，妥善保管，严格管理，不得人为损坏和丢失，否则照价赔偿。</w:t>
      </w:r>
    </w:p>
    <w:p w14:paraId="0960C5D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5．未经甲方书面同意，乙方不得擅自改变甲方建筑物的结构、搬动甲方财物或外借甲方提供的设备、物品，如确需改造须报请甲方批准，否则乙方应根据甲方要求恢复原样并赔偿由此给甲方造成的其他损失。</w:t>
      </w:r>
    </w:p>
    <w:p w14:paraId="0808936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未经甲方书面同意，乙方不得改变餐厅的功能，乙方不得将餐厅转让或委托他人经营，更不能利用餐厅资产搞不法经营。一经发现，甲方有权单方终止本合同，没收履约保证金，并赔偿由此给甲方造成的其他损失。</w:t>
      </w:r>
    </w:p>
    <w:p w14:paraId="6E601C5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乙方的工作人员由乙方自行管理，并自行承担食材、日用品、人工薪资、福利待遇、人员培训、工作服、体检、伤残疾病、工伤、社保以及租金、水、电、燃气、公共能耗等费用。乙方与其工作人员若发生劳资、工伤等纠纷与甲方无关，均由乙方负责处理并承担相关责任和费用。</w:t>
      </w:r>
    </w:p>
    <w:p w14:paraId="461D190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8．乙方应按甲方要求进行厨师执行轮岗制，具体方式如下：甲方不定期就用餐人员进行的满意情况进行调查，测评饭菜口味，若测评结果不达标，甲方有权要求乙方更换厨师团队。</w:t>
      </w:r>
    </w:p>
    <w:p w14:paraId="3A8D800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9．乙方根据用餐公司人员需要，提供就餐的正式发票。</w:t>
      </w:r>
    </w:p>
    <w:p w14:paraId="571B519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10．乙方应合理安排使用水、电、燃气，不得浪费。</w:t>
      </w:r>
    </w:p>
    <w:p w14:paraId="142C17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11．餐饮中心所产生的生活垃圾由乙方负责清运，垃圾不落地，即运即走。</w:t>
      </w:r>
    </w:p>
    <w:p w14:paraId="72635C5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12．若甲方依约终止合同，乙方无权向甲方主张任何形式的赔偿或补偿，并应按甲方要求做好新运营商入场前的餐饮提供工作及交接手续，否则甲方有权扣除履约保证金，如给甲方造成损失的乙方应全额赔偿。</w:t>
      </w:r>
    </w:p>
    <w:p w14:paraId="2D4ABD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13．餐饮中心场所及其附属设备（隔油池、油烟管道等）的日常设备维护由乙方负责，在合同期内所有设备的维修也均由乙方承担和负责。</w:t>
      </w:r>
    </w:p>
    <w:p w14:paraId="2B919E2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14．乙方在租赁经营期限内，如因违约导致甲方从履约保证金中扣减相应的违约金，乙方应于10日之内将扣减部分相同金额的款项支付给甲方用于填补履约保证金。</w:t>
      </w:r>
    </w:p>
    <w:p w14:paraId="50E69F2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乙方保证食堂所销售的食品应明码标价，价格不高于厦门市同等运营条件和规模食堂的销售平均价。乙方应在食堂食品价格报送甲方审核同意后进行销售。销售期间如乙方调整食品价格，应提前报送甲方审核同意。</w:t>
      </w:r>
    </w:p>
    <w:p w14:paraId="530AB96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16．乙方在租赁经营期间与外界所发生的一切债权、债务等纠纷均与甲方无关。</w:t>
      </w:r>
    </w:p>
    <w:p w14:paraId="085F28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 乙方应承担餐饮中心的安全管理责任，落实防火安全管理制度，开展针对性消防安全培训以及食品安全突发事件应急处理培训，在营业时间指定专人进行安全巡视检查，营业结束后落实水、电、燃气关闭等其它安全管理工作。</w:t>
      </w:r>
    </w:p>
    <w:p w14:paraId="344DAE1C">
      <w:pPr>
        <w:spacing w:line="360" w:lineRule="auto"/>
        <w:rPr>
          <w:rFonts w:asciiTheme="minorEastAsia" w:hAnsiTheme="minorEastAsia" w:eastAsiaTheme="minorEastAsia"/>
          <w:color w:val="auto"/>
          <w:sz w:val="24"/>
          <w:highlight w:val="none"/>
        </w:rPr>
      </w:pPr>
    </w:p>
    <w:p w14:paraId="5606F1F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五、费用结算及消费方式</w:t>
      </w:r>
    </w:p>
    <w:p w14:paraId="57B1111A">
      <w:pPr>
        <w:spacing w:line="360" w:lineRule="auto"/>
        <w:ind w:firstLine="480" w:firstLineChars="200"/>
        <w:jc w:val="left"/>
        <w:rPr>
          <w:rFonts w:ascii="Calibri" w:hAnsi="Calibri" w:eastAsia="仿宋" w:cs="Calibri"/>
          <w:color w:val="auto"/>
          <w:sz w:val="28"/>
          <w:szCs w:val="28"/>
          <w:highlight w:val="none"/>
        </w:rPr>
      </w:pPr>
      <w:r>
        <w:rPr>
          <w:rFonts w:hint="eastAsia" w:asciiTheme="minorEastAsia" w:hAnsiTheme="minorEastAsia" w:eastAsiaTheme="minorEastAsia"/>
          <w:color w:val="auto"/>
          <w:sz w:val="24"/>
          <w:highlight w:val="none"/>
        </w:rPr>
        <w:t>1．双方约定，水、电、燃气、公共能耗等费用按甲方出具的缴费通知单当月转入甲方指定账户，若未按时缴交，则每逾期一日，按所欠金额的千分之一向甲方支付违约金。若乙方逾期支付上述款项达15个工作日的，甲方有权终止本合同，没收履约保证金，并要求乙方缴清所有费用，依约归还场地。</w:t>
      </w:r>
    </w:p>
    <w:p w14:paraId="470CF2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租金</w:t>
      </w:r>
      <w:r>
        <w:rPr>
          <w:rFonts w:hint="eastAsia" w:asciiTheme="minorEastAsia" w:hAnsiTheme="minorEastAsia" w:eastAsiaTheme="minorEastAsia"/>
          <w:color w:val="auto"/>
          <w:sz w:val="24"/>
          <w:highlight w:val="none"/>
        </w:rPr>
        <w:t>、履约保证金</w:t>
      </w:r>
      <w:r>
        <w:rPr>
          <w:rFonts w:asciiTheme="minorEastAsia" w:hAnsiTheme="minorEastAsia" w:eastAsiaTheme="minorEastAsia"/>
          <w:color w:val="auto"/>
          <w:sz w:val="24"/>
          <w:highlight w:val="none"/>
        </w:rPr>
        <w:t>收款的帐户信息：</w:t>
      </w:r>
    </w:p>
    <w:p w14:paraId="2B7FEFC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甲方收款账户：</w:t>
      </w:r>
    </w:p>
    <w:p w14:paraId="16B42EC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甲方收款账号：</w:t>
      </w:r>
    </w:p>
    <w:p w14:paraId="79EC1E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w:t>
      </w:r>
    </w:p>
    <w:p w14:paraId="67D6563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rPr>
        <w:t>甲方另行书面通知外，收款账户</w:t>
      </w:r>
      <w:r>
        <w:rPr>
          <w:rFonts w:hint="eastAsia" w:asciiTheme="minorEastAsia" w:hAnsiTheme="minorEastAsia" w:eastAsiaTheme="minorEastAsia"/>
          <w:color w:val="auto"/>
          <w:sz w:val="24"/>
          <w:highlight w:val="none"/>
        </w:rPr>
        <w:t>为上述</w:t>
      </w:r>
      <w:r>
        <w:rPr>
          <w:rFonts w:asciiTheme="minorEastAsia" w:hAnsiTheme="minorEastAsia" w:eastAsiaTheme="minorEastAsia"/>
          <w:color w:val="auto"/>
          <w:sz w:val="24"/>
          <w:highlight w:val="none"/>
        </w:rPr>
        <w:t>账户。</w:t>
      </w:r>
    </w:p>
    <w:p w14:paraId="72B14E5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乙方在租赁经营期间所产生的水、电、燃气和公共能耗等费用由乙方最终承担，乙方应在支付租金时，根据实际使用情况结算已产生的水、电、燃气和公共能耗等费用。甲方与乙方核对并结算相关费用。燃气费用由乙方每月自行缴交至燃气公司。</w:t>
      </w:r>
    </w:p>
    <w:p w14:paraId="2B69AE5E">
      <w:pPr>
        <w:spacing w:line="360" w:lineRule="auto"/>
        <w:rPr>
          <w:rFonts w:asciiTheme="minorEastAsia" w:hAnsiTheme="minorEastAsia" w:eastAsiaTheme="minorEastAsia"/>
          <w:color w:val="auto"/>
          <w:sz w:val="24"/>
          <w:highlight w:val="none"/>
        </w:rPr>
      </w:pPr>
    </w:p>
    <w:p w14:paraId="3EFB154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六、合同的变更与解除</w:t>
      </w:r>
    </w:p>
    <w:p w14:paraId="57B195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1．根据本合同约定或经甲乙双方协商一致，双方可以变更或解除本合同。</w:t>
      </w:r>
    </w:p>
    <w:p w14:paraId="559D037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2．本合同任何一方因受不可抗力影响未能履行本合同全部或部分义务，不承担任何责任。</w:t>
      </w:r>
    </w:p>
    <w:p w14:paraId="6E08F5B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3．若乙方违反本合同约定造成安全事故，或乙方违反本合同约定经甲方通知整改后未在</w:t>
      </w:r>
      <w:r>
        <w:rPr>
          <w:rFonts w:hint="eastAsia" w:asciiTheme="minorEastAsia" w:hAnsiTheme="minorEastAsia" w:eastAsiaTheme="minorEastAsia"/>
          <w:color w:val="auto"/>
          <w:sz w:val="24"/>
          <w:highlight w:val="none"/>
          <w:lang w:val="en-US" w:eastAsia="zh-CN"/>
        </w:rPr>
        <w:t>限定的期限内完成</w:t>
      </w:r>
      <w:r>
        <w:rPr>
          <w:rFonts w:hint="eastAsia" w:asciiTheme="minorEastAsia" w:hAnsiTheme="minorEastAsia" w:eastAsiaTheme="minorEastAsia"/>
          <w:color w:val="auto"/>
          <w:sz w:val="24"/>
          <w:highlight w:val="none"/>
        </w:rPr>
        <w:t>整改的，甲方有权单方解除本合同且乙方应赔偿由此</w:t>
      </w:r>
      <w:r>
        <w:rPr>
          <w:rFonts w:asciiTheme="minorEastAsia" w:hAnsiTheme="minorEastAsia" w:eastAsiaTheme="minorEastAsia"/>
          <w:color w:val="auto"/>
          <w:sz w:val="24"/>
          <w:highlight w:val="none"/>
        </w:rPr>
        <w:t>造成的一切</w:t>
      </w:r>
      <w:r>
        <w:rPr>
          <w:rFonts w:hint="eastAsia" w:asciiTheme="minorEastAsia" w:hAnsiTheme="minorEastAsia" w:eastAsiaTheme="minorEastAsia"/>
          <w:color w:val="auto"/>
          <w:sz w:val="24"/>
          <w:highlight w:val="none"/>
        </w:rPr>
        <w:t>损失。</w:t>
      </w:r>
    </w:p>
    <w:p w14:paraId="5D7B9749">
      <w:pPr>
        <w:spacing w:line="360" w:lineRule="auto"/>
        <w:ind w:firstLine="480" w:firstLineChars="200"/>
        <w:rPr>
          <w:rFonts w:hint="default" w:eastAsiaTheme="minorEastAsia"/>
          <w:color w:val="auto"/>
          <w:highlight w:val="none"/>
          <w:lang w:val="en-US" w:eastAsia="zh-CN"/>
        </w:rPr>
      </w:pPr>
      <w:r>
        <w:rPr>
          <w:rFonts w:hint="eastAsia" w:cs="Times New Roman" w:asciiTheme="minorEastAsia" w:hAnsiTheme="minorEastAsia" w:eastAsiaTheme="minorEastAsia"/>
          <w:color w:val="auto"/>
          <w:sz w:val="24"/>
          <w:highlight w:val="none"/>
          <w:lang w:val="en-US" w:eastAsia="zh-CN"/>
        </w:rPr>
        <w:t>4.租赁经营</w:t>
      </w:r>
      <w:r>
        <w:rPr>
          <w:rFonts w:hint="eastAsia" w:cs="Times New Roman" w:asciiTheme="minorEastAsia" w:hAnsiTheme="minorEastAsia" w:eastAsiaTheme="minorEastAsia"/>
          <w:color w:val="auto"/>
          <w:sz w:val="24"/>
          <w:highlight w:val="none"/>
          <w:lang w:eastAsia="zh-CN"/>
        </w:rPr>
        <w:t>期满，</w:t>
      </w:r>
      <w:r>
        <w:rPr>
          <w:rFonts w:hint="eastAsia" w:cs="Times New Roman" w:asciiTheme="minorEastAsia" w:hAnsiTheme="minorEastAsia" w:eastAsiaTheme="minorEastAsia"/>
          <w:color w:val="auto"/>
          <w:sz w:val="24"/>
          <w:highlight w:val="none"/>
          <w:lang w:val="en-US" w:eastAsia="zh-CN"/>
        </w:rPr>
        <w:t>乙方在合同履行期间严格遵守本合同各项约定，无违约行为及不良履约记录，且在租赁经营</w:t>
      </w:r>
      <w:r>
        <w:rPr>
          <w:rFonts w:hint="eastAsia" w:cs="Times New Roman" w:asciiTheme="minorEastAsia" w:hAnsiTheme="minorEastAsia" w:eastAsiaTheme="minorEastAsia"/>
          <w:color w:val="auto"/>
          <w:sz w:val="24"/>
          <w:highlight w:val="none"/>
          <w:lang w:eastAsia="zh-CN"/>
        </w:rPr>
        <w:t>期满</w:t>
      </w:r>
      <w:r>
        <w:rPr>
          <w:rFonts w:hint="eastAsia" w:cs="Times New Roman" w:asciiTheme="minorEastAsia" w:hAnsiTheme="minorEastAsia" w:eastAsiaTheme="minorEastAsia"/>
          <w:color w:val="auto"/>
          <w:sz w:val="24"/>
          <w:highlight w:val="none"/>
          <w:lang w:val="en-US" w:eastAsia="zh-CN"/>
        </w:rPr>
        <w:t>前向甲方书面提出续签的，</w:t>
      </w:r>
      <w:r>
        <w:rPr>
          <w:rFonts w:hint="eastAsia" w:asciiTheme="minorEastAsia" w:hAnsiTheme="minorEastAsia" w:eastAsiaTheme="minorEastAsia"/>
          <w:color w:val="auto"/>
          <w:sz w:val="24"/>
          <w:highlight w:val="none"/>
          <w:lang w:val="en-US" w:eastAsia="zh-CN"/>
        </w:rPr>
        <w:t>在</w:t>
      </w:r>
      <w:r>
        <w:rPr>
          <w:rFonts w:hint="eastAsia" w:cs="Times New Roman" w:asciiTheme="minorEastAsia" w:hAnsiTheme="minorEastAsia" w:eastAsiaTheme="minorEastAsia"/>
          <w:color w:val="auto"/>
          <w:sz w:val="24"/>
          <w:highlight w:val="none"/>
          <w:lang w:val="en-US" w:eastAsia="zh-CN"/>
        </w:rPr>
        <w:t>同等条件下，甲方应优先选择与乙方续签合同。</w:t>
      </w:r>
    </w:p>
    <w:p w14:paraId="3EF3E8FF">
      <w:pPr>
        <w:widowControl/>
        <w:spacing w:line="460" w:lineRule="exact"/>
        <w:ind w:firstLine="480" w:firstLineChars="200"/>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租赁经营</w:t>
      </w:r>
      <w:r>
        <w:rPr>
          <w:rFonts w:hint="eastAsia" w:cs="宋体" w:asciiTheme="minorEastAsia" w:hAnsiTheme="minorEastAsia" w:eastAsiaTheme="minorEastAsia"/>
          <w:color w:val="auto"/>
          <w:sz w:val="24"/>
          <w:szCs w:val="24"/>
          <w:highlight w:val="none"/>
        </w:rPr>
        <w:t>期满，本合同自然终止，双方若需续订合同，应在该合同期满前</w:t>
      </w:r>
      <w:r>
        <w:rPr>
          <w:rFonts w:hint="eastAsia" w:cs="宋体" w:asciiTheme="minorEastAsia" w:hAnsiTheme="minorEastAsia" w:eastAsiaTheme="minorEastAsia"/>
          <w:color w:val="auto"/>
          <w:sz w:val="24"/>
          <w:szCs w:val="24"/>
          <w:highlight w:val="none"/>
          <w:lang w:val="en-US" w:eastAsia="zh-CN"/>
        </w:rPr>
        <w:t>6</w:t>
      </w:r>
      <w:r>
        <w:rPr>
          <w:rFonts w:cs="宋体" w:asciiTheme="minorEastAsia" w:hAnsiTheme="minorEastAsia" w:eastAsiaTheme="minorEastAsia"/>
          <w:color w:val="auto"/>
          <w:sz w:val="24"/>
          <w:szCs w:val="24"/>
          <w:highlight w:val="none"/>
        </w:rPr>
        <w:t>0日前向对方提出续签意见</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由双方协商合同续订事宜</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若</w:t>
      </w:r>
      <w:r>
        <w:rPr>
          <w:rFonts w:hint="eastAsia" w:cs="宋体" w:asciiTheme="minorEastAsia" w:hAnsiTheme="minorEastAsia" w:eastAsiaTheme="minorEastAsia"/>
          <w:color w:val="auto"/>
          <w:sz w:val="24"/>
          <w:szCs w:val="24"/>
          <w:highlight w:val="none"/>
          <w:lang w:val="en-US" w:eastAsia="zh-CN"/>
        </w:rPr>
        <w:t>一</w:t>
      </w:r>
      <w:r>
        <w:rPr>
          <w:rFonts w:cs="宋体" w:asciiTheme="minorEastAsia" w:hAnsiTheme="minorEastAsia" w:eastAsiaTheme="minorEastAsia"/>
          <w:color w:val="auto"/>
          <w:sz w:val="24"/>
          <w:szCs w:val="24"/>
          <w:highlight w:val="none"/>
        </w:rPr>
        <w:t>方</w:t>
      </w:r>
      <w:r>
        <w:rPr>
          <w:rFonts w:hint="eastAsia" w:asciiTheme="minorEastAsia" w:hAnsiTheme="minorEastAsia" w:eastAsiaTheme="minorEastAsia"/>
          <w:color w:val="auto"/>
          <w:sz w:val="24"/>
          <w:highlight w:val="none"/>
          <w:lang w:val="en-US" w:eastAsia="zh-CN"/>
        </w:rPr>
        <w:t>合同</w:t>
      </w:r>
      <w:r>
        <w:rPr>
          <w:rFonts w:cs="宋体" w:asciiTheme="minorEastAsia" w:hAnsiTheme="minorEastAsia" w:eastAsiaTheme="minorEastAsia"/>
          <w:color w:val="auto"/>
          <w:sz w:val="24"/>
          <w:szCs w:val="24"/>
          <w:highlight w:val="none"/>
        </w:rPr>
        <w:t>期满确定不与对方续订合同的</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则应提前</w:t>
      </w:r>
      <w:r>
        <w:rPr>
          <w:rFonts w:hint="eastAsia" w:cs="宋体" w:asciiTheme="minorEastAsia" w:hAnsiTheme="minorEastAsia" w:eastAsiaTheme="minorEastAsia"/>
          <w:color w:val="auto"/>
          <w:sz w:val="24"/>
          <w:szCs w:val="24"/>
          <w:highlight w:val="none"/>
          <w:lang w:val="en-US" w:eastAsia="zh-CN"/>
        </w:rPr>
        <w:t>6</w:t>
      </w:r>
      <w:r>
        <w:rPr>
          <w:rFonts w:cs="宋体" w:asciiTheme="minorEastAsia" w:hAnsiTheme="minorEastAsia" w:eastAsiaTheme="minorEastAsia"/>
          <w:color w:val="auto"/>
          <w:sz w:val="24"/>
          <w:szCs w:val="24"/>
          <w:highlight w:val="none"/>
        </w:rPr>
        <w:t>0日通知</w:t>
      </w:r>
      <w:r>
        <w:rPr>
          <w:rFonts w:hint="eastAsia" w:cs="宋体" w:asciiTheme="minorEastAsia" w:hAnsiTheme="minorEastAsia" w:eastAsiaTheme="minorEastAsia"/>
          <w:color w:val="auto"/>
          <w:sz w:val="24"/>
          <w:szCs w:val="24"/>
          <w:highlight w:val="none"/>
          <w:lang w:val="en-US" w:eastAsia="zh-CN"/>
        </w:rPr>
        <w:t>对</w:t>
      </w:r>
      <w:r>
        <w:rPr>
          <w:rFonts w:cs="宋体" w:asciiTheme="minorEastAsia" w:hAnsiTheme="minorEastAsia" w:eastAsiaTheme="minorEastAsia"/>
          <w:color w:val="auto"/>
          <w:sz w:val="24"/>
          <w:szCs w:val="24"/>
          <w:highlight w:val="none"/>
        </w:rPr>
        <w:t>方</w:t>
      </w:r>
      <w:r>
        <w:rPr>
          <w:rFonts w:hint="eastAsia" w:cs="宋体" w:asciiTheme="minorEastAsia" w:hAnsiTheme="minorEastAsia" w:eastAsiaTheme="minorEastAsia"/>
          <w:color w:val="auto"/>
          <w:sz w:val="24"/>
          <w:szCs w:val="24"/>
          <w:highlight w:val="none"/>
        </w:rPr>
        <w:t>。</w:t>
      </w:r>
    </w:p>
    <w:p w14:paraId="014DDAF9">
      <w:pPr>
        <w:pStyle w:val="8"/>
        <w:rPr>
          <w:color w:val="auto"/>
          <w:highlight w:val="none"/>
        </w:rPr>
      </w:pPr>
    </w:p>
    <w:p w14:paraId="15760E6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七、违约责任</w:t>
      </w:r>
    </w:p>
    <w:p w14:paraId="1A1665E4">
      <w:pPr>
        <w:snapToGrid/>
        <w:spacing w:line="360" w:lineRule="auto"/>
        <w:ind w:right="0" w:firstLine="480" w:firstLineChars="200"/>
        <w:rPr>
          <w:rFonts w:cs="Times New Roman" w:asciiTheme="minorEastAsia" w:hAnsiTheme="minorEastAsia" w:eastAsiaTheme="minorEastAsia"/>
          <w:bCs w:val="0"/>
          <w:color w:val="auto"/>
          <w:kern w:val="2"/>
          <w:sz w:val="24"/>
          <w:szCs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 xml:space="preserve"> 乙方应按时足额向甲方支付租金，若有逾期，则每逾期一日按逾期金额的千分之一向甲方支付违约金；若逾期达到30日，则甲方有权解除合同，且乙方还应向甲方支付等额于租赁经营期内租金总额20%的金额作为违约金，违约金不足以弥补甲方损失的，乙方应继续承担赔偿责任。</w:t>
      </w:r>
    </w:p>
    <w:p w14:paraId="41E650B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 xml:space="preserve"> 乙</w:t>
      </w:r>
      <w:r>
        <w:rPr>
          <w:rFonts w:asciiTheme="minorEastAsia" w:hAnsiTheme="minorEastAsia" w:eastAsiaTheme="minorEastAsia"/>
          <w:color w:val="auto"/>
          <w:sz w:val="24"/>
          <w:highlight w:val="none"/>
        </w:rPr>
        <w:t>方单方要求提前终止合同的，应提前1个月书面通知</w:t>
      </w:r>
      <w:r>
        <w:rPr>
          <w:rFonts w:hint="eastAsia" w:asciiTheme="minorEastAsia" w:hAnsiTheme="minorEastAsia" w:eastAsiaTheme="minorEastAsia"/>
          <w:color w:val="auto"/>
          <w:sz w:val="24"/>
          <w:highlight w:val="none"/>
        </w:rPr>
        <w:t>甲</w:t>
      </w:r>
      <w:r>
        <w:rPr>
          <w:rFonts w:asciiTheme="minorEastAsia" w:hAnsiTheme="minorEastAsia" w:eastAsiaTheme="minorEastAsia"/>
          <w:color w:val="auto"/>
          <w:sz w:val="24"/>
          <w:highlight w:val="none"/>
        </w:rPr>
        <w:t>方</w:t>
      </w:r>
      <w:r>
        <w:rPr>
          <w:rFonts w:hint="eastAsia" w:asciiTheme="minorEastAsia" w:hAnsiTheme="minorEastAsia" w:eastAsiaTheme="minorEastAsia"/>
          <w:color w:val="auto"/>
          <w:sz w:val="24"/>
          <w:highlight w:val="none"/>
        </w:rPr>
        <w:t>并经甲方同意，若乙方未经甲方同意单方提前终止合同的，需向甲方支付等额于租赁经营期内租金总额20%的违约金，违约金不足以弥补</w:t>
      </w:r>
      <w:r>
        <w:rPr>
          <w:rFonts w:hint="eastAsia" w:asciiTheme="minorEastAsia" w:hAnsiTheme="minorEastAsia" w:eastAsiaTheme="minorEastAsia"/>
          <w:color w:val="auto"/>
          <w:sz w:val="24"/>
          <w:highlight w:val="none"/>
          <w:lang w:eastAsia="zh-CN"/>
        </w:rPr>
        <w:t>甲</w:t>
      </w:r>
      <w:r>
        <w:rPr>
          <w:rFonts w:hint="eastAsia" w:asciiTheme="minorEastAsia" w:hAnsiTheme="minorEastAsia" w:eastAsiaTheme="minorEastAsia"/>
          <w:color w:val="auto"/>
          <w:sz w:val="24"/>
          <w:highlight w:val="none"/>
        </w:rPr>
        <w:t>方损失的，</w:t>
      </w:r>
      <w:r>
        <w:rPr>
          <w:rFonts w:hint="eastAsia" w:asciiTheme="minorEastAsia" w:hAnsiTheme="minorEastAsia" w:eastAsiaTheme="minorEastAsia"/>
          <w:color w:val="auto"/>
          <w:sz w:val="24"/>
          <w:highlight w:val="none"/>
          <w:lang w:eastAsia="zh-CN"/>
        </w:rPr>
        <w:t>乙</w:t>
      </w:r>
      <w:r>
        <w:rPr>
          <w:rFonts w:hint="eastAsia" w:asciiTheme="minorEastAsia" w:hAnsiTheme="minorEastAsia" w:eastAsiaTheme="minorEastAsia"/>
          <w:color w:val="auto"/>
          <w:sz w:val="24"/>
          <w:highlight w:val="none"/>
        </w:rPr>
        <w:t>方应继续承担赔偿责任。</w:t>
      </w:r>
    </w:p>
    <w:p w14:paraId="2EEF6D48">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 乙</w:t>
      </w:r>
      <w:r>
        <w:rPr>
          <w:rFonts w:asciiTheme="minorEastAsia" w:hAnsiTheme="minorEastAsia" w:eastAsiaTheme="minorEastAsia"/>
          <w:color w:val="auto"/>
          <w:sz w:val="24"/>
          <w:highlight w:val="none"/>
        </w:rPr>
        <w:t>方违反合同约定，除需承担</w:t>
      </w:r>
      <w:r>
        <w:rPr>
          <w:rFonts w:hint="eastAsia" w:asciiTheme="minorEastAsia" w:hAnsiTheme="minorEastAsia" w:eastAsiaTheme="minorEastAsia"/>
          <w:color w:val="auto"/>
          <w:sz w:val="24"/>
          <w:highlight w:val="none"/>
        </w:rPr>
        <w:t>合同约定</w:t>
      </w:r>
      <w:r>
        <w:rPr>
          <w:rFonts w:asciiTheme="minorEastAsia" w:hAnsiTheme="minorEastAsia" w:eastAsiaTheme="minorEastAsia"/>
          <w:color w:val="auto"/>
          <w:sz w:val="24"/>
          <w:highlight w:val="none"/>
        </w:rPr>
        <w:t>违约责任外，仍应承担因此给</w:t>
      </w:r>
      <w:r>
        <w:rPr>
          <w:rFonts w:hint="eastAsia" w:asciiTheme="minorEastAsia" w:hAnsiTheme="minorEastAsia" w:eastAsiaTheme="minorEastAsia"/>
          <w:color w:val="auto"/>
          <w:sz w:val="24"/>
          <w:highlight w:val="none"/>
        </w:rPr>
        <w:t>甲</w:t>
      </w:r>
      <w:r>
        <w:rPr>
          <w:rFonts w:asciiTheme="minorEastAsia" w:hAnsiTheme="minorEastAsia" w:eastAsiaTheme="minorEastAsia"/>
          <w:color w:val="auto"/>
          <w:sz w:val="24"/>
          <w:highlight w:val="none"/>
        </w:rPr>
        <w:t>方造成的损失，包括但不限于</w:t>
      </w:r>
      <w:r>
        <w:rPr>
          <w:rFonts w:hint="eastAsia" w:asciiTheme="minorEastAsia" w:hAnsiTheme="minorEastAsia" w:eastAsiaTheme="minorEastAsia"/>
          <w:color w:val="auto"/>
          <w:sz w:val="24"/>
          <w:highlight w:val="none"/>
        </w:rPr>
        <w:t>甲</w:t>
      </w:r>
      <w:r>
        <w:rPr>
          <w:rFonts w:asciiTheme="minorEastAsia" w:hAnsiTheme="minorEastAsia" w:eastAsiaTheme="minorEastAsia"/>
          <w:color w:val="auto"/>
          <w:sz w:val="24"/>
          <w:highlight w:val="none"/>
        </w:rPr>
        <w:t>方主张权利而产生的</w:t>
      </w:r>
      <w:r>
        <w:rPr>
          <w:rFonts w:hint="eastAsia" w:asciiTheme="minorEastAsia" w:hAnsiTheme="minorEastAsia" w:eastAsiaTheme="minorEastAsia"/>
          <w:color w:val="auto"/>
          <w:sz w:val="24"/>
          <w:highlight w:val="none"/>
        </w:rPr>
        <w:t>诉讼</w:t>
      </w:r>
      <w:r>
        <w:rPr>
          <w:rFonts w:asciiTheme="minorEastAsia" w:hAnsiTheme="minorEastAsia" w:eastAsiaTheme="minorEastAsia"/>
          <w:color w:val="auto"/>
          <w:sz w:val="24"/>
          <w:highlight w:val="none"/>
        </w:rPr>
        <w:t>费、执行费、律师费、差旅费、公证费用、保全费、保全担保费或保险费、鉴定费等</w:t>
      </w:r>
      <w:r>
        <w:rPr>
          <w:rFonts w:hint="eastAsia" w:asciiTheme="minorEastAsia" w:hAnsiTheme="minorEastAsia" w:eastAsiaTheme="minorEastAsia"/>
          <w:color w:val="auto"/>
          <w:sz w:val="24"/>
          <w:highlight w:val="none"/>
        </w:rPr>
        <w:t>费用。</w:t>
      </w:r>
    </w:p>
    <w:p w14:paraId="5B0FA511">
      <w:pPr>
        <w:pStyle w:val="8"/>
        <w:ind w:firstLineChars="200"/>
        <w:rPr>
          <w:rFonts w:asciiTheme="minorEastAsia" w:hAnsiTheme="minorEastAsia" w:eastAsiaTheme="minorEastAsia"/>
          <w:color w:val="auto"/>
          <w:sz w:val="24"/>
          <w:highlight w:val="none"/>
        </w:rPr>
      </w:pPr>
    </w:p>
    <w:p w14:paraId="0F553B3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八、争议的解决</w:t>
      </w:r>
    </w:p>
    <w:p w14:paraId="03FE6C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因本合同及本合同在履行过程中发生一切争议，甲乙双方应友好协商解决，协商不成时，任何一方可向本合同签订地人民法院提起诉讼。</w:t>
      </w:r>
    </w:p>
    <w:p w14:paraId="6204A550">
      <w:pPr>
        <w:pStyle w:val="8"/>
        <w:rPr>
          <w:rFonts w:asciiTheme="minorEastAsia" w:hAnsiTheme="minorEastAsia" w:eastAsiaTheme="minorEastAsia"/>
          <w:color w:val="auto"/>
          <w:sz w:val="24"/>
          <w:highlight w:val="none"/>
        </w:rPr>
      </w:pPr>
    </w:p>
    <w:p w14:paraId="2F95BC1B">
      <w:pPr>
        <w:spacing w:line="360" w:lineRule="auto"/>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九、</w:t>
      </w:r>
      <w:r>
        <w:rPr>
          <w:rFonts w:hint="eastAsia" w:asciiTheme="minorEastAsia" w:hAnsiTheme="minorEastAsia" w:eastAsiaTheme="minorEastAsia"/>
          <w:b/>
          <w:color w:val="auto"/>
          <w:sz w:val="24"/>
          <w:highlight w:val="none"/>
          <w:lang w:val="en-US" w:eastAsia="zh-CN"/>
        </w:rPr>
        <w:t>双方约定的其他事项</w:t>
      </w:r>
    </w:p>
    <w:p w14:paraId="088511A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1．不可抗力原因造成损失时，乙方不承担甲方房产和设施的经济损失。</w:t>
      </w:r>
    </w:p>
    <w:p w14:paraId="756552C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2．非营业时间厨房须留人值守，乙方应于每月月底将下月留守人员名册提供给甲方备案。</w:t>
      </w:r>
    </w:p>
    <w:p w14:paraId="2704C4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合同期限届满或本合同依约被解除后本合同效力终止，乙方应将餐饮中心及所有设施、设备、工具及餐具等（备注：乙方进场由双方对现场的设施设备、物资等进行清点并形成清单作为本合同附件）全部归还甲方，并配合甲方完成清点及验收工作。乙方应保证甲方财产及甲方所提供设施、设备等的完整，如有损坏和短缺，乙方须照价赔偿。</w:t>
      </w:r>
    </w:p>
    <w:p w14:paraId="1DF853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 乙方若需对餐饮中心进行施工改造，其装修改造设计方案须经甲方同意，乙方不得随意改变其建筑结构，如有需要须经甲方及有关安全、消防设计部门同意方可实施，甲方应积极协助办理，所产生的实际费用由乙方全部负责；改造后餐饮中心的经营管理需按甲方要求签订补充协议。</w:t>
      </w:r>
    </w:p>
    <w:p w14:paraId="78CB911B">
      <w:pPr>
        <w:spacing w:line="360" w:lineRule="auto"/>
        <w:rPr>
          <w:rFonts w:asciiTheme="minorEastAsia" w:hAnsiTheme="minorEastAsia" w:eastAsiaTheme="minorEastAsia"/>
          <w:color w:val="auto"/>
          <w:sz w:val="24"/>
          <w:highlight w:val="none"/>
        </w:rPr>
      </w:pPr>
    </w:p>
    <w:p w14:paraId="6AAD3B2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十、合同的生效及其他</w:t>
      </w:r>
    </w:p>
    <w:p w14:paraId="6D7071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1．若本合同中的任何条款或规定被认为无效或不具有强制执行力，则该条款的无效性或不可执行性不得影响其它条款的效力和执行。</w:t>
      </w:r>
    </w:p>
    <w:p w14:paraId="7E59A1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2.本合同的法律效力将溯及乙方其所有雇员，若乙方雇员违反本合同约定，则由乙方对乙方雇员的违约行为承担连带责任。</w:t>
      </w:r>
    </w:p>
    <w:p w14:paraId="038BA4E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合同首部、签署页当事人联系方式和联系信息适用于双方往来联系、书面文件送达及争议解决时法律文书送达。因首部/签署页联系方式和联系信息错误或单方变更后未及时书面通知而无法送达的，自文书退回之日或交邮后第3日视为送达。</w:t>
      </w:r>
    </w:p>
    <w:p w14:paraId="3EC6D44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4.本合同未尽事宜，甲乙双方可另行协商并签订补充协议，补充协议与本合同具同等法律效力。</w:t>
      </w:r>
    </w:p>
    <w:p w14:paraId="3EB89C3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5.本合同附件为本合同的有效组成部分，与本合同具有相同的法律效力。</w:t>
      </w:r>
    </w:p>
    <w:p w14:paraId="60808C5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6．本项目招投标文件与本合同具有同等法律效力；合同未尽事宜，以乙方投标文件为准，若乙方投标文件中承诺事项低于甲方招标要求的，以甲方招标文件为准。</w:t>
      </w:r>
    </w:p>
    <w:p w14:paraId="39A151E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7．本合同壹式肆份，甲、乙双方各执贰份，均具同等法律效力，自双方签字盖章（公章或合同专用章）后生效。 </w:t>
      </w:r>
    </w:p>
    <w:p w14:paraId="53274AE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（以下无正文）</w:t>
      </w:r>
    </w:p>
    <w:p w14:paraId="6C3CDF53">
      <w:pPr>
        <w:spacing w:line="500" w:lineRule="exact"/>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甲  方：</w:t>
      </w:r>
    </w:p>
    <w:p w14:paraId="610C3C3F">
      <w:pPr>
        <w:spacing w:line="500" w:lineRule="exact"/>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法定代表人或授权代表</w:t>
      </w:r>
      <w:r>
        <w:rPr>
          <w:rFonts w:hint="eastAsia" w:asciiTheme="minorEastAsia" w:hAnsiTheme="minorEastAsia" w:eastAsiaTheme="minorEastAsia"/>
          <w:color w:val="auto"/>
          <w:sz w:val="24"/>
          <w:highlight w:val="none"/>
        </w:rPr>
        <w:t xml:space="preserve">： </w:t>
      </w:r>
    </w:p>
    <w:p w14:paraId="3854ECAE">
      <w:pPr>
        <w:spacing w:line="500" w:lineRule="exact"/>
        <w:jc w:val="left"/>
        <w:rPr>
          <w:rFonts w:asciiTheme="minorEastAsia" w:hAnsiTheme="minorEastAsia" w:eastAsiaTheme="minorEastAsia"/>
          <w:color w:val="auto"/>
          <w:sz w:val="24"/>
          <w:highlight w:val="none"/>
        </w:rPr>
      </w:pPr>
    </w:p>
    <w:p w14:paraId="28E3BC7E">
      <w:pPr>
        <w:spacing w:line="500" w:lineRule="exact"/>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乙  方：</w:t>
      </w:r>
    </w:p>
    <w:p w14:paraId="593D9961">
      <w:pPr>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asciiTheme="minorEastAsia" w:hAnsiTheme="minorEastAsia" w:eastAsiaTheme="minorEastAsia"/>
          <w:color w:val="auto"/>
          <w:sz w:val="24"/>
          <w:highlight w:val="none"/>
        </w:rPr>
        <w:t>或授权代表：</w:t>
      </w:r>
    </w:p>
    <w:p w14:paraId="5E9792EE">
      <w:pPr>
        <w:spacing w:line="500" w:lineRule="exact"/>
        <w:rPr>
          <w:rFonts w:asciiTheme="minorEastAsia" w:hAnsiTheme="minorEastAsia" w:eastAsiaTheme="minorEastAsia"/>
          <w:color w:val="auto"/>
          <w:sz w:val="24"/>
          <w:highlight w:val="none"/>
        </w:rPr>
      </w:pPr>
    </w:p>
    <w:p w14:paraId="098A7FEC">
      <w:pPr>
        <w:spacing w:line="360" w:lineRule="auto"/>
        <w:ind w:firstLine="4800" w:firstLineChars="20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签订日期：    </w:t>
      </w:r>
      <w:r>
        <w:rPr>
          <w:rFonts w:asciiTheme="minorEastAsia" w:hAnsiTheme="minorEastAsia" w:eastAsiaTheme="minorEastAsia"/>
          <w:color w:val="auto"/>
          <w:sz w:val="24"/>
          <w:highlight w:val="none"/>
        </w:rPr>
        <w:t xml:space="preserve">年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月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日</w:t>
      </w:r>
    </w:p>
    <w:p w14:paraId="1A037B8C">
      <w:pPr>
        <w:spacing w:line="360" w:lineRule="auto"/>
        <w:ind w:firstLine="4800" w:firstLineChars="20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合同签订地：厦门市湖里区</w:t>
      </w:r>
    </w:p>
    <w:p w14:paraId="679DCE61">
      <w:pPr>
        <w:spacing w:line="276" w:lineRule="auto"/>
        <w:rPr>
          <w:rFonts w:ascii="宋体" w:hAnsi="宋体"/>
          <w:color w:val="auto"/>
          <w:sz w:val="24"/>
          <w:highlight w:val="none"/>
        </w:rPr>
      </w:pPr>
    </w:p>
    <w:p w14:paraId="674D6322">
      <w:pPr>
        <w:spacing w:line="276" w:lineRule="auto"/>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w:t>
      </w:r>
      <w:r>
        <w:rPr>
          <w:rFonts w:ascii="宋体" w:hAnsi="宋体"/>
          <w:color w:val="auto"/>
          <w:sz w:val="24"/>
          <w:highlight w:val="none"/>
        </w:rPr>
        <w:t>本合同主要条款为参考文本</w:t>
      </w:r>
      <w:r>
        <w:rPr>
          <w:rFonts w:hint="eastAsia" w:ascii="宋体" w:hAnsi="宋体"/>
          <w:color w:val="auto"/>
          <w:sz w:val="24"/>
          <w:highlight w:val="none"/>
        </w:rPr>
        <w:t>，</w:t>
      </w:r>
      <w:r>
        <w:rPr>
          <w:rFonts w:ascii="宋体" w:hAnsi="宋体"/>
          <w:color w:val="auto"/>
          <w:sz w:val="24"/>
          <w:highlight w:val="none"/>
        </w:rPr>
        <w:t>以最终签订合同为准</w:t>
      </w:r>
      <w:r>
        <w:rPr>
          <w:rFonts w:hint="eastAsia" w:ascii="宋体" w:hAnsi="宋体"/>
          <w:color w:val="auto"/>
          <w:sz w:val="24"/>
          <w:highlight w:val="none"/>
        </w:rPr>
        <w:t>；</w:t>
      </w:r>
    </w:p>
    <w:p w14:paraId="24839D87">
      <w:pPr>
        <w:spacing w:line="276" w:lineRule="auto"/>
        <w:rPr>
          <w:rFonts w:ascii="宋体" w:hAnsi="宋体"/>
          <w:color w:val="auto"/>
          <w:sz w:val="24"/>
          <w:highlight w:val="none"/>
        </w:rPr>
      </w:pPr>
      <w:r>
        <w:rPr>
          <w:rFonts w:hint="eastAsia" w:ascii="宋体" w:hAnsi="宋体"/>
          <w:color w:val="auto"/>
          <w:sz w:val="24"/>
          <w:highlight w:val="none"/>
        </w:rPr>
        <w:t>（2）投标人必须详细阅读上述内容，投标人参与投标视为接受本章内容。</w:t>
      </w:r>
    </w:p>
    <w:p w14:paraId="0B7FF8C5">
      <w:pPr>
        <w:rPr>
          <w:color w:val="auto"/>
          <w:highlight w:val="none"/>
        </w:rPr>
      </w:pPr>
    </w:p>
    <w:sectPr>
      <w:footerReference r:id="rId4" w:type="default"/>
      <w:pgSz w:w="11906" w:h="16838"/>
      <w:pgMar w:top="1417" w:right="1418" w:bottom="1417" w:left="1418"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6CEC1189">
        <w:pPr>
          <w:pStyle w:val="13"/>
          <w:jc w:val="center"/>
        </w:pPr>
        <w:r>
          <w:fldChar w:fldCharType="begin"/>
        </w:r>
        <w:r>
          <w:instrText xml:space="preserve"> PAGE   \* MERGEFORMAT </w:instrText>
        </w:r>
        <w:r>
          <w:fldChar w:fldCharType="separate"/>
        </w:r>
        <w:r>
          <w:rPr>
            <w:lang w:val="zh-CN"/>
          </w:rPr>
          <w:t>31</w:t>
        </w:r>
        <w:r>
          <w:rPr>
            <w:lang w:val="zh-CN"/>
          </w:rPr>
          <w:fldChar w:fldCharType="end"/>
        </w:r>
      </w:p>
    </w:sdtContent>
  </w:sdt>
  <w:p w14:paraId="62CB583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EB59">
    <w:pPr>
      <w:pStyle w:val="31"/>
    </w:pPr>
    <w:r>
      <w:rPr>
        <w:rFonts w:hint="eastAsia"/>
      </w:rPr>
      <w:t xml:space="preserve">                                    第</w:t>
    </w:r>
    <w:r>
      <w:fldChar w:fldCharType="begin"/>
    </w:r>
    <w:r>
      <w:rPr>
        <w:rStyle w:val="23"/>
      </w:rPr>
      <w:instrText xml:space="preserve"> PAGE </w:instrText>
    </w:r>
    <w:r>
      <w:fldChar w:fldCharType="separate"/>
    </w:r>
    <w:r>
      <w:rPr>
        <w:rStyle w:val="23"/>
      </w:rPr>
      <w:t>47</w:t>
    </w:r>
    <w:r>
      <w:fldChar w:fldCharType="end"/>
    </w:r>
    <w:r>
      <w:rPr>
        <w:rFonts w:hint="eastAsia"/>
      </w:rPr>
      <w:t>页，共</w:t>
    </w:r>
    <w:r>
      <w:fldChar w:fldCharType="begin"/>
    </w:r>
    <w:r>
      <w:rPr>
        <w:rStyle w:val="23"/>
      </w:rPr>
      <w:instrText xml:space="preserve"> NUMPAGES </w:instrText>
    </w:r>
    <w:r>
      <w:fldChar w:fldCharType="separate"/>
    </w:r>
    <w:r>
      <w:rPr>
        <w:rStyle w:val="23"/>
      </w:rPr>
      <w:t>47</w:t>
    </w:r>
    <w:r>
      <w:fldChar w:fldCharType="end"/>
    </w:r>
    <w:r>
      <w:rPr>
        <w:rFonts w:hint="eastAsia"/>
      </w:rPr>
      <w:t>页</w:t>
    </w:r>
  </w:p>
  <w:p w14:paraId="3DCD4FA5">
    <w:pPr>
      <w:rPr>
        <w:rFonts w:ascii="宋体" w:hAnsi="宋体"/>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B388D"/>
    <w:multiLevelType w:val="singleLevel"/>
    <w:tmpl w:val="3C9B388D"/>
    <w:lvl w:ilvl="0" w:tentative="0">
      <w:start w:val="2"/>
      <w:numFmt w:val="decimal"/>
      <w:suff w:val="space"/>
      <w:lvlText w:val="%1."/>
      <w:lvlJc w:val="left"/>
    </w:lvl>
  </w:abstractNum>
  <w:abstractNum w:abstractNumId="1">
    <w:nsid w:val="715B21A1"/>
    <w:multiLevelType w:val="multilevel"/>
    <w:tmpl w:val="715B21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A95A5BC"/>
    <w:multiLevelType w:val="singleLevel"/>
    <w:tmpl w:val="7A95A5B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Q2MGY2NzVkOGZmNWUxMjYyYzU0NDgzZGQ0ZDUifQ=="/>
  </w:docVars>
  <w:rsids>
    <w:rsidRoot w:val="5A9E4E10"/>
    <w:rsid w:val="0007691E"/>
    <w:rsid w:val="009212E9"/>
    <w:rsid w:val="00A92F32"/>
    <w:rsid w:val="00C972F1"/>
    <w:rsid w:val="00CD3D14"/>
    <w:rsid w:val="00F46AD6"/>
    <w:rsid w:val="00F97650"/>
    <w:rsid w:val="013C690E"/>
    <w:rsid w:val="015772A4"/>
    <w:rsid w:val="02452765"/>
    <w:rsid w:val="02906F11"/>
    <w:rsid w:val="03106CF8"/>
    <w:rsid w:val="0330102C"/>
    <w:rsid w:val="033E696D"/>
    <w:rsid w:val="047144DF"/>
    <w:rsid w:val="0477097E"/>
    <w:rsid w:val="05840A34"/>
    <w:rsid w:val="06007F0A"/>
    <w:rsid w:val="0640211D"/>
    <w:rsid w:val="064D68D8"/>
    <w:rsid w:val="081D54B2"/>
    <w:rsid w:val="08357DA8"/>
    <w:rsid w:val="087370B9"/>
    <w:rsid w:val="08A87381"/>
    <w:rsid w:val="08EE635C"/>
    <w:rsid w:val="09FE7118"/>
    <w:rsid w:val="0A40121D"/>
    <w:rsid w:val="0AD07617"/>
    <w:rsid w:val="0BA4504A"/>
    <w:rsid w:val="0C26412D"/>
    <w:rsid w:val="0D84749B"/>
    <w:rsid w:val="0D9F0B7D"/>
    <w:rsid w:val="0E2812A9"/>
    <w:rsid w:val="0E5536F4"/>
    <w:rsid w:val="0E9C279A"/>
    <w:rsid w:val="0EA92008"/>
    <w:rsid w:val="0EE41D12"/>
    <w:rsid w:val="0F1B7B63"/>
    <w:rsid w:val="0F7C2CF7"/>
    <w:rsid w:val="0FD655EE"/>
    <w:rsid w:val="10660676"/>
    <w:rsid w:val="10BA0C23"/>
    <w:rsid w:val="11052878"/>
    <w:rsid w:val="11673533"/>
    <w:rsid w:val="116900DC"/>
    <w:rsid w:val="121662AF"/>
    <w:rsid w:val="12FE1C75"/>
    <w:rsid w:val="13124C14"/>
    <w:rsid w:val="14206D94"/>
    <w:rsid w:val="14436E3F"/>
    <w:rsid w:val="148E7367"/>
    <w:rsid w:val="14FB46BE"/>
    <w:rsid w:val="15213A2C"/>
    <w:rsid w:val="166A5D4B"/>
    <w:rsid w:val="189839F7"/>
    <w:rsid w:val="189A21A8"/>
    <w:rsid w:val="18F41B50"/>
    <w:rsid w:val="19A66807"/>
    <w:rsid w:val="19D32F1D"/>
    <w:rsid w:val="1A091A86"/>
    <w:rsid w:val="1B5453D7"/>
    <w:rsid w:val="1DFD165E"/>
    <w:rsid w:val="1ECC0E79"/>
    <w:rsid w:val="1EDF0BAD"/>
    <w:rsid w:val="203E0D38"/>
    <w:rsid w:val="20FB4647"/>
    <w:rsid w:val="21666C90"/>
    <w:rsid w:val="23A931DE"/>
    <w:rsid w:val="245833D0"/>
    <w:rsid w:val="25C04EE2"/>
    <w:rsid w:val="26151358"/>
    <w:rsid w:val="262F241A"/>
    <w:rsid w:val="26972F5B"/>
    <w:rsid w:val="275356C6"/>
    <w:rsid w:val="27DB41D8"/>
    <w:rsid w:val="28814EFD"/>
    <w:rsid w:val="28FE17A7"/>
    <w:rsid w:val="299C64D1"/>
    <w:rsid w:val="29FA0F90"/>
    <w:rsid w:val="2AF7061B"/>
    <w:rsid w:val="2C625CF0"/>
    <w:rsid w:val="2CF54F45"/>
    <w:rsid w:val="2CF61AA4"/>
    <w:rsid w:val="2DC84F02"/>
    <w:rsid w:val="2E163EBF"/>
    <w:rsid w:val="2F754550"/>
    <w:rsid w:val="2F762E67"/>
    <w:rsid w:val="2F9B7046"/>
    <w:rsid w:val="30CE7544"/>
    <w:rsid w:val="312B4AB9"/>
    <w:rsid w:val="31737306"/>
    <w:rsid w:val="31CD40BC"/>
    <w:rsid w:val="32C4038E"/>
    <w:rsid w:val="32DA195F"/>
    <w:rsid w:val="32DF18E5"/>
    <w:rsid w:val="332C7A82"/>
    <w:rsid w:val="33353039"/>
    <w:rsid w:val="348C429C"/>
    <w:rsid w:val="34AE03A4"/>
    <w:rsid w:val="34CB0AD9"/>
    <w:rsid w:val="35867B7C"/>
    <w:rsid w:val="36857E34"/>
    <w:rsid w:val="368876BA"/>
    <w:rsid w:val="379A16BD"/>
    <w:rsid w:val="38790DBA"/>
    <w:rsid w:val="388E38AC"/>
    <w:rsid w:val="39ED3CFA"/>
    <w:rsid w:val="3A86584E"/>
    <w:rsid w:val="3ACD1DA9"/>
    <w:rsid w:val="3BB35060"/>
    <w:rsid w:val="3BD52EB9"/>
    <w:rsid w:val="3BEF518C"/>
    <w:rsid w:val="3C5E715D"/>
    <w:rsid w:val="3D564DD5"/>
    <w:rsid w:val="3DDD67A7"/>
    <w:rsid w:val="3E7132A9"/>
    <w:rsid w:val="3E8C04C3"/>
    <w:rsid w:val="3F357653"/>
    <w:rsid w:val="3FFF46C8"/>
    <w:rsid w:val="40A30C44"/>
    <w:rsid w:val="40D53A62"/>
    <w:rsid w:val="412C782A"/>
    <w:rsid w:val="418330DD"/>
    <w:rsid w:val="41A72E89"/>
    <w:rsid w:val="421E7386"/>
    <w:rsid w:val="42482385"/>
    <w:rsid w:val="426D00FA"/>
    <w:rsid w:val="42B577AE"/>
    <w:rsid w:val="43AC4C52"/>
    <w:rsid w:val="43B22D24"/>
    <w:rsid w:val="43BF2BD7"/>
    <w:rsid w:val="43D520AF"/>
    <w:rsid w:val="445A151E"/>
    <w:rsid w:val="44FF3C0C"/>
    <w:rsid w:val="452B1BA6"/>
    <w:rsid w:val="453C2005"/>
    <w:rsid w:val="45625ABA"/>
    <w:rsid w:val="46733805"/>
    <w:rsid w:val="46945A23"/>
    <w:rsid w:val="46BF5C08"/>
    <w:rsid w:val="47F24BFD"/>
    <w:rsid w:val="48AB791C"/>
    <w:rsid w:val="49D22F38"/>
    <w:rsid w:val="49D40A5E"/>
    <w:rsid w:val="4A116F4C"/>
    <w:rsid w:val="4A124999"/>
    <w:rsid w:val="4A6D7836"/>
    <w:rsid w:val="4C79261D"/>
    <w:rsid w:val="4CA566E2"/>
    <w:rsid w:val="4DB150DA"/>
    <w:rsid w:val="4E162E45"/>
    <w:rsid w:val="4E504349"/>
    <w:rsid w:val="4EB8094F"/>
    <w:rsid w:val="4ED94B63"/>
    <w:rsid w:val="4F985538"/>
    <w:rsid w:val="4FF965CE"/>
    <w:rsid w:val="4FFC393C"/>
    <w:rsid w:val="50BB4726"/>
    <w:rsid w:val="50C47696"/>
    <w:rsid w:val="50DC69CA"/>
    <w:rsid w:val="50E92F26"/>
    <w:rsid w:val="511107EA"/>
    <w:rsid w:val="5158485D"/>
    <w:rsid w:val="51A2208A"/>
    <w:rsid w:val="523C071E"/>
    <w:rsid w:val="528079D5"/>
    <w:rsid w:val="52EB172B"/>
    <w:rsid w:val="536C61AC"/>
    <w:rsid w:val="54CA0673"/>
    <w:rsid w:val="552C79A0"/>
    <w:rsid w:val="553E7CD3"/>
    <w:rsid w:val="55465500"/>
    <w:rsid w:val="561A727A"/>
    <w:rsid w:val="564B432E"/>
    <w:rsid w:val="57203535"/>
    <w:rsid w:val="57287477"/>
    <w:rsid w:val="58726CF2"/>
    <w:rsid w:val="58D740C7"/>
    <w:rsid w:val="5908324B"/>
    <w:rsid w:val="598C3104"/>
    <w:rsid w:val="59C06909"/>
    <w:rsid w:val="5A9E4E10"/>
    <w:rsid w:val="5AAA7165"/>
    <w:rsid w:val="5B2A4D62"/>
    <w:rsid w:val="5BE41C5E"/>
    <w:rsid w:val="5C0244DB"/>
    <w:rsid w:val="5C3646BB"/>
    <w:rsid w:val="5C83637D"/>
    <w:rsid w:val="5C891B7C"/>
    <w:rsid w:val="5C9C3C5A"/>
    <w:rsid w:val="5CA95D7B"/>
    <w:rsid w:val="5DC015CE"/>
    <w:rsid w:val="5DE828D3"/>
    <w:rsid w:val="5E871AAD"/>
    <w:rsid w:val="5F10533B"/>
    <w:rsid w:val="5F7E303B"/>
    <w:rsid w:val="5FAB005C"/>
    <w:rsid w:val="5FFD464A"/>
    <w:rsid w:val="60120613"/>
    <w:rsid w:val="627B0AFD"/>
    <w:rsid w:val="62EB0199"/>
    <w:rsid w:val="639D3569"/>
    <w:rsid w:val="63EC5945"/>
    <w:rsid w:val="64F733FB"/>
    <w:rsid w:val="65D379C4"/>
    <w:rsid w:val="65E16C58"/>
    <w:rsid w:val="65EA16D1"/>
    <w:rsid w:val="684001B6"/>
    <w:rsid w:val="690225B0"/>
    <w:rsid w:val="692E3CC2"/>
    <w:rsid w:val="69DA6E51"/>
    <w:rsid w:val="6A1C5DDE"/>
    <w:rsid w:val="6ADE3AA4"/>
    <w:rsid w:val="6B321631"/>
    <w:rsid w:val="6D4D4500"/>
    <w:rsid w:val="6E8421A4"/>
    <w:rsid w:val="6E8B3532"/>
    <w:rsid w:val="6F530741"/>
    <w:rsid w:val="70781894"/>
    <w:rsid w:val="711521BE"/>
    <w:rsid w:val="714F4CEB"/>
    <w:rsid w:val="722A3062"/>
    <w:rsid w:val="727C7D1E"/>
    <w:rsid w:val="72C928DE"/>
    <w:rsid w:val="73394D7B"/>
    <w:rsid w:val="735B0FDF"/>
    <w:rsid w:val="739C1D3D"/>
    <w:rsid w:val="740C15B0"/>
    <w:rsid w:val="740D2C3B"/>
    <w:rsid w:val="74315BCE"/>
    <w:rsid w:val="74431E76"/>
    <w:rsid w:val="746D7236"/>
    <w:rsid w:val="74E34E7D"/>
    <w:rsid w:val="757537FC"/>
    <w:rsid w:val="7577036C"/>
    <w:rsid w:val="75DB2459"/>
    <w:rsid w:val="76681311"/>
    <w:rsid w:val="76E77C0B"/>
    <w:rsid w:val="779752BF"/>
    <w:rsid w:val="779A2A38"/>
    <w:rsid w:val="77A15B74"/>
    <w:rsid w:val="79254583"/>
    <w:rsid w:val="79773031"/>
    <w:rsid w:val="7A131E4E"/>
    <w:rsid w:val="7C605FFE"/>
    <w:rsid w:val="7C9A0DE4"/>
    <w:rsid w:val="7CF81D12"/>
    <w:rsid w:val="7D2E15E3"/>
    <w:rsid w:val="7D5D078F"/>
    <w:rsid w:val="7E4436FD"/>
    <w:rsid w:val="7EB838D3"/>
    <w:rsid w:val="7F4E570E"/>
    <w:rsid w:val="7FC91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qFormat/>
    <w:uiPriority w:val="0"/>
    <w:rPr>
      <w:color w:val="FF0000"/>
    </w:rPr>
  </w:style>
  <w:style w:type="paragraph" w:styleId="9">
    <w:name w:val="toc 3"/>
    <w:basedOn w:val="1"/>
    <w:next w:val="1"/>
    <w:qFormat/>
    <w:uiPriority w:val="39"/>
    <w:pPr>
      <w:spacing w:line="360" w:lineRule="auto"/>
      <w:ind w:left="420"/>
      <w:jc w:val="left"/>
    </w:pPr>
    <w:rPr>
      <w:iCs/>
      <w:sz w:val="24"/>
      <w:szCs w:val="20"/>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8"/>
      <w:szCs w:val="20"/>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line="360" w:lineRule="auto"/>
      <w:jc w:val="left"/>
    </w:pPr>
    <w:rPr>
      <w:b/>
      <w:bCs/>
      <w:caps/>
      <w:sz w:val="24"/>
      <w:szCs w:val="20"/>
    </w:rPr>
  </w:style>
  <w:style w:type="paragraph" w:styleId="16">
    <w:name w:val="toc 2"/>
    <w:basedOn w:val="1"/>
    <w:next w:val="1"/>
    <w:qFormat/>
    <w:uiPriority w:val="39"/>
    <w:pPr>
      <w:spacing w:line="360" w:lineRule="auto"/>
      <w:ind w:left="210"/>
      <w:jc w:val="left"/>
    </w:pPr>
    <w:rPr>
      <w:smallCaps/>
      <w:sz w:val="24"/>
      <w:szCs w:val="20"/>
    </w:rPr>
  </w:style>
  <w:style w:type="paragraph" w:styleId="17">
    <w:name w:val="Normal (Web)"/>
    <w:basedOn w:val="1"/>
    <w:qFormat/>
    <w:uiPriority w:val="99"/>
    <w:pPr>
      <w:spacing w:line="300" w:lineRule="auto"/>
    </w:pPr>
    <w:rPr>
      <w:sz w:val="24"/>
    </w:rPr>
  </w:style>
  <w:style w:type="paragraph" w:styleId="18">
    <w:name w:val="Body Text First Indent"/>
    <w:basedOn w:val="8"/>
    <w:qFormat/>
    <w:uiPriority w:val="0"/>
    <w:pPr>
      <w:spacing w:after="120"/>
      <w:ind w:firstLine="420" w:firstLineChars="100"/>
    </w:pPr>
    <w:rPr>
      <w:rFonts w:ascii="Calibri"/>
      <w:sz w:val="21"/>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样式3"/>
    <w:basedOn w:val="10"/>
    <w:qFormat/>
    <w:uiPriority w:val="0"/>
    <w:pPr>
      <w:spacing w:line="0" w:lineRule="atLeast"/>
      <w:outlineLvl w:val="0"/>
    </w:pPr>
    <w:rPr>
      <w:rFonts w:cs="Times New Roman"/>
      <w:sz w:val="28"/>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样式2"/>
    <w:basedOn w:val="13"/>
    <w:qFormat/>
    <w:uiPriority w:val="0"/>
    <w:pPr>
      <w:ind w:right="360"/>
    </w:pPr>
    <w:rPr>
      <w:rFonts w:ascii="宋体" w:hAnsi="宋体"/>
      <w:sz w:val="21"/>
      <w:szCs w:val="21"/>
    </w:rPr>
  </w:style>
  <w:style w:type="character" w:customStyle="1" w:styleId="32">
    <w:name w:val="批注框文本 Char"/>
    <w:basedOn w:val="21"/>
    <w:link w:val="12"/>
    <w:qFormat/>
    <w:uiPriority w:val="0"/>
    <w:rPr>
      <w:rFonts w:ascii="Times New Roman" w:hAnsi="Times New Roman"/>
      <w:kern w:val="2"/>
      <w:sz w:val="18"/>
      <w:szCs w:val="18"/>
    </w:rPr>
  </w:style>
  <w:style w:type="character" w:customStyle="1" w:styleId="33">
    <w:name w:val="页眉 Char"/>
    <w:basedOn w:val="21"/>
    <w:link w:val="14"/>
    <w:qFormat/>
    <w:uiPriority w:val="0"/>
    <w:rPr>
      <w:rFonts w:ascii="Times New Roman" w:hAnsi="Times New Roman"/>
      <w:kern w:val="2"/>
      <w:sz w:val="18"/>
      <w:szCs w:val="18"/>
    </w:rPr>
  </w:style>
  <w:style w:type="paragraph" w:customStyle="1" w:styleId="34">
    <w:name w:val="表格文字"/>
    <w:basedOn w:val="1"/>
    <w:next w:val="1"/>
    <w:qFormat/>
    <w:uiPriority w:val="0"/>
    <w:pPr>
      <w:spacing w:before="25" w:after="25"/>
      <w:jc w:val="left"/>
    </w:pPr>
    <w:rPr>
      <w:bCs/>
      <w:spacing w:val="10"/>
      <w:kern w:val="0"/>
      <w:sz w:val="24"/>
    </w:rPr>
  </w:style>
  <w:style w:type="paragraph" w:customStyle="1" w:styleId="3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17962</Words>
  <Characters>18812</Characters>
  <Lines>164</Lines>
  <Paragraphs>46</Paragraphs>
  <TotalTime>17</TotalTime>
  <ScaleCrop>false</ScaleCrop>
  <LinksUpToDate>false</LinksUpToDate>
  <CharactersWithSpaces>19783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国贸物业招标办</dc:creator>
  <cp:lastModifiedBy>慢動作小姐</cp:lastModifiedBy>
  <dcterms:modified xsi:type="dcterms:W3CDTF">2026-03-09T01:18:31Z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60BCF8E6B9EF45AA860DD059DF55F4D2_13</vt:lpwstr>
  </property>
  <property fmtid="{D5CDD505-2E9C-101B-9397-08002B2CF9AE}" pid="4" name="KSOTemplateDocerSaveRecord">
    <vt:lpwstr>eyJoZGlkIjoiZjZmMmVkZTQ1Y2E5NmFjNDhjNjQ4YmNiMzlmNjM3MTgiLCJ1c2VySWQiOiI0NjA1NzEyMzUifQ==</vt:lpwstr>
  </property>
</Properties>
</file>