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2BD19">
      <w:pPr>
        <w:spacing w:line="276" w:lineRule="auto"/>
        <w:jc w:val="left"/>
        <w:rPr>
          <w:rFonts w:ascii="宋体"/>
          <w:color w:val="auto"/>
          <w:sz w:val="24"/>
          <w:highlight w:val="none"/>
        </w:rPr>
      </w:pPr>
      <w:bookmarkStart w:id="0" w:name="_Toc157418350"/>
      <w:bookmarkStart w:id="1" w:name="_Toc165385343"/>
      <w:bookmarkStart w:id="2" w:name="_Toc163364646"/>
      <w:bookmarkStart w:id="3" w:name="_Toc157418557"/>
      <w:bookmarkStart w:id="4" w:name="_Toc178674763"/>
      <w:bookmarkStart w:id="5" w:name="_Toc32815540"/>
      <w:bookmarkStart w:id="6" w:name="_Toc125129292"/>
    </w:p>
    <w:p w14:paraId="45B053E1">
      <w:pPr>
        <w:spacing w:line="276" w:lineRule="auto"/>
        <w:jc w:val="left"/>
        <w:rPr>
          <w:rFonts w:ascii="宋体"/>
          <w:color w:val="auto"/>
          <w:sz w:val="24"/>
          <w:highlight w:val="none"/>
        </w:rPr>
      </w:pPr>
    </w:p>
    <w:p w14:paraId="7404BAA9">
      <w:pPr>
        <w:spacing w:line="276" w:lineRule="auto"/>
        <w:jc w:val="left"/>
        <w:rPr>
          <w:rFonts w:hint="eastAsia" w:ascii="宋体" w:eastAsia="宋体"/>
          <w:color w:val="auto"/>
          <w:sz w:val="24"/>
          <w:highlight w:val="none"/>
          <w:lang w:eastAsia="zh-CN"/>
        </w:rPr>
      </w:pPr>
    </w:p>
    <w:p w14:paraId="4761A4A1">
      <w:pPr>
        <w:spacing w:line="276" w:lineRule="auto"/>
        <w:jc w:val="center"/>
        <w:rPr>
          <w:rFonts w:ascii="仿宋" w:hAnsi="仿宋" w:eastAsia="仿宋"/>
          <w:b/>
          <w:bCs/>
          <w:color w:val="auto"/>
          <w:sz w:val="84"/>
          <w:szCs w:val="84"/>
          <w:highlight w:val="none"/>
          <w:lang w:val="zh-CN"/>
        </w:rPr>
      </w:pPr>
      <w:r>
        <w:rPr>
          <w:rFonts w:hint="eastAsia" w:ascii="仿宋" w:hAnsi="仿宋" w:eastAsia="仿宋" w:cs="仿宋"/>
          <w:b/>
          <w:bCs/>
          <w:color w:val="auto"/>
          <w:sz w:val="84"/>
          <w:szCs w:val="84"/>
          <w:highlight w:val="none"/>
          <w:lang w:val="zh-CN"/>
        </w:rPr>
        <w:t>招标文件</w:t>
      </w:r>
    </w:p>
    <w:p w14:paraId="7B8E313C">
      <w:pPr>
        <w:spacing w:line="276" w:lineRule="auto"/>
        <w:jc w:val="center"/>
        <w:rPr>
          <w:rFonts w:ascii="宋体"/>
          <w:color w:val="auto"/>
          <w:sz w:val="36"/>
          <w:szCs w:val="36"/>
          <w:highlight w:val="none"/>
        </w:rPr>
      </w:pPr>
      <w:bookmarkStart w:id="7" w:name="_Toc342899794"/>
    </w:p>
    <w:p w14:paraId="747B621E">
      <w:pPr>
        <w:spacing w:line="276" w:lineRule="auto"/>
        <w:jc w:val="center"/>
        <w:rPr>
          <w:rFonts w:ascii="宋体"/>
          <w:color w:val="auto"/>
          <w:sz w:val="36"/>
          <w:szCs w:val="36"/>
          <w:highlight w:val="none"/>
        </w:rPr>
      </w:pPr>
    </w:p>
    <w:p w14:paraId="482B4A51">
      <w:pPr>
        <w:spacing w:line="276" w:lineRule="auto"/>
        <w:ind w:firstLine="708" w:firstLineChars="196"/>
        <w:rPr>
          <w:rFonts w:hint="eastAsia" w:ascii="仿宋" w:hAnsi="仿宋" w:eastAsia="仿宋"/>
          <w:b/>
          <w:bCs/>
          <w:color w:val="auto"/>
          <w:sz w:val="36"/>
          <w:szCs w:val="36"/>
          <w:highlight w:val="none"/>
          <w:lang w:val="en-US" w:eastAsia="zh-CN"/>
        </w:rPr>
      </w:pPr>
      <w:r>
        <w:rPr>
          <w:rFonts w:hint="eastAsia" w:ascii="仿宋" w:hAnsi="仿宋" w:eastAsia="仿宋" w:cs="仿宋"/>
          <w:b/>
          <w:bCs/>
          <w:color w:val="auto"/>
          <w:sz w:val="36"/>
          <w:szCs w:val="36"/>
          <w:highlight w:val="none"/>
          <w:lang w:val="zh-CN"/>
        </w:rPr>
        <w:t>项目名称</w:t>
      </w:r>
      <w:bookmarkEnd w:id="7"/>
      <w:r>
        <w:rPr>
          <w:rFonts w:hint="eastAsia" w:ascii="仿宋" w:hAnsi="仿宋" w:eastAsia="仿宋" w:cs="仿宋"/>
          <w:b/>
          <w:bCs/>
          <w:color w:val="auto"/>
          <w:sz w:val="36"/>
          <w:szCs w:val="36"/>
          <w:highlight w:val="none"/>
          <w:lang w:val="zh-CN"/>
        </w:rPr>
        <w:t>：</w:t>
      </w:r>
      <w:r>
        <w:rPr>
          <w:rFonts w:hint="eastAsia" w:ascii="仿宋" w:hAnsi="仿宋" w:eastAsia="仿宋" w:cs="仿宋"/>
          <w:b/>
          <w:bCs/>
          <w:color w:val="auto"/>
          <w:sz w:val="36"/>
          <w:szCs w:val="36"/>
          <w:highlight w:val="none"/>
          <w:lang w:val="en-US" w:eastAsia="zh-CN"/>
        </w:rPr>
        <w:t>成都海上蓉屿项目</w:t>
      </w:r>
      <w:r>
        <w:rPr>
          <w:rFonts w:hint="eastAsia" w:ascii="仿宋" w:hAnsi="仿宋" w:eastAsia="仿宋"/>
          <w:b/>
          <w:bCs/>
          <w:color w:val="auto"/>
          <w:sz w:val="36"/>
          <w:szCs w:val="36"/>
          <w:highlight w:val="none"/>
          <w:lang w:val="en-US" w:eastAsia="zh-CN"/>
        </w:rPr>
        <w:t>第三方模拟验收服务</w:t>
      </w:r>
    </w:p>
    <w:p w14:paraId="47A442B3">
      <w:pPr>
        <w:spacing w:line="276" w:lineRule="auto"/>
        <w:ind w:firstLine="2515" w:firstLineChars="696"/>
        <w:rPr>
          <w:rFonts w:hint="default" w:ascii="仿宋" w:hAnsi="仿宋" w:eastAsia="仿宋"/>
          <w:b/>
          <w:bCs/>
          <w:color w:val="auto"/>
          <w:sz w:val="36"/>
          <w:szCs w:val="36"/>
          <w:highlight w:val="none"/>
          <w:lang w:val="en-US" w:eastAsia="zh-CN"/>
        </w:rPr>
      </w:pPr>
      <w:r>
        <w:rPr>
          <w:rFonts w:hint="eastAsia" w:ascii="仿宋" w:hAnsi="仿宋" w:eastAsia="仿宋"/>
          <w:b/>
          <w:bCs/>
          <w:color w:val="auto"/>
          <w:sz w:val="36"/>
          <w:szCs w:val="36"/>
          <w:highlight w:val="none"/>
          <w:lang w:val="en-US" w:eastAsia="zh-CN"/>
        </w:rPr>
        <w:t>（第二次）</w:t>
      </w:r>
    </w:p>
    <w:p w14:paraId="773EAB8F">
      <w:pPr>
        <w:spacing w:line="276" w:lineRule="auto"/>
        <w:ind w:firstLine="3072" w:firstLineChars="850"/>
        <w:rPr>
          <w:rFonts w:ascii="仿宋" w:hAnsi="仿宋" w:eastAsia="仿宋"/>
          <w:b/>
          <w:bCs/>
          <w:color w:val="auto"/>
          <w:sz w:val="36"/>
          <w:szCs w:val="36"/>
          <w:highlight w:val="none"/>
          <w:lang w:val="zh-CN"/>
        </w:rPr>
      </w:pPr>
    </w:p>
    <w:p w14:paraId="3BC43AB3">
      <w:pPr>
        <w:spacing w:line="276" w:lineRule="auto"/>
        <w:ind w:firstLine="708" w:firstLineChars="196"/>
        <w:rPr>
          <w:rFonts w:hint="default" w:ascii="仿宋" w:hAnsi="仿宋" w:eastAsia="仿宋" w:cs="宋体"/>
          <w:b/>
          <w:bCs/>
          <w:color w:val="auto"/>
          <w:sz w:val="36"/>
          <w:szCs w:val="36"/>
          <w:highlight w:val="none"/>
          <w:lang w:val="en-US" w:eastAsia="zh-CN"/>
        </w:rPr>
      </w:pPr>
      <w:r>
        <w:rPr>
          <w:rFonts w:hint="eastAsia" w:ascii="仿宋" w:hAnsi="仿宋" w:eastAsia="仿宋" w:cs="仿宋"/>
          <w:b/>
          <w:bCs/>
          <w:color w:val="auto"/>
          <w:sz w:val="36"/>
          <w:szCs w:val="36"/>
          <w:highlight w:val="none"/>
          <w:lang w:val="zh-CN"/>
        </w:rPr>
        <w:t>项目编号：</w:t>
      </w:r>
      <w:r>
        <w:rPr>
          <w:rFonts w:hint="eastAsia" w:ascii="仿宋" w:hAnsi="仿宋" w:eastAsia="仿宋" w:cs="仿宋"/>
          <w:b/>
          <w:bCs/>
          <w:color w:val="auto"/>
          <w:sz w:val="36"/>
          <w:szCs w:val="36"/>
          <w:highlight w:val="none"/>
          <w:lang w:val="en-US" w:eastAsia="zh-CN"/>
        </w:rPr>
        <w:t>GMWY-2026-03</w:t>
      </w:r>
    </w:p>
    <w:p w14:paraId="3521E02C">
      <w:pPr>
        <w:pStyle w:val="11"/>
        <w:spacing w:line="360" w:lineRule="auto"/>
        <w:rPr>
          <w:rFonts w:ascii="仿宋" w:hAnsi="仿宋" w:eastAsia="仿宋" w:cs="Times New Roman"/>
          <w:b/>
          <w:bCs/>
          <w:color w:val="auto"/>
          <w:sz w:val="36"/>
          <w:szCs w:val="36"/>
          <w:highlight w:val="none"/>
        </w:rPr>
      </w:pPr>
    </w:p>
    <w:p w14:paraId="23EAF503">
      <w:pPr>
        <w:pStyle w:val="11"/>
        <w:spacing w:line="360" w:lineRule="auto"/>
        <w:ind w:firstLine="708" w:firstLineChars="196"/>
        <w:rPr>
          <w:rFonts w:hint="eastAsia"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lang w:val="zh-CN"/>
        </w:rPr>
        <w:t>招标人：</w:t>
      </w:r>
      <w:r>
        <w:rPr>
          <w:rFonts w:hint="eastAsia" w:ascii="仿宋" w:hAnsi="仿宋" w:eastAsia="仿宋" w:cs="仿宋"/>
          <w:b/>
          <w:bCs/>
          <w:color w:val="auto"/>
          <w:sz w:val="36"/>
          <w:szCs w:val="36"/>
          <w:highlight w:val="none"/>
          <w:lang w:val="en-US" w:eastAsia="zh-CN"/>
        </w:rPr>
        <w:t>厦门国贸物业服务有限公司</w:t>
      </w:r>
    </w:p>
    <w:p w14:paraId="363431BD">
      <w:pPr>
        <w:spacing w:line="276" w:lineRule="auto"/>
        <w:ind w:firstLine="1265" w:firstLineChars="350"/>
        <w:rPr>
          <w:rFonts w:ascii="仿宋" w:hAnsi="仿宋" w:eastAsia="仿宋"/>
          <w:b/>
          <w:bCs/>
          <w:color w:val="auto"/>
          <w:sz w:val="36"/>
          <w:szCs w:val="36"/>
          <w:highlight w:val="none"/>
          <w:lang w:val="zh-CN"/>
        </w:rPr>
      </w:pPr>
    </w:p>
    <w:p w14:paraId="380DB4C5">
      <w:pPr>
        <w:spacing w:line="276" w:lineRule="auto"/>
        <w:jc w:val="center"/>
        <w:rPr>
          <w:rFonts w:ascii="宋体"/>
          <w:color w:val="auto"/>
          <w:sz w:val="36"/>
          <w:szCs w:val="36"/>
          <w:highlight w:val="none"/>
        </w:rPr>
      </w:pPr>
    </w:p>
    <w:p w14:paraId="2816F19C">
      <w:pPr>
        <w:spacing w:line="276" w:lineRule="auto"/>
        <w:jc w:val="center"/>
        <w:rPr>
          <w:rFonts w:ascii="宋体"/>
          <w:color w:val="auto"/>
          <w:sz w:val="36"/>
          <w:szCs w:val="36"/>
          <w:highlight w:val="none"/>
        </w:rPr>
      </w:pPr>
    </w:p>
    <w:p w14:paraId="371CAE1B">
      <w:pPr>
        <w:spacing w:line="276" w:lineRule="auto"/>
        <w:jc w:val="center"/>
        <w:rPr>
          <w:rFonts w:ascii="宋体"/>
          <w:color w:val="auto"/>
          <w:sz w:val="36"/>
          <w:szCs w:val="36"/>
          <w:highlight w:val="none"/>
        </w:rPr>
      </w:pPr>
    </w:p>
    <w:p w14:paraId="1B43AA47">
      <w:pPr>
        <w:spacing w:line="276" w:lineRule="auto"/>
        <w:jc w:val="center"/>
        <w:rPr>
          <w:rFonts w:ascii="宋体"/>
          <w:color w:val="auto"/>
          <w:sz w:val="36"/>
          <w:szCs w:val="36"/>
          <w:highlight w:val="none"/>
        </w:rPr>
      </w:pPr>
    </w:p>
    <w:p w14:paraId="0D69228E">
      <w:pPr>
        <w:spacing w:line="276" w:lineRule="auto"/>
        <w:jc w:val="center"/>
        <w:rPr>
          <w:rFonts w:hint="eastAsia" w:ascii="仿宋" w:hAnsi="仿宋" w:eastAsia="仿宋" w:cs="仿宋"/>
          <w:b/>
          <w:bCs/>
          <w:color w:val="auto"/>
          <w:kern w:val="2"/>
          <w:sz w:val="36"/>
          <w:szCs w:val="36"/>
          <w:highlight w:val="none"/>
          <w:lang w:val="en-US" w:eastAsia="zh-CN" w:bidi="ar-SA"/>
        </w:rPr>
      </w:pPr>
    </w:p>
    <w:p w14:paraId="17845271">
      <w:pPr>
        <w:spacing w:line="276" w:lineRule="auto"/>
        <w:ind w:firstLine="0" w:firstLineChars="0"/>
        <w:jc w:val="center"/>
        <w:rPr>
          <w:rFonts w:hint="eastAsia" w:ascii="仿宋" w:hAnsi="仿宋" w:eastAsia="仿宋" w:cs="仿宋"/>
          <w:b/>
          <w:bCs/>
          <w:color w:val="auto"/>
          <w:kern w:val="2"/>
          <w:sz w:val="36"/>
          <w:szCs w:val="36"/>
          <w:highlight w:val="none"/>
          <w:lang w:val="en-US" w:eastAsia="zh-CN" w:bidi="ar-SA"/>
        </w:rPr>
      </w:pPr>
      <w:r>
        <w:rPr>
          <w:rFonts w:hint="eastAsia" w:ascii="仿宋" w:hAnsi="仿宋" w:eastAsia="仿宋" w:cs="仿宋"/>
          <w:b/>
          <w:bCs/>
          <w:color w:val="auto"/>
          <w:kern w:val="2"/>
          <w:sz w:val="36"/>
          <w:szCs w:val="36"/>
          <w:highlight w:val="none"/>
          <w:lang w:val="en-US" w:eastAsia="zh-CN" w:bidi="ar-SA"/>
        </w:rPr>
        <w:t>厦门国贸物业服务有限公司</w:t>
      </w:r>
    </w:p>
    <w:p w14:paraId="4CC617FC">
      <w:pPr>
        <w:spacing w:line="276" w:lineRule="auto"/>
        <w:ind w:firstLine="0" w:firstLineChars="0"/>
        <w:jc w:val="center"/>
        <w:rPr>
          <w:rFonts w:ascii="仿宋" w:hAnsi="仿宋" w:eastAsia="仿宋" w:cs="宋体"/>
          <w:b/>
          <w:bCs/>
          <w:color w:val="auto"/>
          <w:sz w:val="36"/>
          <w:szCs w:val="36"/>
          <w:highlight w:val="none"/>
        </w:rPr>
      </w:pPr>
      <w:r>
        <w:rPr>
          <w:rFonts w:hint="eastAsia" w:ascii="仿宋" w:hAnsi="仿宋" w:eastAsia="仿宋"/>
          <w:b/>
          <w:color w:val="auto"/>
          <w:sz w:val="36"/>
          <w:szCs w:val="36"/>
          <w:highlight w:val="none"/>
          <w:lang w:val="en-US" w:eastAsia="zh-CN"/>
        </w:rPr>
        <w:t>2026</w:t>
      </w:r>
      <w:r>
        <w:rPr>
          <w:rFonts w:hint="eastAsia" w:ascii="仿宋" w:hAnsi="仿宋" w:eastAsia="仿宋"/>
          <w:b/>
          <w:color w:val="auto"/>
          <w:sz w:val="36"/>
          <w:szCs w:val="36"/>
          <w:highlight w:val="none"/>
        </w:rPr>
        <w:t xml:space="preserve">年 </w:t>
      </w:r>
      <w:r>
        <w:rPr>
          <w:rFonts w:hint="eastAsia" w:ascii="仿宋" w:hAnsi="仿宋" w:eastAsia="仿宋"/>
          <w:b/>
          <w:color w:val="auto"/>
          <w:sz w:val="36"/>
          <w:szCs w:val="36"/>
          <w:highlight w:val="none"/>
          <w:lang w:val="en-US" w:eastAsia="zh-CN"/>
        </w:rPr>
        <w:t>2</w:t>
      </w:r>
      <w:r>
        <w:rPr>
          <w:rFonts w:hint="eastAsia" w:ascii="仿宋" w:hAnsi="仿宋" w:eastAsia="仿宋"/>
          <w:b/>
          <w:color w:val="auto"/>
          <w:sz w:val="36"/>
          <w:szCs w:val="36"/>
          <w:highlight w:val="none"/>
        </w:rPr>
        <w:t>月</w:t>
      </w:r>
    </w:p>
    <w:p w14:paraId="458C16F3">
      <w:pPr>
        <w:pStyle w:val="2"/>
        <w:rPr>
          <w:rFonts w:hint="default"/>
          <w:lang w:val="en-US" w:eastAsia="zh-CN"/>
        </w:rPr>
      </w:pPr>
    </w:p>
    <w:p w14:paraId="2D341911">
      <w:pPr>
        <w:pStyle w:val="16"/>
        <w:shd w:val="clear" w:color="auto" w:fill="FFFFFF"/>
        <w:spacing w:line="600" w:lineRule="atLeast"/>
        <w:ind w:firstLine="540" w:firstLineChars="150"/>
        <w:jc w:val="center"/>
        <w:rPr>
          <w:rFonts w:ascii="仿宋" w:hAnsi="仿宋" w:eastAsia="仿宋"/>
          <w:color w:val="auto"/>
          <w:sz w:val="36"/>
          <w:szCs w:val="36"/>
          <w:highlight w:val="none"/>
        </w:rPr>
      </w:pPr>
    </w:p>
    <w:p w14:paraId="76B514FD">
      <w:pPr>
        <w:pStyle w:val="16"/>
        <w:shd w:val="clear" w:color="auto" w:fill="FFFFFF"/>
        <w:spacing w:line="600" w:lineRule="atLeast"/>
        <w:ind w:firstLine="540" w:firstLineChars="150"/>
        <w:jc w:val="center"/>
        <w:rPr>
          <w:rFonts w:ascii="仿宋" w:hAnsi="仿宋" w:eastAsia="仿宋"/>
          <w:color w:val="auto"/>
          <w:sz w:val="36"/>
          <w:szCs w:val="36"/>
          <w:highlight w:val="none"/>
        </w:rPr>
      </w:pPr>
    </w:p>
    <w:p w14:paraId="5B157E9C">
      <w:pPr>
        <w:pStyle w:val="16"/>
        <w:shd w:val="clear" w:color="auto" w:fill="FFFFFF"/>
        <w:spacing w:line="600" w:lineRule="atLeast"/>
        <w:ind w:firstLine="540" w:firstLineChars="150"/>
        <w:jc w:val="center"/>
        <w:rPr>
          <w:rFonts w:ascii="仿宋" w:hAnsi="仿宋" w:eastAsia="仿宋"/>
          <w:color w:val="auto"/>
          <w:sz w:val="36"/>
          <w:szCs w:val="36"/>
          <w:highlight w:val="none"/>
        </w:rPr>
      </w:pPr>
    </w:p>
    <w:p w14:paraId="2ACB21DC">
      <w:pPr>
        <w:pStyle w:val="16"/>
        <w:shd w:val="clear" w:color="auto" w:fill="FFFFFF"/>
        <w:spacing w:line="600" w:lineRule="atLeast"/>
        <w:rPr>
          <w:rFonts w:hint="eastAsia" w:ascii="仿宋" w:hAnsi="仿宋" w:eastAsia="仿宋"/>
          <w:color w:val="auto"/>
          <w:sz w:val="36"/>
          <w:szCs w:val="36"/>
          <w:highlight w:val="none"/>
        </w:rPr>
      </w:pPr>
    </w:p>
    <w:p w14:paraId="468F512E">
      <w:pPr>
        <w:pStyle w:val="16"/>
        <w:shd w:val="clear" w:color="auto" w:fill="FFFFFF"/>
        <w:spacing w:line="600" w:lineRule="atLeast"/>
        <w:ind w:firstLine="540" w:firstLineChars="150"/>
        <w:jc w:val="center"/>
        <w:rPr>
          <w:rFonts w:ascii="仿宋" w:hAnsi="仿宋" w:eastAsia="仿宋"/>
          <w:color w:val="auto"/>
          <w:sz w:val="36"/>
          <w:szCs w:val="36"/>
          <w:highlight w:val="none"/>
        </w:rPr>
      </w:pPr>
    </w:p>
    <w:p w14:paraId="6D82C0CA">
      <w:pPr>
        <w:pStyle w:val="16"/>
        <w:shd w:val="clear" w:color="auto" w:fill="FFFFFF"/>
        <w:spacing w:line="600" w:lineRule="atLeast"/>
        <w:ind w:firstLine="540" w:firstLineChars="150"/>
        <w:jc w:val="center"/>
        <w:rPr>
          <w:rFonts w:ascii="仿宋" w:hAnsi="仿宋" w:eastAsia="仿宋"/>
          <w:color w:val="auto"/>
          <w:sz w:val="36"/>
          <w:szCs w:val="36"/>
          <w:highlight w:val="none"/>
        </w:rPr>
      </w:pPr>
    </w:p>
    <w:p w14:paraId="19769185">
      <w:pPr>
        <w:pStyle w:val="11"/>
        <w:spacing w:line="360" w:lineRule="auto"/>
        <w:jc w:val="center"/>
        <w:rPr>
          <w:rFonts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目    录</w:t>
      </w:r>
      <w:bookmarkEnd w:id="0"/>
      <w:bookmarkEnd w:id="1"/>
      <w:bookmarkEnd w:id="2"/>
      <w:bookmarkEnd w:id="3"/>
      <w:bookmarkEnd w:id="4"/>
    </w:p>
    <w:p w14:paraId="130F88C4">
      <w:pPr>
        <w:pStyle w:val="2"/>
        <w:tabs>
          <w:tab w:val="right" w:leader="dot" w:pos="9071"/>
        </w:tabs>
      </w:pPr>
      <w:r>
        <w:rPr>
          <w:rFonts w:ascii="宋体" w:hAnsi="宋体"/>
          <w:color w:val="auto"/>
          <w:sz w:val="32"/>
          <w:szCs w:val="32"/>
          <w:highlight w:val="none"/>
        </w:rPr>
        <w:fldChar w:fldCharType="begin"/>
      </w:r>
      <w:r>
        <w:rPr>
          <w:rFonts w:ascii="宋体" w:hAnsi="宋体"/>
          <w:color w:val="auto"/>
          <w:sz w:val="32"/>
          <w:szCs w:val="32"/>
          <w:highlight w:val="none"/>
        </w:rPr>
        <w:instrText xml:space="preserve"> TOC \o "1-3" \h \z \u </w:instrText>
      </w:r>
      <w:r>
        <w:rPr>
          <w:rFonts w:ascii="宋体" w:hAnsi="宋体"/>
          <w:color w:val="auto"/>
          <w:sz w:val="32"/>
          <w:szCs w:val="32"/>
          <w:highlight w:val="none"/>
        </w:rPr>
        <w:fldChar w:fldCharType="separate"/>
      </w:r>
      <w:r>
        <w:rPr>
          <w:rFonts w:ascii="宋体" w:hAnsi="宋体"/>
          <w:color w:val="auto"/>
          <w:szCs w:val="32"/>
          <w:highlight w:val="none"/>
        </w:rPr>
        <w:fldChar w:fldCharType="begin"/>
      </w:r>
      <w:r>
        <w:rPr>
          <w:rFonts w:ascii="宋体" w:hAnsi="宋体"/>
          <w:szCs w:val="32"/>
          <w:highlight w:val="none"/>
        </w:rPr>
        <w:instrText xml:space="preserve"> HYPERLINK \l _Toc25805 </w:instrText>
      </w:r>
      <w:r>
        <w:rPr>
          <w:rFonts w:ascii="宋体" w:hAnsi="宋体"/>
          <w:szCs w:val="32"/>
          <w:highlight w:val="none"/>
        </w:rPr>
        <w:fldChar w:fldCharType="separate"/>
      </w:r>
      <w:r>
        <w:rPr>
          <w:rFonts w:hint="eastAsia" w:ascii="仿宋" w:hAnsi="仿宋" w:eastAsia="仿宋" w:cs="仿宋"/>
          <w:bCs w:val="0"/>
          <w:kern w:val="0"/>
          <w:szCs w:val="32"/>
          <w:highlight w:val="none"/>
        </w:rPr>
        <w:t>第一章　</w:t>
      </w:r>
      <w:r>
        <w:rPr>
          <w:rFonts w:hint="eastAsia" w:ascii="仿宋" w:hAnsi="仿宋" w:eastAsia="仿宋" w:cs="仿宋"/>
          <w:bCs w:val="0"/>
          <w:kern w:val="0"/>
          <w:szCs w:val="32"/>
          <w:highlight w:val="none"/>
          <w:lang w:val="en-US" w:eastAsia="zh-CN"/>
        </w:rPr>
        <w:t>招标公告</w:t>
      </w:r>
      <w:r>
        <w:tab/>
      </w:r>
      <w:r>
        <w:fldChar w:fldCharType="begin"/>
      </w:r>
      <w:r>
        <w:instrText xml:space="preserve"> PAGEREF _Toc25805 \h </w:instrText>
      </w:r>
      <w:r>
        <w:fldChar w:fldCharType="separate"/>
      </w:r>
      <w:r>
        <w:t>4</w:t>
      </w:r>
      <w:r>
        <w:fldChar w:fldCharType="end"/>
      </w:r>
      <w:r>
        <w:rPr>
          <w:rFonts w:ascii="宋体" w:hAnsi="宋体"/>
          <w:color w:val="auto"/>
          <w:szCs w:val="32"/>
          <w:highlight w:val="none"/>
        </w:rPr>
        <w:fldChar w:fldCharType="end"/>
      </w:r>
    </w:p>
    <w:p w14:paraId="0CF05466">
      <w:pPr>
        <w:pStyle w:val="2"/>
        <w:tabs>
          <w:tab w:val="right" w:leader="dot" w:pos="9071"/>
        </w:tabs>
      </w:pPr>
      <w:r>
        <w:rPr>
          <w:rFonts w:ascii="宋体" w:hAnsi="宋体"/>
          <w:color w:val="auto"/>
          <w:szCs w:val="32"/>
          <w:highlight w:val="none"/>
        </w:rPr>
        <w:fldChar w:fldCharType="begin"/>
      </w:r>
      <w:r>
        <w:rPr>
          <w:rFonts w:ascii="宋体" w:hAnsi="宋体"/>
          <w:szCs w:val="32"/>
          <w:highlight w:val="none"/>
        </w:rPr>
        <w:instrText xml:space="preserve"> HYPERLINK \l _Toc26149 </w:instrText>
      </w:r>
      <w:r>
        <w:rPr>
          <w:rFonts w:ascii="宋体" w:hAnsi="宋体"/>
          <w:szCs w:val="32"/>
          <w:highlight w:val="none"/>
        </w:rPr>
        <w:fldChar w:fldCharType="separate"/>
      </w:r>
      <w:r>
        <w:rPr>
          <w:rFonts w:hint="eastAsia" w:ascii="仿宋" w:hAnsi="仿宋" w:eastAsia="仿宋"/>
          <w:highlight w:val="none"/>
        </w:rPr>
        <w:t>附：招标项目一览表</w:t>
      </w:r>
      <w:r>
        <w:tab/>
      </w:r>
      <w:r>
        <w:fldChar w:fldCharType="begin"/>
      </w:r>
      <w:r>
        <w:instrText xml:space="preserve"> PAGEREF _Toc26149 \h </w:instrText>
      </w:r>
      <w:r>
        <w:fldChar w:fldCharType="separate"/>
      </w:r>
      <w:r>
        <w:t>5</w:t>
      </w:r>
      <w:r>
        <w:fldChar w:fldCharType="end"/>
      </w:r>
      <w:r>
        <w:rPr>
          <w:rFonts w:ascii="宋体" w:hAnsi="宋体"/>
          <w:color w:val="auto"/>
          <w:szCs w:val="32"/>
          <w:highlight w:val="none"/>
        </w:rPr>
        <w:fldChar w:fldCharType="end"/>
      </w:r>
    </w:p>
    <w:p w14:paraId="17FED3DB">
      <w:pPr>
        <w:pStyle w:val="2"/>
        <w:tabs>
          <w:tab w:val="right" w:leader="dot" w:pos="9071"/>
        </w:tabs>
      </w:pPr>
      <w:r>
        <w:rPr>
          <w:rFonts w:ascii="宋体" w:hAnsi="宋体"/>
          <w:color w:val="auto"/>
          <w:szCs w:val="32"/>
          <w:highlight w:val="none"/>
        </w:rPr>
        <w:fldChar w:fldCharType="begin"/>
      </w:r>
      <w:r>
        <w:rPr>
          <w:rFonts w:ascii="宋体" w:hAnsi="宋体"/>
          <w:szCs w:val="32"/>
          <w:highlight w:val="none"/>
        </w:rPr>
        <w:instrText xml:space="preserve"> HYPERLINK \l _Toc11482 </w:instrText>
      </w:r>
      <w:r>
        <w:rPr>
          <w:rFonts w:ascii="宋体" w:hAnsi="宋体"/>
          <w:szCs w:val="32"/>
          <w:highlight w:val="none"/>
        </w:rPr>
        <w:fldChar w:fldCharType="separate"/>
      </w:r>
      <w:r>
        <w:rPr>
          <w:rFonts w:hint="eastAsia" w:ascii="仿宋" w:hAnsi="仿宋" w:eastAsia="仿宋" w:cs="仿宋"/>
          <w:kern w:val="0"/>
          <w:szCs w:val="32"/>
          <w:highlight w:val="none"/>
        </w:rPr>
        <w:t>第二章　投标人须知</w:t>
      </w:r>
      <w:r>
        <w:tab/>
      </w:r>
      <w:r>
        <w:fldChar w:fldCharType="begin"/>
      </w:r>
      <w:r>
        <w:instrText xml:space="preserve"> PAGEREF _Toc11482 \h </w:instrText>
      </w:r>
      <w:r>
        <w:fldChar w:fldCharType="separate"/>
      </w:r>
      <w:r>
        <w:t>6</w:t>
      </w:r>
      <w:r>
        <w:fldChar w:fldCharType="end"/>
      </w:r>
      <w:r>
        <w:rPr>
          <w:rFonts w:ascii="宋体" w:hAnsi="宋体"/>
          <w:color w:val="auto"/>
          <w:szCs w:val="32"/>
          <w:highlight w:val="none"/>
        </w:rPr>
        <w:fldChar w:fldCharType="end"/>
      </w:r>
    </w:p>
    <w:p w14:paraId="4DC67441">
      <w:pPr>
        <w:pStyle w:val="15"/>
        <w:tabs>
          <w:tab w:val="right" w:leader="dot" w:pos="9071"/>
        </w:tabs>
      </w:pPr>
      <w:r>
        <w:rPr>
          <w:rFonts w:ascii="宋体" w:hAnsi="宋体"/>
          <w:color w:val="auto"/>
          <w:szCs w:val="32"/>
          <w:highlight w:val="none"/>
        </w:rPr>
        <w:fldChar w:fldCharType="begin"/>
      </w:r>
      <w:r>
        <w:rPr>
          <w:rFonts w:ascii="宋体" w:hAnsi="宋体"/>
          <w:szCs w:val="32"/>
          <w:highlight w:val="none"/>
        </w:rPr>
        <w:instrText xml:space="preserve"> HYPERLINK \l _Toc27443 </w:instrText>
      </w:r>
      <w:r>
        <w:rPr>
          <w:rFonts w:ascii="宋体" w:hAnsi="宋体"/>
          <w:szCs w:val="32"/>
          <w:highlight w:val="none"/>
        </w:rPr>
        <w:fldChar w:fldCharType="separate"/>
      </w:r>
      <w:r>
        <w:rPr>
          <w:rFonts w:hint="eastAsia" w:ascii="仿宋" w:hAnsi="仿宋" w:eastAsia="仿宋" w:cs="仿宋"/>
          <w:i w:val="0"/>
          <w:strike w:val="0"/>
          <w:spacing w:val="0"/>
          <w:szCs w:val="32"/>
          <w:highlight w:val="none"/>
          <w:lang w:val="en-US" w:eastAsia="zh-CN"/>
        </w:rPr>
        <w:t>带</w:t>
      </w:r>
      <w:r>
        <w:rPr>
          <w:rFonts w:hint="eastAsia" w:ascii="仿宋" w:hAnsi="仿宋" w:eastAsia="仿宋" w:cs="仿宋"/>
          <w:i w:val="0"/>
          <w:strike w:val="0"/>
          <w:spacing w:val="0"/>
          <w:szCs w:val="32"/>
          <w:highlight w:val="none"/>
          <w:lang w:eastAsia="zh-CN"/>
        </w:rPr>
        <w:t>“</w:t>
      </w:r>
      <w:r>
        <w:rPr>
          <w:rFonts w:ascii="仿宋" w:hAnsi="仿宋" w:eastAsia="仿宋" w:cs="仿宋"/>
          <w:i w:val="0"/>
          <w:strike w:val="0"/>
          <w:spacing w:val="0"/>
          <w:szCs w:val="32"/>
          <w:highlight w:val="none"/>
        </w:rPr>
        <w:t>★</w:t>
      </w:r>
      <w:r>
        <w:rPr>
          <w:rFonts w:hint="eastAsia" w:ascii="仿宋" w:hAnsi="仿宋" w:eastAsia="仿宋" w:cs="仿宋"/>
          <w:i w:val="0"/>
          <w:strike w:val="0"/>
          <w:spacing w:val="0"/>
          <w:szCs w:val="32"/>
          <w:highlight w:val="none"/>
          <w:lang w:eastAsia="zh-CN"/>
        </w:rPr>
        <w:t>”</w:t>
      </w:r>
      <w:r>
        <w:rPr>
          <w:rFonts w:hint="eastAsia" w:ascii="仿宋" w:hAnsi="仿宋" w:eastAsia="仿宋" w:cs="仿宋"/>
          <w:i w:val="0"/>
          <w:strike w:val="0"/>
          <w:spacing w:val="0"/>
          <w:szCs w:val="32"/>
          <w:highlight w:val="none"/>
          <w:lang w:val="en-US" w:eastAsia="zh-CN"/>
        </w:rPr>
        <w:t>号</w:t>
      </w:r>
      <w:r>
        <w:rPr>
          <w:rFonts w:hint="eastAsia" w:ascii="仿宋" w:hAnsi="仿宋" w:eastAsia="仿宋"/>
          <w:szCs w:val="32"/>
          <w:highlight w:val="none"/>
          <w:lang w:val="en-US" w:eastAsia="zh-CN"/>
        </w:rPr>
        <w:t>条款汇总表</w:t>
      </w:r>
      <w:r>
        <w:tab/>
      </w:r>
      <w:r>
        <w:fldChar w:fldCharType="begin"/>
      </w:r>
      <w:r>
        <w:instrText xml:space="preserve"> PAGEREF _Toc27443 \h </w:instrText>
      </w:r>
      <w:r>
        <w:fldChar w:fldCharType="separate"/>
      </w:r>
      <w:r>
        <w:t>9</w:t>
      </w:r>
      <w:r>
        <w:fldChar w:fldCharType="end"/>
      </w:r>
      <w:r>
        <w:rPr>
          <w:rFonts w:ascii="宋体" w:hAnsi="宋体"/>
          <w:color w:val="auto"/>
          <w:szCs w:val="32"/>
          <w:highlight w:val="none"/>
        </w:rPr>
        <w:fldChar w:fldCharType="end"/>
      </w:r>
    </w:p>
    <w:p w14:paraId="4B178EAA">
      <w:pPr>
        <w:pStyle w:val="15"/>
        <w:tabs>
          <w:tab w:val="right" w:leader="dot" w:pos="9071"/>
        </w:tabs>
      </w:pPr>
      <w:r>
        <w:rPr>
          <w:rFonts w:ascii="宋体" w:hAnsi="宋体"/>
          <w:color w:val="auto"/>
          <w:szCs w:val="32"/>
          <w:highlight w:val="none"/>
        </w:rPr>
        <w:fldChar w:fldCharType="begin"/>
      </w:r>
      <w:r>
        <w:rPr>
          <w:rFonts w:ascii="宋体" w:hAnsi="宋体"/>
          <w:szCs w:val="32"/>
          <w:highlight w:val="none"/>
        </w:rPr>
        <w:instrText xml:space="preserve"> HYPERLINK \l _Toc24749 </w:instrText>
      </w:r>
      <w:r>
        <w:rPr>
          <w:rFonts w:ascii="宋体" w:hAnsi="宋体"/>
          <w:szCs w:val="32"/>
          <w:highlight w:val="none"/>
        </w:rPr>
        <w:fldChar w:fldCharType="separate"/>
      </w:r>
      <w:r>
        <w:rPr>
          <w:rFonts w:hint="eastAsia" w:ascii="仿宋" w:hAnsi="仿宋" w:eastAsia="仿宋"/>
          <w:highlight w:val="none"/>
        </w:rPr>
        <w:t>第一节  说  明</w:t>
      </w:r>
      <w:r>
        <w:tab/>
      </w:r>
      <w:r>
        <w:fldChar w:fldCharType="begin"/>
      </w:r>
      <w:r>
        <w:instrText xml:space="preserve"> PAGEREF _Toc24749 \h </w:instrText>
      </w:r>
      <w:r>
        <w:fldChar w:fldCharType="separate"/>
      </w:r>
      <w:r>
        <w:t>10</w:t>
      </w:r>
      <w:r>
        <w:fldChar w:fldCharType="end"/>
      </w:r>
      <w:r>
        <w:rPr>
          <w:rFonts w:ascii="宋体" w:hAnsi="宋体"/>
          <w:color w:val="auto"/>
          <w:szCs w:val="32"/>
          <w:highlight w:val="none"/>
        </w:rPr>
        <w:fldChar w:fldCharType="end"/>
      </w:r>
    </w:p>
    <w:p w14:paraId="31BF8CA9">
      <w:pPr>
        <w:pStyle w:val="10"/>
        <w:tabs>
          <w:tab w:val="right" w:leader="dot" w:pos="9071"/>
        </w:tabs>
      </w:pPr>
      <w:r>
        <w:rPr>
          <w:rFonts w:ascii="宋体" w:hAnsi="宋体"/>
          <w:color w:val="auto"/>
          <w:szCs w:val="32"/>
          <w:highlight w:val="none"/>
        </w:rPr>
        <w:fldChar w:fldCharType="begin"/>
      </w:r>
      <w:r>
        <w:rPr>
          <w:rFonts w:ascii="宋体" w:hAnsi="宋体"/>
          <w:szCs w:val="32"/>
          <w:highlight w:val="none"/>
        </w:rPr>
        <w:instrText xml:space="preserve"> HYPERLINK \l _Toc30435 </w:instrText>
      </w:r>
      <w:r>
        <w:rPr>
          <w:rFonts w:ascii="宋体" w:hAnsi="宋体"/>
          <w:szCs w:val="32"/>
          <w:highlight w:val="none"/>
        </w:rPr>
        <w:fldChar w:fldCharType="separate"/>
      </w:r>
      <w:r>
        <w:rPr>
          <w:rFonts w:ascii="仿宋" w:hAnsi="仿宋" w:eastAsia="仿宋"/>
          <w:highlight w:val="none"/>
        </w:rPr>
        <w:t xml:space="preserve">1. </w:t>
      </w:r>
      <w:r>
        <w:rPr>
          <w:rFonts w:hint="eastAsia" w:ascii="仿宋" w:hAnsi="仿宋" w:eastAsia="仿宋"/>
          <w:highlight w:val="none"/>
        </w:rPr>
        <w:t>适用范围</w:t>
      </w:r>
      <w:r>
        <w:tab/>
      </w:r>
      <w:r>
        <w:fldChar w:fldCharType="begin"/>
      </w:r>
      <w:r>
        <w:instrText xml:space="preserve"> PAGEREF _Toc30435 \h </w:instrText>
      </w:r>
      <w:r>
        <w:fldChar w:fldCharType="separate"/>
      </w:r>
      <w:r>
        <w:t>10</w:t>
      </w:r>
      <w:r>
        <w:fldChar w:fldCharType="end"/>
      </w:r>
      <w:r>
        <w:rPr>
          <w:rFonts w:ascii="宋体" w:hAnsi="宋体"/>
          <w:color w:val="auto"/>
          <w:szCs w:val="32"/>
          <w:highlight w:val="none"/>
        </w:rPr>
        <w:fldChar w:fldCharType="end"/>
      </w:r>
    </w:p>
    <w:p w14:paraId="20059CC5">
      <w:pPr>
        <w:pStyle w:val="10"/>
        <w:tabs>
          <w:tab w:val="right" w:leader="dot" w:pos="9071"/>
        </w:tabs>
      </w:pPr>
      <w:r>
        <w:rPr>
          <w:rFonts w:ascii="宋体" w:hAnsi="宋体"/>
          <w:color w:val="auto"/>
          <w:szCs w:val="32"/>
          <w:highlight w:val="none"/>
        </w:rPr>
        <w:fldChar w:fldCharType="begin"/>
      </w:r>
      <w:r>
        <w:rPr>
          <w:rFonts w:ascii="宋体" w:hAnsi="宋体"/>
          <w:szCs w:val="32"/>
          <w:highlight w:val="none"/>
        </w:rPr>
        <w:instrText xml:space="preserve"> HYPERLINK \l _Toc29749 </w:instrText>
      </w:r>
      <w:r>
        <w:rPr>
          <w:rFonts w:ascii="宋体" w:hAnsi="宋体"/>
          <w:szCs w:val="32"/>
          <w:highlight w:val="none"/>
        </w:rPr>
        <w:fldChar w:fldCharType="separate"/>
      </w:r>
      <w:r>
        <w:rPr>
          <w:rFonts w:ascii="仿宋" w:hAnsi="仿宋" w:eastAsia="仿宋"/>
          <w:highlight w:val="none"/>
        </w:rPr>
        <w:t xml:space="preserve">2. </w:t>
      </w:r>
      <w:r>
        <w:rPr>
          <w:rFonts w:hint="eastAsia" w:ascii="仿宋" w:hAnsi="仿宋" w:eastAsia="仿宋"/>
          <w:highlight w:val="none"/>
        </w:rPr>
        <w:t>定义</w:t>
      </w:r>
      <w:r>
        <w:tab/>
      </w:r>
      <w:r>
        <w:fldChar w:fldCharType="begin"/>
      </w:r>
      <w:r>
        <w:instrText xml:space="preserve"> PAGEREF _Toc29749 \h </w:instrText>
      </w:r>
      <w:r>
        <w:fldChar w:fldCharType="separate"/>
      </w:r>
      <w:r>
        <w:t>10</w:t>
      </w:r>
      <w:r>
        <w:fldChar w:fldCharType="end"/>
      </w:r>
      <w:r>
        <w:rPr>
          <w:rFonts w:ascii="宋体" w:hAnsi="宋体"/>
          <w:color w:val="auto"/>
          <w:szCs w:val="32"/>
          <w:highlight w:val="none"/>
        </w:rPr>
        <w:fldChar w:fldCharType="end"/>
      </w:r>
    </w:p>
    <w:p w14:paraId="7CFC112D">
      <w:pPr>
        <w:pStyle w:val="10"/>
        <w:tabs>
          <w:tab w:val="right" w:leader="dot" w:pos="9071"/>
        </w:tabs>
      </w:pPr>
      <w:r>
        <w:rPr>
          <w:rFonts w:ascii="宋体" w:hAnsi="宋体"/>
          <w:color w:val="auto"/>
          <w:szCs w:val="32"/>
          <w:highlight w:val="none"/>
        </w:rPr>
        <w:fldChar w:fldCharType="begin"/>
      </w:r>
      <w:r>
        <w:rPr>
          <w:rFonts w:ascii="宋体" w:hAnsi="宋体"/>
          <w:szCs w:val="32"/>
          <w:highlight w:val="none"/>
        </w:rPr>
        <w:instrText xml:space="preserve"> HYPERLINK \l _Toc25736 </w:instrText>
      </w:r>
      <w:r>
        <w:rPr>
          <w:rFonts w:ascii="宋体" w:hAnsi="宋体"/>
          <w:szCs w:val="32"/>
          <w:highlight w:val="none"/>
        </w:rPr>
        <w:fldChar w:fldCharType="separate"/>
      </w:r>
      <w:r>
        <w:rPr>
          <w:rFonts w:ascii="仿宋" w:hAnsi="仿宋" w:eastAsia="仿宋"/>
          <w:highlight w:val="none"/>
        </w:rPr>
        <w:t xml:space="preserve">3. </w:t>
      </w:r>
      <w:r>
        <w:rPr>
          <w:rFonts w:hint="eastAsia" w:ascii="仿宋" w:hAnsi="仿宋" w:eastAsia="仿宋"/>
          <w:highlight w:val="none"/>
        </w:rPr>
        <w:t>合格的投标人</w:t>
      </w:r>
      <w:r>
        <w:tab/>
      </w:r>
      <w:r>
        <w:fldChar w:fldCharType="begin"/>
      </w:r>
      <w:r>
        <w:instrText xml:space="preserve"> PAGEREF _Toc25736 \h </w:instrText>
      </w:r>
      <w:r>
        <w:fldChar w:fldCharType="separate"/>
      </w:r>
      <w:r>
        <w:t>10</w:t>
      </w:r>
      <w:r>
        <w:fldChar w:fldCharType="end"/>
      </w:r>
      <w:r>
        <w:rPr>
          <w:rFonts w:ascii="宋体" w:hAnsi="宋体"/>
          <w:color w:val="auto"/>
          <w:szCs w:val="32"/>
          <w:highlight w:val="none"/>
        </w:rPr>
        <w:fldChar w:fldCharType="end"/>
      </w:r>
    </w:p>
    <w:p w14:paraId="5B79617A">
      <w:pPr>
        <w:pStyle w:val="10"/>
        <w:tabs>
          <w:tab w:val="right" w:leader="dot" w:pos="9071"/>
        </w:tabs>
      </w:pPr>
      <w:r>
        <w:rPr>
          <w:rFonts w:ascii="宋体" w:hAnsi="宋体"/>
          <w:color w:val="auto"/>
          <w:szCs w:val="32"/>
          <w:highlight w:val="none"/>
        </w:rPr>
        <w:fldChar w:fldCharType="begin"/>
      </w:r>
      <w:r>
        <w:rPr>
          <w:rFonts w:ascii="宋体" w:hAnsi="宋体"/>
          <w:szCs w:val="32"/>
          <w:highlight w:val="none"/>
        </w:rPr>
        <w:instrText xml:space="preserve"> HYPERLINK \l _Toc31211 </w:instrText>
      </w:r>
      <w:r>
        <w:rPr>
          <w:rFonts w:ascii="宋体" w:hAnsi="宋体"/>
          <w:szCs w:val="32"/>
          <w:highlight w:val="none"/>
        </w:rPr>
        <w:fldChar w:fldCharType="separate"/>
      </w:r>
      <w:r>
        <w:rPr>
          <w:rFonts w:hint="eastAsia" w:ascii="仿宋" w:hAnsi="仿宋" w:eastAsia="仿宋"/>
          <w:highlight w:val="none"/>
        </w:rPr>
        <w:t>4</w:t>
      </w:r>
      <w:r>
        <w:rPr>
          <w:rFonts w:ascii="仿宋" w:hAnsi="仿宋" w:eastAsia="仿宋"/>
          <w:highlight w:val="none"/>
        </w:rPr>
        <w:t>.</w:t>
      </w:r>
      <w:r>
        <w:rPr>
          <w:rFonts w:hint="eastAsia" w:ascii="仿宋" w:hAnsi="仿宋" w:eastAsia="仿宋"/>
          <w:highlight w:val="none"/>
        </w:rPr>
        <w:t xml:space="preserve"> 投标费用</w:t>
      </w:r>
      <w:r>
        <w:tab/>
      </w:r>
      <w:r>
        <w:fldChar w:fldCharType="begin"/>
      </w:r>
      <w:r>
        <w:instrText xml:space="preserve"> PAGEREF _Toc31211 \h </w:instrText>
      </w:r>
      <w:r>
        <w:fldChar w:fldCharType="separate"/>
      </w:r>
      <w:r>
        <w:t>10</w:t>
      </w:r>
      <w:r>
        <w:fldChar w:fldCharType="end"/>
      </w:r>
      <w:r>
        <w:rPr>
          <w:rFonts w:ascii="宋体" w:hAnsi="宋体"/>
          <w:color w:val="auto"/>
          <w:szCs w:val="32"/>
          <w:highlight w:val="none"/>
        </w:rPr>
        <w:fldChar w:fldCharType="end"/>
      </w:r>
    </w:p>
    <w:p w14:paraId="5D7F4781">
      <w:pPr>
        <w:pStyle w:val="15"/>
        <w:tabs>
          <w:tab w:val="right" w:leader="dot" w:pos="9071"/>
        </w:tabs>
      </w:pPr>
      <w:r>
        <w:rPr>
          <w:rFonts w:ascii="宋体" w:hAnsi="宋体"/>
          <w:color w:val="auto"/>
          <w:szCs w:val="32"/>
          <w:highlight w:val="none"/>
        </w:rPr>
        <w:fldChar w:fldCharType="begin"/>
      </w:r>
      <w:r>
        <w:rPr>
          <w:rFonts w:ascii="宋体" w:hAnsi="宋体"/>
          <w:szCs w:val="32"/>
          <w:highlight w:val="none"/>
        </w:rPr>
        <w:instrText xml:space="preserve"> HYPERLINK \l _Toc285 </w:instrText>
      </w:r>
      <w:r>
        <w:rPr>
          <w:rFonts w:ascii="宋体" w:hAnsi="宋体"/>
          <w:szCs w:val="32"/>
          <w:highlight w:val="none"/>
        </w:rPr>
        <w:fldChar w:fldCharType="separate"/>
      </w:r>
      <w:r>
        <w:rPr>
          <w:rFonts w:hint="eastAsia" w:ascii="仿宋" w:hAnsi="仿宋" w:eastAsia="仿宋"/>
          <w:highlight w:val="none"/>
        </w:rPr>
        <w:t>第二节  招标文件说明</w:t>
      </w:r>
      <w:r>
        <w:tab/>
      </w:r>
      <w:r>
        <w:fldChar w:fldCharType="begin"/>
      </w:r>
      <w:r>
        <w:instrText xml:space="preserve"> PAGEREF _Toc285 \h </w:instrText>
      </w:r>
      <w:r>
        <w:fldChar w:fldCharType="separate"/>
      </w:r>
      <w:r>
        <w:t>11</w:t>
      </w:r>
      <w:r>
        <w:fldChar w:fldCharType="end"/>
      </w:r>
      <w:r>
        <w:rPr>
          <w:rFonts w:ascii="宋体" w:hAnsi="宋体"/>
          <w:color w:val="auto"/>
          <w:szCs w:val="32"/>
          <w:highlight w:val="none"/>
        </w:rPr>
        <w:fldChar w:fldCharType="end"/>
      </w:r>
    </w:p>
    <w:p w14:paraId="2009963B">
      <w:pPr>
        <w:pStyle w:val="10"/>
        <w:tabs>
          <w:tab w:val="right" w:leader="dot" w:pos="9071"/>
        </w:tabs>
      </w:pPr>
      <w:r>
        <w:rPr>
          <w:rFonts w:ascii="宋体" w:hAnsi="宋体"/>
          <w:color w:val="auto"/>
          <w:szCs w:val="32"/>
          <w:highlight w:val="none"/>
        </w:rPr>
        <w:fldChar w:fldCharType="begin"/>
      </w:r>
      <w:r>
        <w:rPr>
          <w:rFonts w:ascii="宋体" w:hAnsi="宋体"/>
          <w:szCs w:val="32"/>
          <w:highlight w:val="none"/>
        </w:rPr>
        <w:instrText xml:space="preserve"> HYPERLINK \l _Toc26146 </w:instrText>
      </w:r>
      <w:r>
        <w:rPr>
          <w:rFonts w:ascii="宋体" w:hAnsi="宋体"/>
          <w:szCs w:val="32"/>
          <w:highlight w:val="none"/>
        </w:rPr>
        <w:fldChar w:fldCharType="separate"/>
      </w:r>
      <w:r>
        <w:rPr>
          <w:rFonts w:hint="eastAsia" w:ascii="仿宋" w:hAnsi="仿宋" w:eastAsia="仿宋"/>
          <w:highlight w:val="none"/>
        </w:rPr>
        <w:t>5</w:t>
      </w:r>
      <w:r>
        <w:rPr>
          <w:rFonts w:ascii="仿宋" w:hAnsi="仿宋" w:eastAsia="仿宋"/>
          <w:highlight w:val="none"/>
        </w:rPr>
        <w:t xml:space="preserve">. </w:t>
      </w:r>
      <w:r>
        <w:rPr>
          <w:rFonts w:hint="eastAsia" w:ascii="仿宋" w:hAnsi="仿宋" w:eastAsia="仿宋"/>
          <w:highlight w:val="none"/>
        </w:rPr>
        <w:t>招标文件的组成</w:t>
      </w:r>
      <w:r>
        <w:tab/>
      </w:r>
      <w:r>
        <w:fldChar w:fldCharType="begin"/>
      </w:r>
      <w:r>
        <w:instrText xml:space="preserve"> PAGEREF _Toc26146 \h </w:instrText>
      </w:r>
      <w:r>
        <w:fldChar w:fldCharType="separate"/>
      </w:r>
      <w:r>
        <w:t>11</w:t>
      </w:r>
      <w:r>
        <w:fldChar w:fldCharType="end"/>
      </w:r>
      <w:r>
        <w:rPr>
          <w:rFonts w:ascii="宋体" w:hAnsi="宋体"/>
          <w:color w:val="auto"/>
          <w:szCs w:val="32"/>
          <w:highlight w:val="none"/>
        </w:rPr>
        <w:fldChar w:fldCharType="end"/>
      </w:r>
    </w:p>
    <w:p w14:paraId="2077D768">
      <w:pPr>
        <w:pStyle w:val="10"/>
        <w:tabs>
          <w:tab w:val="right" w:leader="dot" w:pos="9071"/>
        </w:tabs>
      </w:pPr>
      <w:r>
        <w:rPr>
          <w:rFonts w:ascii="宋体" w:hAnsi="宋体"/>
          <w:color w:val="auto"/>
          <w:szCs w:val="32"/>
          <w:highlight w:val="none"/>
        </w:rPr>
        <w:fldChar w:fldCharType="begin"/>
      </w:r>
      <w:r>
        <w:rPr>
          <w:rFonts w:ascii="宋体" w:hAnsi="宋体"/>
          <w:szCs w:val="32"/>
          <w:highlight w:val="none"/>
        </w:rPr>
        <w:instrText xml:space="preserve"> HYPERLINK \l _Toc5428 </w:instrText>
      </w:r>
      <w:r>
        <w:rPr>
          <w:rFonts w:ascii="宋体" w:hAnsi="宋体"/>
          <w:szCs w:val="32"/>
          <w:highlight w:val="none"/>
        </w:rPr>
        <w:fldChar w:fldCharType="separate"/>
      </w:r>
      <w:r>
        <w:rPr>
          <w:rFonts w:ascii="仿宋" w:hAnsi="仿宋" w:eastAsia="仿宋"/>
          <w:highlight w:val="none"/>
        </w:rPr>
        <w:t>6. 招标文件的澄清</w:t>
      </w:r>
      <w:r>
        <w:tab/>
      </w:r>
      <w:r>
        <w:fldChar w:fldCharType="begin"/>
      </w:r>
      <w:r>
        <w:instrText xml:space="preserve"> PAGEREF _Toc5428 \h </w:instrText>
      </w:r>
      <w:r>
        <w:fldChar w:fldCharType="separate"/>
      </w:r>
      <w:r>
        <w:t>11</w:t>
      </w:r>
      <w:r>
        <w:fldChar w:fldCharType="end"/>
      </w:r>
      <w:r>
        <w:rPr>
          <w:rFonts w:ascii="宋体" w:hAnsi="宋体"/>
          <w:color w:val="auto"/>
          <w:szCs w:val="32"/>
          <w:highlight w:val="none"/>
        </w:rPr>
        <w:fldChar w:fldCharType="end"/>
      </w:r>
    </w:p>
    <w:p w14:paraId="15B0F0A5">
      <w:pPr>
        <w:pStyle w:val="10"/>
        <w:tabs>
          <w:tab w:val="right" w:leader="dot" w:pos="9071"/>
        </w:tabs>
      </w:pPr>
      <w:r>
        <w:rPr>
          <w:rFonts w:ascii="宋体" w:hAnsi="宋体"/>
          <w:color w:val="auto"/>
          <w:szCs w:val="32"/>
          <w:highlight w:val="none"/>
        </w:rPr>
        <w:fldChar w:fldCharType="begin"/>
      </w:r>
      <w:r>
        <w:rPr>
          <w:rFonts w:ascii="宋体" w:hAnsi="宋体"/>
          <w:szCs w:val="32"/>
          <w:highlight w:val="none"/>
        </w:rPr>
        <w:instrText xml:space="preserve"> HYPERLINK \l _Toc17358 </w:instrText>
      </w:r>
      <w:r>
        <w:rPr>
          <w:rFonts w:ascii="宋体" w:hAnsi="宋体"/>
          <w:szCs w:val="32"/>
          <w:highlight w:val="none"/>
        </w:rPr>
        <w:fldChar w:fldCharType="separate"/>
      </w:r>
      <w:r>
        <w:rPr>
          <w:rFonts w:ascii="仿宋" w:hAnsi="仿宋" w:eastAsia="仿宋"/>
          <w:highlight w:val="none"/>
        </w:rPr>
        <w:t xml:space="preserve">7. </w:t>
      </w:r>
      <w:r>
        <w:rPr>
          <w:rFonts w:hint="eastAsia" w:ascii="仿宋" w:hAnsi="仿宋" w:eastAsia="仿宋"/>
          <w:highlight w:val="none"/>
        </w:rPr>
        <w:t>招标文件的修改</w:t>
      </w:r>
      <w:r>
        <w:tab/>
      </w:r>
      <w:r>
        <w:fldChar w:fldCharType="begin"/>
      </w:r>
      <w:r>
        <w:instrText xml:space="preserve"> PAGEREF _Toc17358 \h </w:instrText>
      </w:r>
      <w:r>
        <w:fldChar w:fldCharType="separate"/>
      </w:r>
      <w:r>
        <w:t>11</w:t>
      </w:r>
      <w:r>
        <w:fldChar w:fldCharType="end"/>
      </w:r>
      <w:r>
        <w:rPr>
          <w:rFonts w:ascii="宋体" w:hAnsi="宋体"/>
          <w:color w:val="auto"/>
          <w:szCs w:val="32"/>
          <w:highlight w:val="none"/>
        </w:rPr>
        <w:fldChar w:fldCharType="end"/>
      </w:r>
    </w:p>
    <w:p w14:paraId="2D7EB2C5">
      <w:pPr>
        <w:pStyle w:val="15"/>
        <w:tabs>
          <w:tab w:val="right" w:leader="dot" w:pos="9071"/>
        </w:tabs>
      </w:pPr>
      <w:r>
        <w:rPr>
          <w:rFonts w:ascii="宋体" w:hAnsi="宋体"/>
          <w:color w:val="auto"/>
          <w:szCs w:val="32"/>
          <w:highlight w:val="none"/>
        </w:rPr>
        <w:fldChar w:fldCharType="begin"/>
      </w:r>
      <w:r>
        <w:rPr>
          <w:rFonts w:ascii="宋体" w:hAnsi="宋体"/>
          <w:szCs w:val="32"/>
          <w:highlight w:val="none"/>
        </w:rPr>
        <w:instrText xml:space="preserve"> HYPERLINK \l _Toc16894 </w:instrText>
      </w:r>
      <w:r>
        <w:rPr>
          <w:rFonts w:ascii="宋体" w:hAnsi="宋体"/>
          <w:szCs w:val="32"/>
          <w:highlight w:val="none"/>
        </w:rPr>
        <w:fldChar w:fldCharType="separate"/>
      </w:r>
      <w:r>
        <w:rPr>
          <w:rFonts w:hint="eastAsia" w:ascii="仿宋" w:hAnsi="仿宋" w:eastAsia="仿宋"/>
          <w:highlight w:val="none"/>
        </w:rPr>
        <w:t>第三节  投标文件的编写</w:t>
      </w:r>
      <w:r>
        <w:tab/>
      </w:r>
      <w:r>
        <w:fldChar w:fldCharType="begin"/>
      </w:r>
      <w:r>
        <w:instrText xml:space="preserve"> PAGEREF _Toc16894 \h </w:instrText>
      </w:r>
      <w:r>
        <w:fldChar w:fldCharType="separate"/>
      </w:r>
      <w:r>
        <w:t>12</w:t>
      </w:r>
      <w:r>
        <w:fldChar w:fldCharType="end"/>
      </w:r>
      <w:r>
        <w:rPr>
          <w:rFonts w:ascii="宋体" w:hAnsi="宋体"/>
          <w:color w:val="auto"/>
          <w:szCs w:val="32"/>
          <w:highlight w:val="none"/>
        </w:rPr>
        <w:fldChar w:fldCharType="end"/>
      </w:r>
    </w:p>
    <w:p w14:paraId="167DA18F">
      <w:pPr>
        <w:pStyle w:val="10"/>
        <w:tabs>
          <w:tab w:val="right" w:leader="dot" w:pos="9071"/>
        </w:tabs>
      </w:pPr>
      <w:r>
        <w:rPr>
          <w:rFonts w:ascii="宋体" w:hAnsi="宋体"/>
          <w:color w:val="auto"/>
          <w:szCs w:val="32"/>
          <w:highlight w:val="none"/>
        </w:rPr>
        <w:fldChar w:fldCharType="begin"/>
      </w:r>
      <w:r>
        <w:rPr>
          <w:rFonts w:ascii="宋体" w:hAnsi="宋体"/>
          <w:szCs w:val="32"/>
          <w:highlight w:val="none"/>
        </w:rPr>
        <w:instrText xml:space="preserve"> HYPERLINK \l _Toc12581 </w:instrText>
      </w:r>
      <w:r>
        <w:rPr>
          <w:rFonts w:ascii="宋体" w:hAnsi="宋体"/>
          <w:szCs w:val="32"/>
          <w:highlight w:val="none"/>
        </w:rPr>
        <w:fldChar w:fldCharType="separate"/>
      </w:r>
      <w:r>
        <w:rPr>
          <w:rFonts w:hint="eastAsia" w:ascii="仿宋" w:hAnsi="仿宋" w:eastAsia="仿宋"/>
          <w:highlight w:val="none"/>
        </w:rPr>
        <w:t>8</w:t>
      </w:r>
      <w:r>
        <w:rPr>
          <w:rFonts w:ascii="仿宋" w:hAnsi="仿宋" w:eastAsia="仿宋"/>
          <w:highlight w:val="none"/>
        </w:rPr>
        <w:t xml:space="preserve">. </w:t>
      </w:r>
      <w:r>
        <w:rPr>
          <w:rFonts w:hint="eastAsia" w:ascii="仿宋" w:hAnsi="仿宋" w:eastAsia="仿宋"/>
          <w:highlight w:val="none"/>
        </w:rPr>
        <w:t>要求</w:t>
      </w:r>
      <w:r>
        <w:tab/>
      </w:r>
      <w:r>
        <w:fldChar w:fldCharType="begin"/>
      </w:r>
      <w:r>
        <w:instrText xml:space="preserve"> PAGEREF _Toc12581 \h </w:instrText>
      </w:r>
      <w:r>
        <w:fldChar w:fldCharType="separate"/>
      </w:r>
      <w:r>
        <w:t>12</w:t>
      </w:r>
      <w:r>
        <w:fldChar w:fldCharType="end"/>
      </w:r>
      <w:r>
        <w:rPr>
          <w:rFonts w:ascii="宋体" w:hAnsi="宋体"/>
          <w:color w:val="auto"/>
          <w:szCs w:val="32"/>
          <w:highlight w:val="none"/>
        </w:rPr>
        <w:fldChar w:fldCharType="end"/>
      </w:r>
    </w:p>
    <w:p w14:paraId="358EBCA3">
      <w:pPr>
        <w:pStyle w:val="10"/>
        <w:tabs>
          <w:tab w:val="right" w:leader="dot" w:pos="9071"/>
        </w:tabs>
      </w:pPr>
      <w:r>
        <w:rPr>
          <w:rFonts w:ascii="宋体" w:hAnsi="宋体"/>
          <w:color w:val="auto"/>
          <w:szCs w:val="32"/>
          <w:highlight w:val="none"/>
        </w:rPr>
        <w:fldChar w:fldCharType="begin"/>
      </w:r>
      <w:r>
        <w:rPr>
          <w:rFonts w:ascii="宋体" w:hAnsi="宋体"/>
          <w:szCs w:val="32"/>
          <w:highlight w:val="none"/>
        </w:rPr>
        <w:instrText xml:space="preserve"> HYPERLINK \l _Toc20352 </w:instrText>
      </w:r>
      <w:r>
        <w:rPr>
          <w:rFonts w:ascii="宋体" w:hAnsi="宋体"/>
          <w:szCs w:val="32"/>
          <w:highlight w:val="none"/>
        </w:rPr>
        <w:fldChar w:fldCharType="separate"/>
      </w:r>
      <w:r>
        <w:rPr>
          <w:rFonts w:hint="eastAsia" w:ascii="仿宋" w:hAnsi="仿宋" w:eastAsia="仿宋"/>
          <w:highlight w:val="none"/>
        </w:rPr>
        <w:t>9</w:t>
      </w:r>
      <w:r>
        <w:rPr>
          <w:rFonts w:ascii="仿宋" w:hAnsi="仿宋" w:eastAsia="仿宋"/>
          <w:highlight w:val="none"/>
        </w:rPr>
        <w:t xml:space="preserve">. </w:t>
      </w:r>
      <w:r>
        <w:rPr>
          <w:rFonts w:hint="eastAsia" w:ascii="仿宋" w:hAnsi="仿宋" w:eastAsia="仿宋"/>
          <w:highlight w:val="none"/>
        </w:rPr>
        <w:t>投标文件语言</w:t>
      </w:r>
      <w:r>
        <w:tab/>
      </w:r>
      <w:r>
        <w:fldChar w:fldCharType="begin"/>
      </w:r>
      <w:r>
        <w:instrText xml:space="preserve"> PAGEREF _Toc20352 \h </w:instrText>
      </w:r>
      <w:r>
        <w:fldChar w:fldCharType="separate"/>
      </w:r>
      <w:r>
        <w:t>12</w:t>
      </w:r>
      <w:r>
        <w:fldChar w:fldCharType="end"/>
      </w:r>
      <w:r>
        <w:rPr>
          <w:rFonts w:ascii="宋体" w:hAnsi="宋体"/>
          <w:color w:val="auto"/>
          <w:szCs w:val="32"/>
          <w:highlight w:val="none"/>
        </w:rPr>
        <w:fldChar w:fldCharType="end"/>
      </w:r>
    </w:p>
    <w:p w14:paraId="7491C86D">
      <w:pPr>
        <w:pStyle w:val="10"/>
        <w:tabs>
          <w:tab w:val="right" w:leader="dot" w:pos="9071"/>
        </w:tabs>
      </w:pPr>
      <w:r>
        <w:rPr>
          <w:rFonts w:ascii="宋体" w:hAnsi="宋体"/>
          <w:color w:val="auto"/>
          <w:szCs w:val="32"/>
          <w:highlight w:val="none"/>
        </w:rPr>
        <w:fldChar w:fldCharType="begin"/>
      </w:r>
      <w:r>
        <w:rPr>
          <w:rFonts w:ascii="宋体" w:hAnsi="宋体"/>
          <w:szCs w:val="32"/>
          <w:highlight w:val="none"/>
        </w:rPr>
        <w:instrText xml:space="preserve"> HYPERLINK \l _Toc30255 </w:instrText>
      </w:r>
      <w:r>
        <w:rPr>
          <w:rFonts w:ascii="宋体" w:hAnsi="宋体"/>
          <w:szCs w:val="32"/>
          <w:highlight w:val="none"/>
        </w:rPr>
        <w:fldChar w:fldCharType="separate"/>
      </w:r>
      <w:r>
        <w:rPr>
          <w:rFonts w:hint="eastAsia" w:ascii="仿宋" w:hAnsi="仿宋" w:eastAsia="仿宋"/>
          <w:highlight w:val="none"/>
        </w:rPr>
        <w:t>10</w:t>
      </w:r>
      <w:r>
        <w:rPr>
          <w:rFonts w:ascii="仿宋" w:hAnsi="仿宋" w:eastAsia="仿宋"/>
          <w:highlight w:val="none"/>
        </w:rPr>
        <w:t xml:space="preserve">. </w:t>
      </w:r>
      <w:r>
        <w:rPr>
          <w:rFonts w:hint="eastAsia" w:ascii="仿宋" w:hAnsi="仿宋" w:eastAsia="仿宋"/>
          <w:highlight w:val="none"/>
        </w:rPr>
        <w:t>投标文件的组成</w:t>
      </w:r>
      <w:r>
        <w:tab/>
      </w:r>
      <w:r>
        <w:fldChar w:fldCharType="begin"/>
      </w:r>
      <w:r>
        <w:instrText xml:space="preserve"> PAGEREF _Toc30255 \h </w:instrText>
      </w:r>
      <w:r>
        <w:fldChar w:fldCharType="separate"/>
      </w:r>
      <w:r>
        <w:t>12</w:t>
      </w:r>
      <w:r>
        <w:fldChar w:fldCharType="end"/>
      </w:r>
      <w:r>
        <w:rPr>
          <w:rFonts w:ascii="宋体" w:hAnsi="宋体"/>
          <w:color w:val="auto"/>
          <w:szCs w:val="32"/>
          <w:highlight w:val="none"/>
        </w:rPr>
        <w:fldChar w:fldCharType="end"/>
      </w:r>
    </w:p>
    <w:p w14:paraId="521876A5">
      <w:pPr>
        <w:pStyle w:val="10"/>
        <w:tabs>
          <w:tab w:val="right" w:leader="dot" w:pos="9071"/>
        </w:tabs>
      </w:pPr>
      <w:r>
        <w:rPr>
          <w:rFonts w:ascii="宋体" w:hAnsi="宋体"/>
          <w:color w:val="auto"/>
          <w:szCs w:val="32"/>
          <w:highlight w:val="none"/>
        </w:rPr>
        <w:fldChar w:fldCharType="begin"/>
      </w:r>
      <w:r>
        <w:rPr>
          <w:rFonts w:ascii="宋体" w:hAnsi="宋体"/>
          <w:szCs w:val="32"/>
          <w:highlight w:val="none"/>
        </w:rPr>
        <w:instrText xml:space="preserve"> HYPERLINK \l _Toc27982 </w:instrText>
      </w:r>
      <w:r>
        <w:rPr>
          <w:rFonts w:ascii="宋体" w:hAnsi="宋体"/>
          <w:szCs w:val="32"/>
          <w:highlight w:val="none"/>
        </w:rPr>
        <w:fldChar w:fldCharType="separate"/>
      </w:r>
      <w:r>
        <w:rPr>
          <w:rFonts w:hint="eastAsia" w:ascii="仿宋" w:hAnsi="仿宋" w:eastAsia="仿宋"/>
          <w:highlight w:val="none"/>
        </w:rPr>
        <w:t>11</w:t>
      </w:r>
      <w:r>
        <w:rPr>
          <w:rFonts w:ascii="仿宋" w:hAnsi="仿宋" w:eastAsia="仿宋"/>
          <w:highlight w:val="none"/>
        </w:rPr>
        <w:t xml:space="preserve">. </w:t>
      </w:r>
      <w:r>
        <w:rPr>
          <w:rFonts w:hint="eastAsia" w:ascii="仿宋" w:hAnsi="仿宋" w:eastAsia="仿宋"/>
          <w:highlight w:val="none"/>
        </w:rPr>
        <w:t>投标有效期</w:t>
      </w:r>
      <w:r>
        <w:tab/>
      </w:r>
      <w:r>
        <w:fldChar w:fldCharType="begin"/>
      </w:r>
      <w:r>
        <w:instrText xml:space="preserve"> PAGEREF _Toc27982 \h </w:instrText>
      </w:r>
      <w:r>
        <w:fldChar w:fldCharType="separate"/>
      </w:r>
      <w:r>
        <w:t>13</w:t>
      </w:r>
      <w:r>
        <w:fldChar w:fldCharType="end"/>
      </w:r>
      <w:r>
        <w:rPr>
          <w:rFonts w:ascii="宋体" w:hAnsi="宋体"/>
          <w:color w:val="auto"/>
          <w:szCs w:val="32"/>
          <w:highlight w:val="none"/>
        </w:rPr>
        <w:fldChar w:fldCharType="end"/>
      </w:r>
    </w:p>
    <w:p w14:paraId="49740B4D">
      <w:pPr>
        <w:pStyle w:val="10"/>
        <w:tabs>
          <w:tab w:val="right" w:leader="dot" w:pos="9071"/>
        </w:tabs>
      </w:pPr>
      <w:r>
        <w:rPr>
          <w:rFonts w:ascii="宋体" w:hAnsi="宋体"/>
          <w:color w:val="auto"/>
          <w:szCs w:val="32"/>
          <w:highlight w:val="none"/>
        </w:rPr>
        <w:fldChar w:fldCharType="begin"/>
      </w:r>
      <w:r>
        <w:rPr>
          <w:rFonts w:ascii="宋体" w:hAnsi="宋体"/>
          <w:szCs w:val="32"/>
          <w:highlight w:val="none"/>
        </w:rPr>
        <w:instrText xml:space="preserve"> HYPERLINK \l _Toc13598 </w:instrText>
      </w:r>
      <w:r>
        <w:rPr>
          <w:rFonts w:ascii="宋体" w:hAnsi="宋体"/>
          <w:szCs w:val="32"/>
          <w:highlight w:val="none"/>
        </w:rPr>
        <w:fldChar w:fldCharType="separate"/>
      </w:r>
      <w:r>
        <w:rPr>
          <w:rFonts w:hint="eastAsia" w:ascii="仿宋" w:hAnsi="仿宋" w:eastAsia="仿宋"/>
        </w:rPr>
        <w:t>12. 投标保证金</w:t>
      </w:r>
      <w:r>
        <w:tab/>
      </w:r>
      <w:r>
        <w:fldChar w:fldCharType="begin"/>
      </w:r>
      <w:r>
        <w:instrText xml:space="preserve"> PAGEREF _Toc13598 \h </w:instrText>
      </w:r>
      <w:r>
        <w:fldChar w:fldCharType="separate"/>
      </w:r>
      <w:r>
        <w:t>13</w:t>
      </w:r>
      <w:r>
        <w:fldChar w:fldCharType="end"/>
      </w:r>
      <w:r>
        <w:rPr>
          <w:rFonts w:ascii="宋体" w:hAnsi="宋体"/>
          <w:color w:val="auto"/>
          <w:szCs w:val="32"/>
          <w:highlight w:val="none"/>
        </w:rPr>
        <w:fldChar w:fldCharType="end"/>
      </w:r>
    </w:p>
    <w:p w14:paraId="3A2E955B">
      <w:pPr>
        <w:pStyle w:val="10"/>
        <w:tabs>
          <w:tab w:val="right" w:leader="dot" w:pos="9071"/>
        </w:tabs>
      </w:pPr>
      <w:r>
        <w:rPr>
          <w:rFonts w:ascii="宋体" w:hAnsi="宋体"/>
          <w:color w:val="auto"/>
          <w:szCs w:val="32"/>
          <w:highlight w:val="none"/>
        </w:rPr>
        <w:fldChar w:fldCharType="begin"/>
      </w:r>
      <w:r>
        <w:rPr>
          <w:rFonts w:ascii="宋体" w:hAnsi="宋体"/>
          <w:szCs w:val="32"/>
          <w:highlight w:val="none"/>
        </w:rPr>
        <w:instrText xml:space="preserve"> HYPERLINK \l _Toc18968 </w:instrText>
      </w:r>
      <w:r>
        <w:rPr>
          <w:rFonts w:ascii="宋体" w:hAnsi="宋体"/>
          <w:szCs w:val="32"/>
          <w:highlight w:val="none"/>
        </w:rPr>
        <w:fldChar w:fldCharType="separate"/>
      </w:r>
      <w:r>
        <w:rPr>
          <w:rFonts w:hint="eastAsia" w:ascii="仿宋" w:hAnsi="仿宋" w:eastAsia="仿宋"/>
          <w:bCs/>
          <w:szCs w:val="32"/>
          <w:highlight w:val="none"/>
        </w:rPr>
        <w:t>13</w:t>
      </w:r>
      <w:r>
        <w:rPr>
          <w:rFonts w:ascii="仿宋" w:hAnsi="仿宋" w:eastAsia="仿宋"/>
          <w:bCs/>
          <w:szCs w:val="32"/>
          <w:highlight w:val="none"/>
        </w:rPr>
        <w:t xml:space="preserve">. </w:t>
      </w:r>
      <w:r>
        <w:rPr>
          <w:rFonts w:hint="eastAsia" w:ascii="仿宋" w:hAnsi="仿宋" w:eastAsia="仿宋"/>
          <w:bCs/>
          <w:szCs w:val="32"/>
          <w:highlight w:val="none"/>
        </w:rPr>
        <w:t>投标文件的格式</w:t>
      </w:r>
      <w:r>
        <w:tab/>
      </w:r>
      <w:r>
        <w:fldChar w:fldCharType="begin"/>
      </w:r>
      <w:r>
        <w:instrText xml:space="preserve"> PAGEREF _Toc18968 \h </w:instrText>
      </w:r>
      <w:r>
        <w:fldChar w:fldCharType="separate"/>
      </w:r>
      <w:r>
        <w:t>14</w:t>
      </w:r>
      <w:r>
        <w:fldChar w:fldCharType="end"/>
      </w:r>
      <w:r>
        <w:rPr>
          <w:rFonts w:ascii="宋体" w:hAnsi="宋体"/>
          <w:color w:val="auto"/>
          <w:szCs w:val="32"/>
          <w:highlight w:val="none"/>
        </w:rPr>
        <w:fldChar w:fldCharType="end"/>
      </w:r>
    </w:p>
    <w:p w14:paraId="5F2A4D33">
      <w:pPr>
        <w:pStyle w:val="15"/>
        <w:tabs>
          <w:tab w:val="right" w:leader="dot" w:pos="9071"/>
        </w:tabs>
      </w:pPr>
      <w:r>
        <w:rPr>
          <w:rFonts w:ascii="宋体" w:hAnsi="宋体"/>
          <w:color w:val="auto"/>
          <w:szCs w:val="32"/>
          <w:highlight w:val="none"/>
        </w:rPr>
        <w:fldChar w:fldCharType="begin"/>
      </w:r>
      <w:r>
        <w:rPr>
          <w:rFonts w:ascii="宋体" w:hAnsi="宋体"/>
          <w:szCs w:val="32"/>
          <w:highlight w:val="none"/>
        </w:rPr>
        <w:instrText xml:space="preserve"> HYPERLINK \l _Toc10778 </w:instrText>
      </w:r>
      <w:r>
        <w:rPr>
          <w:rFonts w:ascii="宋体" w:hAnsi="宋体"/>
          <w:szCs w:val="32"/>
          <w:highlight w:val="none"/>
        </w:rPr>
        <w:fldChar w:fldCharType="separate"/>
      </w:r>
      <w:r>
        <w:rPr>
          <w:rFonts w:hint="eastAsia" w:ascii="仿宋" w:hAnsi="仿宋" w:eastAsia="仿宋"/>
        </w:rPr>
        <w:t>第四节  投标文件的提交</w:t>
      </w:r>
      <w:r>
        <w:tab/>
      </w:r>
      <w:r>
        <w:fldChar w:fldCharType="begin"/>
      </w:r>
      <w:r>
        <w:instrText xml:space="preserve"> PAGEREF _Toc10778 \h </w:instrText>
      </w:r>
      <w:r>
        <w:fldChar w:fldCharType="separate"/>
      </w:r>
      <w:r>
        <w:t>15</w:t>
      </w:r>
      <w:r>
        <w:fldChar w:fldCharType="end"/>
      </w:r>
      <w:r>
        <w:rPr>
          <w:rFonts w:ascii="宋体" w:hAnsi="宋体"/>
          <w:color w:val="auto"/>
          <w:szCs w:val="32"/>
          <w:highlight w:val="none"/>
        </w:rPr>
        <w:fldChar w:fldCharType="end"/>
      </w:r>
    </w:p>
    <w:p w14:paraId="523E6014">
      <w:pPr>
        <w:pStyle w:val="10"/>
        <w:tabs>
          <w:tab w:val="right" w:leader="dot" w:pos="9071"/>
        </w:tabs>
      </w:pPr>
      <w:r>
        <w:rPr>
          <w:rFonts w:ascii="宋体" w:hAnsi="宋体"/>
          <w:color w:val="auto"/>
          <w:szCs w:val="32"/>
          <w:highlight w:val="none"/>
        </w:rPr>
        <w:fldChar w:fldCharType="begin"/>
      </w:r>
      <w:r>
        <w:rPr>
          <w:rFonts w:ascii="宋体" w:hAnsi="宋体"/>
          <w:szCs w:val="32"/>
          <w:highlight w:val="none"/>
        </w:rPr>
        <w:instrText xml:space="preserve"> HYPERLINK \l _Toc16569 </w:instrText>
      </w:r>
      <w:r>
        <w:rPr>
          <w:rFonts w:ascii="宋体" w:hAnsi="宋体"/>
          <w:szCs w:val="32"/>
          <w:highlight w:val="none"/>
        </w:rPr>
        <w:fldChar w:fldCharType="separate"/>
      </w:r>
      <w:r>
        <w:rPr>
          <w:rFonts w:hint="eastAsia" w:ascii="仿宋" w:hAnsi="仿宋" w:eastAsia="仿宋"/>
        </w:rPr>
        <w:t>14. 投标文件的密封、标记和递交</w:t>
      </w:r>
      <w:r>
        <w:tab/>
      </w:r>
      <w:r>
        <w:fldChar w:fldCharType="begin"/>
      </w:r>
      <w:r>
        <w:instrText xml:space="preserve"> PAGEREF _Toc16569 \h </w:instrText>
      </w:r>
      <w:r>
        <w:fldChar w:fldCharType="separate"/>
      </w:r>
      <w:r>
        <w:t>15</w:t>
      </w:r>
      <w:r>
        <w:fldChar w:fldCharType="end"/>
      </w:r>
      <w:r>
        <w:rPr>
          <w:rFonts w:ascii="宋体" w:hAnsi="宋体"/>
          <w:color w:val="auto"/>
          <w:szCs w:val="32"/>
          <w:highlight w:val="none"/>
        </w:rPr>
        <w:fldChar w:fldCharType="end"/>
      </w:r>
    </w:p>
    <w:p w14:paraId="2D7F150D">
      <w:pPr>
        <w:pStyle w:val="15"/>
        <w:tabs>
          <w:tab w:val="right" w:leader="dot" w:pos="9071"/>
        </w:tabs>
      </w:pPr>
      <w:r>
        <w:rPr>
          <w:rFonts w:ascii="宋体" w:hAnsi="宋体"/>
          <w:color w:val="auto"/>
          <w:szCs w:val="32"/>
          <w:highlight w:val="none"/>
        </w:rPr>
        <w:fldChar w:fldCharType="begin"/>
      </w:r>
      <w:r>
        <w:rPr>
          <w:rFonts w:ascii="宋体" w:hAnsi="宋体"/>
          <w:szCs w:val="32"/>
          <w:highlight w:val="none"/>
        </w:rPr>
        <w:instrText xml:space="preserve"> HYPERLINK \l _Toc24219 </w:instrText>
      </w:r>
      <w:r>
        <w:rPr>
          <w:rFonts w:ascii="宋体" w:hAnsi="宋体"/>
          <w:szCs w:val="32"/>
          <w:highlight w:val="none"/>
        </w:rPr>
        <w:fldChar w:fldCharType="separate"/>
      </w:r>
      <w:r>
        <w:rPr>
          <w:rFonts w:hint="eastAsia" w:ascii="仿宋" w:hAnsi="仿宋" w:eastAsia="仿宋"/>
        </w:rPr>
        <w:t>第五节</w:t>
      </w:r>
      <w:r>
        <w:rPr>
          <w:rFonts w:hint="eastAsia" w:ascii="仿宋" w:hAnsi="仿宋" w:eastAsia="仿宋"/>
          <w:lang w:val="en-US" w:eastAsia="zh-CN"/>
        </w:rPr>
        <w:t xml:space="preserve"> </w:t>
      </w:r>
      <w:r>
        <w:rPr>
          <w:rFonts w:hint="eastAsia" w:ascii="仿宋" w:hAnsi="仿宋" w:eastAsia="仿宋"/>
        </w:rPr>
        <w:t>投标文件的评估和比较</w:t>
      </w:r>
      <w:r>
        <w:tab/>
      </w:r>
      <w:r>
        <w:fldChar w:fldCharType="begin"/>
      </w:r>
      <w:r>
        <w:instrText xml:space="preserve"> PAGEREF _Toc24219 \h </w:instrText>
      </w:r>
      <w:r>
        <w:fldChar w:fldCharType="separate"/>
      </w:r>
      <w:r>
        <w:t>15</w:t>
      </w:r>
      <w:r>
        <w:fldChar w:fldCharType="end"/>
      </w:r>
      <w:r>
        <w:rPr>
          <w:rFonts w:ascii="宋体" w:hAnsi="宋体"/>
          <w:color w:val="auto"/>
          <w:szCs w:val="32"/>
          <w:highlight w:val="none"/>
        </w:rPr>
        <w:fldChar w:fldCharType="end"/>
      </w:r>
    </w:p>
    <w:p w14:paraId="40E70FD6">
      <w:pPr>
        <w:pStyle w:val="10"/>
        <w:tabs>
          <w:tab w:val="right" w:leader="dot" w:pos="9071"/>
        </w:tabs>
      </w:pPr>
      <w:r>
        <w:rPr>
          <w:rFonts w:ascii="宋体" w:hAnsi="宋体"/>
          <w:color w:val="auto"/>
          <w:szCs w:val="32"/>
          <w:highlight w:val="none"/>
        </w:rPr>
        <w:fldChar w:fldCharType="begin"/>
      </w:r>
      <w:r>
        <w:rPr>
          <w:rFonts w:ascii="宋体" w:hAnsi="宋体"/>
          <w:szCs w:val="32"/>
          <w:highlight w:val="none"/>
        </w:rPr>
        <w:instrText xml:space="preserve"> HYPERLINK \l _Toc3752 </w:instrText>
      </w:r>
      <w:r>
        <w:rPr>
          <w:rFonts w:ascii="宋体" w:hAnsi="宋体"/>
          <w:szCs w:val="32"/>
          <w:highlight w:val="none"/>
        </w:rPr>
        <w:fldChar w:fldCharType="separate"/>
      </w:r>
      <w:r>
        <w:rPr>
          <w:rFonts w:hint="eastAsia" w:ascii="仿宋" w:hAnsi="仿宋" w:eastAsia="仿宋"/>
        </w:rPr>
        <w:t>15．开标、评标时间</w:t>
      </w:r>
      <w:r>
        <w:tab/>
      </w:r>
      <w:r>
        <w:fldChar w:fldCharType="begin"/>
      </w:r>
      <w:r>
        <w:instrText xml:space="preserve"> PAGEREF _Toc3752 \h </w:instrText>
      </w:r>
      <w:r>
        <w:fldChar w:fldCharType="separate"/>
      </w:r>
      <w:r>
        <w:t>16</w:t>
      </w:r>
      <w:r>
        <w:fldChar w:fldCharType="end"/>
      </w:r>
      <w:r>
        <w:rPr>
          <w:rFonts w:ascii="宋体" w:hAnsi="宋体"/>
          <w:color w:val="auto"/>
          <w:szCs w:val="32"/>
          <w:highlight w:val="none"/>
        </w:rPr>
        <w:fldChar w:fldCharType="end"/>
      </w:r>
    </w:p>
    <w:p w14:paraId="1E7B02DE">
      <w:pPr>
        <w:pStyle w:val="10"/>
        <w:tabs>
          <w:tab w:val="right" w:leader="dot" w:pos="9071"/>
        </w:tabs>
      </w:pPr>
      <w:r>
        <w:rPr>
          <w:rFonts w:ascii="宋体" w:hAnsi="宋体"/>
          <w:color w:val="auto"/>
          <w:szCs w:val="32"/>
          <w:highlight w:val="none"/>
        </w:rPr>
        <w:fldChar w:fldCharType="begin"/>
      </w:r>
      <w:r>
        <w:rPr>
          <w:rFonts w:ascii="宋体" w:hAnsi="宋体"/>
          <w:szCs w:val="32"/>
          <w:highlight w:val="none"/>
        </w:rPr>
        <w:instrText xml:space="preserve"> HYPERLINK \l _Toc5271 </w:instrText>
      </w:r>
      <w:r>
        <w:rPr>
          <w:rFonts w:ascii="宋体" w:hAnsi="宋体"/>
          <w:szCs w:val="32"/>
          <w:highlight w:val="none"/>
        </w:rPr>
        <w:fldChar w:fldCharType="separate"/>
      </w:r>
      <w:r>
        <w:rPr>
          <w:rFonts w:hint="eastAsia" w:ascii="仿宋" w:hAnsi="仿宋" w:eastAsia="仿宋"/>
        </w:rPr>
        <w:t>16．评标委员会</w:t>
      </w:r>
      <w:r>
        <w:tab/>
      </w:r>
      <w:r>
        <w:fldChar w:fldCharType="begin"/>
      </w:r>
      <w:r>
        <w:instrText xml:space="preserve"> PAGEREF _Toc5271 \h </w:instrText>
      </w:r>
      <w:r>
        <w:fldChar w:fldCharType="separate"/>
      </w:r>
      <w:r>
        <w:t>16</w:t>
      </w:r>
      <w:r>
        <w:fldChar w:fldCharType="end"/>
      </w:r>
      <w:r>
        <w:rPr>
          <w:rFonts w:ascii="宋体" w:hAnsi="宋体"/>
          <w:color w:val="auto"/>
          <w:szCs w:val="32"/>
          <w:highlight w:val="none"/>
        </w:rPr>
        <w:fldChar w:fldCharType="end"/>
      </w:r>
    </w:p>
    <w:p w14:paraId="2EC5939F">
      <w:pPr>
        <w:pStyle w:val="10"/>
        <w:tabs>
          <w:tab w:val="right" w:leader="dot" w:pos="9071"/>
        </w:tabs>
      </w:pPr>
      <w:r>
        <w:rPr>
          <w:rFonts w:ascii="宋体" w:hAnsi="宋体"/>
          <w:color w:val="auto"/>
          <w:szCs w:val="32"/>
          <w:highlight w:val="none"/>
        </w:rPr>
        <w:fldChar w:fldCharType="begin"/>
      </w:r>
      <w:r>
        <w:rPr>
          <w:rFonts w:ascii="宋体" w:hAnsi="宋体"/>
          <w:szCs w:val="32"/>
          <w:highlight w:val="none"/>
        </w:rPr>
        <w:instrText xml:space="preserve"> HYPERLINK \l _Toc26359 </w:instrText>
      </w:r>
      <w:r>
        <w:rPr>
          <w:rFonts w:ascii="宋体" w:hAnsi="宋体"/>
          <w:szCs w:val="32"/>
          <w:highlight w:val="none"/>
        </w:rPr>
        <w:fldChar w:fldCharType="separate"/>
      </w:r>
      <w:r>
        <w:rPr>
          <w:rFonts w:hint="eastAsia" w:ascii="仿宋" w:hAnsi="仿宋" w:eastAsia="仿宋"/>
        </w:rPr>
        <w:t>17</w:t>
      </w:r>
      <w:r>
        <w:rPr>
          <w:rFonts w:ascii="仿宋" w:hAnsi="仿宋" w:eastAsia="仿宋"/>
        </w:rPr>
        <w:t xml:space="preserve">. </w:t>
      </w:r>
      <w:r>
        <w:rPr>
          <w:rFonts w:hint="eastAsia" w:ascii="仿宋" w:hAnsi="仿宋" w:eastAsia="仿宋"/>
        </w:rPr>
        <w:t>投标文件的初审</w:t>
      </w:r>
      <w:r>
        <w:tab/>
      </w:r>
      <w:r>
        <w:fldChar w:fldCharType="begin"/>
      </w:r>
      <w:r>
        <w:instrText xml:space="preserve"> PAGEREF _Toc26359 \h </w:instrText>
      </w:r>
      <w:r>
        <w:fldChar w:fldCharType="separate"/>
      </w:r>
      <w:r>
        <w:t>16</w:t>
      </w:r>
      <w:r>
        <w:fldChar w:fldCharType="end"/>
      </w:r>
      <w:r>
        <w:rPr>
          <w:rFonts w:ascii="宋体" w:hAnsi="宋体"/>
          <w:color w:val="auto"/>
          <w:szCs w:val="32"/>
          <w:highlight w:val="none"/>
        </w:rPr>
        <w:fldChar w:fldCharType="end"/>
      </w:r>
    </w:p>
    <w:p w14:paraId="529CEC0A">
      <w:pPr>
        <w:pStyle w:val="10"/>
        <w:tabs>
          <w:tab w:val="right" w:leader="dot" w:pos="9071"/>
        </w:tabs>
      </w:pPr>
      <w:r>
        <w:rPr>
          <w:rFonts w:ascii="宋体" w:hAnsi="宋体"/>
          <w:color w:val="auto"/>
          <w:szCs w:val="32"/>
          <w:highlight w:val="none"/>
        </w:rPr>
        <w:fldChar w:fldCharType="begin"/>
      </w:r>
      <w:r>
        <w:rPr>
          <w:rFonts w:ascii="宋体" w:hAnsi="宋体"/>
          <w:szCs w:val="32"/>
          <w:highlight w:val="none"/>
        </w:rPr>
        <w:instrText xml:space="preserve"> HYPERLINK \l _Toc4100 </w:instrText>
      </w:r>
      <w:r>
        <w:rPr>
          <w:rFonts w:ascii="宋体" w:hAnsi="宋体"/>
          <w:szCs w:val="32"/>
          <w:highlight w:val="none"/>
        </w:rPr>
        <w:fldChar w:fldCharType="separate"/>
      </w:r>
      <w:r>
        <w:rPr>
          <w:rFonts w:hint="eastAsia" w:ascii="仿宋" w:hAnsi="仿宋" w:eastAsia="仿宋"/>
          <w:highlight w:val="none"/>
          <w:lang w:val="en-US" w:eastAsia="zh-CN"/>
        </w:rPr>
        <w:t xml:space="preserve">18. </w:t>
      </w:r>
      <w:r>
        <w:rPr>
          <w:rFonts w:hint="eastAsia" w:ascii="仿宋" w:hAnsi="仿宋" w:eastAsia="仿宋"/>
          <w:highlight w:val="none"/>
        </w:rPr>
        <w:t>评标办法</w:t>
      </w:r>
      <w:r>
        <w:tab/>
      </w:r>
      <w:r>
        <w:fldChar w:fldCharType="begin"/>
      </w:r>
      <w:r>
        <w:instrText xml:space="preserve"> PAGEREF _Toc4100 \h </w:instrText>
      </w:r>
      <w:r>
        <w:fldChar w:fldCharType="separate"/>
      </w:r>
      <w:r>
        <w:t>19</w:t>
      </w:r>
      <w:r>
        <w:fldChar w:fldCharType="end"/>
      </w:r>
      <w:r>
        <w:rPr>
          <w:rFonts w:ascii="宋体" w:hAnsi="宋体"/>
          <w:color w:val="auto"/>
          <w:szCs w:val="32"/>
          <w:highlight w:val="none"/>
        </w:rPr>
        <w:fldChar w:fldCharType="end"/>
      </w:r>
    </w:p>
    <w:p w14:paraId="5374283B">
      <w:pPr>
        <w:pStyle w:val="10"/>
        <w:tabs>
          <w:tab w:val="right" w:leader="dot" w:pos="9071"/>
        </w:tabs>
      </w:pPr>
      <w:r>
        <w:rPr>
          <w:rFonts w:ascii="宋体" w:hAnsi="宋体"/>
          <w:color w:val="auto"/>
          <w:szCs w:val="32"/>
          <w:highlight w:val="none"/>
        </w:rPr>
        <w:fldChar w:fldCharType="begin"/>
      </w:r>
      <w:r>
        <w:rPr>
          <w:rFonts w:ascii="宋体" w:hAnsi="宋体"/>
          <w:szCs w:val="32"/>
          <w:highlight w:val="none"/>
        </w:rPr>
        <w:instrText xml:space="preserve"> HYPERLINK \l _Toc3652 </w:instrText>
      </w:r>
      <w:r>
        <w:rPr>
          <w:rFonts w:ascii="宋体" w:hAnsi="宋体"/>
          <w:szCs w:val="32"/>
          <w:highlight w:val="none"/>
        </w:rPr>
        <w:fldChar w:fldCharType="separate"/>
      </w:r>
      <w:r>
        <w:rPr>
          <w:rFonts w:hint="eastAsia" w:ascii="仿宋" w:hAnsi="仿宋" w:eastAsia="仿宋"/>
          <w:highlight w:val="none"/>
        </w:rPr>
        <w:t>1</w:t>
      </w:r>
      <w:r>
        <w:rPr>
          <w:rFonts w:hint="eastAsia" w:ascii="仿宋" w:hAnsi="仿宋" w:eastAsia="仿宋"/>
          <w:highlight w:val="none"/>
          <w:lang w:val="en-US" w:eastAsia="zh-CN"/>
        </w:rPr>
        <w:t>9</w:t>
      </w:r>
      <w:r>
        <w:rPr>
          <w:rFonts w:hint="eastAsia" w:ascii="仿宋" w:hAnsi="仿宋" w:eastAsia="仿宋"/>
          <w:highlight w:val="none"/>
        </w:rPr>
        <w:t>. 投标文件的澄清</w:t>
      </w:r>
      <w:r>
        <w:tab/>
      </w:r>
      <w:r>
        <w:fldChar w:fldCharType="begin"/>
      </w:r>
      <w:r>
        <w:instrText xml:space="preserve"> PAGEREF _Toc3652 \h </w:instrText>
      </w:r>
      <w:r>
        <w:fldChar w:fldCharType="separate"/>
      </w:r>
      <w:r>
        <w:t>23</w:t>
      </w:r>
      <w:r>
        <w:fldChar w:fldCharType="end"/>
      </w:r>
      <w:r>
        <w:rPr>
          <w:rFonts w:ascii="宋体" w:hAnsi="宋体"/>
          <w:color w:val="auto"/>
          <w:szCs w:val="32"/>
          <w:highlight w:val="none"/>
        </w:rPr>
        <w:fldChar w:fldCharType="end"/>
      </w:r>
    </w:p>
    <w:p w14:paraId="13B7F9BC">
      <w:pPr>
        <w:pStyle w:val="10"/>
        <w:tabs>
          <w:tab w:val="right" w:leader="dot" w:pos="9071"/>
        </w:tabs>
      </w:pPr>
      <w:r>
        <w:rPr>
          <w:rFonts w:ascii="宋体" w:hAnsi="宋体"/>
          <w:color w:val="auto"/>
          <w:szCs w:val="32"/>
          <w:highlight w:val="none"/>
        </w:rPr>
        <w:fldChar w:fldCharType="begin"/>
      </w:r>
      <w:r>
        <w:rPr>
          <w:rFonts w:ascii="宋体" w:hAnsi="宋体"/>
          <w:szCs w:val="32"/>
          <w:highlight w:val="none"/>
        </w:rPr>
        <w:instrText xml:space="preserve"> HYPERLINK \l _Toc22910 </w:instrText>
      </w:r>
      <w:r>
        <w:rPr>
          <w:rFonts w:ascii="宋体" w:hAnsi="宋体"/>
          <w:szCs w:val="32"/>
          <w:highlight w:val="none"/>
        </w:rPr>
        <w:fldChar w:fldCharType="separate"/>
      </w:r>
      <w:r>
        <w:rPr>
          <w:rFonts w:hint="eastAsia" w:ascii="仿宋" w:hAnsi="仿宋" w:eastAsia="仿宋"/>
        </w:rPr>
        <w:t>20. 比较与评价</w:t>
      </w:r>
      <w:r>
        <w:tab/>
      </w:r>
      <w:r>
        <w:fldChar w:fldCharType="begin"/>
      </w:r>
      <w:r>
        <w:instrText xml:space="preserve"> PAGEREF _Toc22910 \h </w:instrText>
      </w:r>
      <w:r>
        <w:fldChar w:fldCharType="separate"/>
      </w:r>
      <w:r>
        <w:t>24</w:t>
      </w:r>
      <w:r>
        <w:fldChar w:fldCharType="end"/>
      </w:r>
      <w:r>
        <w:rPr>
          <w:rFonts w:ascii="宋体" w:hAnsi="宋体"/>
          <w:color w:val="auto"/>
          <w:szCs w:val="32"/>
          <w:highlight w:val="none"/>
        </w:rPr>
        <w:fldChar w:fldCharType="end"/>
      </w:r>
    </w:p>
    <w:p w14:paraId="7FEE99DA">
      <w:pPr>
        <w:pStyle w:val="15"/>
        <w:tabs>
          <w:tab w:val="right" w:leader="dot" w:pos="9071"/>
        </w:tabs>
      </w:pPr>
      <w:r>
        <w:rPr>
          <w:rFonts w:ascii="宋体" w:hAnsi="宋体"/>
          <w:color w:val="auto"/>
          <w:szCs w:val="32"/>
          <w:highlight w:val="none"/>
        </w:rPr>
        <w:fldChar w:fldCharType="begin"/>
      </w:r>
      <w:r>
        <w:rPr>
          <w:rFonts w:ascii="宋体" w:hAnsi="宋体"/>
          <w:szCs w:val="32"/>
          <w:highlight w:val="none"/>
        </w:rPr>
        <w:instrText xml:space="preserve"> HYPERLINK \l _Toc20302 </w:instrText>
      </w:r>
      <w:r>
        <w:rPr>
          <w:rFonts w:ascii="宋体" w:hAnsi="宋体"/>
          <w:szCs w:val="32"/>
          <w:highlight w:val="none"/>
        </w:rPr>
        <w:fldChar w:fldCharType="separate"/>
      </w:r>
      <w:r>
        <w:rPr>
          <w:rFonts w:hint="eastAsia" w:ascii="仿宋" w:hAnsi="仿宋" w:eastAsia="仿宋"/>
          <w:highlight w:val="none"/>
        </w:rPr>
        <w:t>第六节 定标与签订合同</w:t>
      </w:r>
      <w:r>
        <w:tab/>
      </w:r>
      <w:r>
        <w:fldChar w:fldCharType="begin"/>
      </w:r>
      <w:r>
        <w:instrText xml:space="preserve"> PAGEREF _Toc20302 \h </w:instrText>
      </w:r>
      <w:r>
        <w:fldChar w:fldCharType="separate"/>
      </w:r>
      <w:r>
        <w:t>24</w:t>
      </w:r>
      <w:r>
        <w:fldChar w:fldCharType="end"/>
      </w:r>
      <w:r>
        <w:rPr>
          <w:rFonts w:ascii="宋体" w:hAnsi="宋体"/>
          <w:color w:val="auto"/>
          <w:szCs w:val="32"/>
          <w:highlight w:val="none"/>
        </w:rPr>
        <w:fldChar w:fldCharType="end"/>
      </w:r>
    </w:p>
    <w:p w14:paraId="2EEB3554">
      <w:pPr>
        <w:pStyle w:val="10"/>
        <w:tabs>
          <w:tab w:val="right" w:leader="dot" w:pos="9071"/>
        </w:tabs>
      </w:pPr>
      <w:r>
        <w:rPr>
          <w:rFonts w:ascii="宋体" w:hAnsi="宋体"/>
          <w:color w:val="auto"/>
          <w:szCs w:val="32"/>
          <w:highlight w:val="none"/>
        </w:rPr>
        <w:fldChar w:fldCharType="begin"/>
      </w:r>
      <w:r>
        <w:rPr>
          <w:rFonts w:ascii="宋体" w:hAnsi="宋体"/>
          <w:szCs w:val="32"/>
          <w:highlight w:val="none"/>
        </w:rPr>
        <w:instrText xml:space="preserve"> HYPERLINK \l _Toc11029 </w:instrText>
      </w:r>
      <w:r>
        <w:rPr>
          <w:rFonts w:ascii="宋体" w:hAnsi="宋体"/>
          <w:szCs w:val="32"/>
          <w:highlight w:val="none"/>
        </w:rPr>
        <w:fldChar w:fldCharType="separate"/>
      </w:r>
      <w:r>
        <w:rPr>
          <w:rFonts w:hint="eastAsia" w:ascii="仿宋" w:hAnsi="仿宋" w:eastAsia="仿宋"/>
        </w:rPr>
        <w:t>21</w:t>
      </w:r>
      <w:r>
        <w:rPr>
          <w:rFonts w:ascii="仿宋" w:hAnsi="仿宋" w:eastAsia="仿宋"/>
        </w:rPr>
        <w:t>.</w:t>
      </w:r>
      <w:r>
        <w:rPr>
          <w:rFonts w:hint="eastAsia" w:ascii="仿宋" w:hAnsi="仿宋" w:eastAsia="仿宋"/>
        </w:rPr>
        <w:t xml:space="preserve"> 定标准则</w:t>
      </w:r>
      <w:r>
        <w:tab/>
      </w:r>
      <w:r>
        <w:fldChar w:fldCharType="begin"/>
      </w:r>
      <w:r>
        <w:instrText xml:space="preserve"> PAGEREF _Toc11029 \h </w:instrText>
      </w:r>
      <w:r>
        <w:fldChar w:fldCharType="separate"/>
      </w:r>
      <w:r>
        <w:t>24</w:t>
      </w:r>
      <w:r>
        <w:fldChar w:fldCharType="end"/>
      </w:r>
      <w:r>
        <w:rPr>
          <w:rFonts w:ascii="宋体" w:hAnsi="宋体"/>
          <w:color w:val="auto"/>
          <w:szCs w:val="32"/>
          <w:highlight w:val="none"/>
        </w:rPr>
        <w:fldChar w:fldCharType="end"/>
      </w:r>
    </w:p>
    <w:p w14:paraId="3AB0B9A7">
      <w:pPr>
        <w:pStyle w:val="10"/>
        <w:tabs>
          <w:tab w:val="right" w:leader="dot" w:pos="9071"/>
        </w:tabs>
      </w:pPr>
      <w:r>
        <w:rPr>
          <w:rFonts w:ascii="宋体" w:hAnsi="宋体"/>
          <w:color w:val="auto"/>
          <w:szCs w:val="32"/>
          <w:highlight w:val="none"/>
        </w:rPr>
        <w:fldChar w:fldCharType="begin"/>
      </w:r>
      <w:r>
        <w:rPr>
          <w:rFonts w:ascii="宋体" w:hAnsi="宋体"/>
          <w:szCs w:val="32"/>
          <w:highlight w:val="none"/>
        </w:rPr>
        <w:instrText xml:space="preserve"> HYPERLINK \l _Toc21768 </w:instrText>
      </w:r>
      <w:r>
        <w:rPr>
          <w:rFonts w:ascii="宋体" w:hAnsi="宋体"/>
          <w:szCs w:val="32"/>
          <w:highlight w:val="none"/>
        </w:rPr>
        <w:fldChar w:fldCharType="separate"/>
      </w:r>
      <w:r>
        <w:rPr>
          <w:rFonts w:hint="eastAsia" w:ascii="仿宋" w:hAnsi="仿宋" w:eastAsia="仿宋"/>
        </w:rPr>
        <w:t>22</w:t>
      </w:r>
      <w:r>
        <w:rPr>
          <w:rFonts w:ascii="仿宋" w:hAnsi="仿宋" w:eastAsia="仿宋"/>
        </w:rPr>
        <w:t xml:space="preserve">. </w:t>
      </w:r>
      <w:r>
        <w:rPr>
          <w:rFonts w:hint="eastAsia" w:ascii="仿宋" w:hAnsi="仿宋" w:eastAsia="仿宋"/>
        </w:rPr>
        <w:t>中标通知</w:t>
      </w:r>
      <w:r>
        <w:tab/>
      </w:r>
      <w:r>
        <w:fldChar w:fldCharType="begin"/>
      </w:r>
      <w:r>
        <w:instrText xml:space="preserve"> PAGEREF _Toc21768 \h </w:instrText>
      </w:r>
      <w:r>
        <w:fldChar w:fldCharType="separate"/>
      </w:r>
      <w:r>
        <w:t>25</w:t>
      </w:r>
      <w:r>
        <w:fldChar w:fldCharType="end"/>
      </w:r>
      <w:r>
        <w:rPr>
          <w:rFonts w:ascii="宋体" w:hAnsi="宋体"/>
          <w:color w:val="auto"/>
          <w:szCs w:val="32"/>
          <w:highlight w:val="none"/>
        </w:rPr>
        <w:fldChar w:fldCharType="end"/>
      </w:r>
    </w:p>
    <w:p w14:paraId="0084D9FE">
      <w:pPr>
        <w:pStyle w:val="10"/>
        <w:tabs>
          <w:tab w:val="right" w:leader="dot" w:pos="9071"/>
        </w:tabs>
      </w:pPr>
      <w:r>
        <w:rPr>
          <w:rFonts w:ascii="宋体" w:hAnsi="宋体"/>
          <w:color w:val="auto"/>
          <w:szCs w:val="32"/>
          <w:highlight w:val="none"/>
        </w:rPr>
        <w:fldChar w:fldCharType="begin"/>
      </w:r>
      <w:r>
        <w:rPr>
          <w:rFonts w:ascii="宋体" w:hAnsi="宋体"/>
          <w:szCs w:val="32"/>
          <w:highlight w:val="none"/>
        </w:rPr>
        <w:instrText xml:space="preserve"> HYPERLINK \l _Toc140 </w:instrText>
      </w:r>
      <w:r>
        <w:rPr>
          <w:rFonts w:ascii="宋体" w:hAnsi="宋体"/>
          <w:szCs w:val="32"/>
          <w:highlight w:val="none"/>
        </w:rPr>
        <w:fldChar w:fldCharType="separate"/>
      </w:r>
      <w:r>
        <w:rPr>
          <w:rFonts w:hint="eastAsia" w:ascii="仿宋" w:hAnsi="仿宋" w:eastAsia="仿宋"/>
        </w:rPr>
        <w:t>23. 签订合同</w:t>
      </w:r>
      <w:r>
        <w:tab/>
      </w:r>
      <w:r>
        <w:fldChar w:fldCharType="begin"/>
      </w:r>
      <w:r>
        <w:instrText xml:space="preserve"> PAGEREF _Toc140 \h </w:instrText>
      </w:r>
      <w:r>
        <w:fldChar w:fldCharType="separate"/>
      </w:r>
      <w:r>
        <w:t>25</w:t>
      </w:r>
      <w:r>
        <w:fldChar w:fldCharType="end"/>
      </w:r>
      <w:r>
        <w:rPr>
          <w:rFonts w:ascii="宋体" w:hAnsi="宋体"/>
          <w:color w:val="auto"/>
          <w:szCs w:val="32"/>
          <w:highlight w:val="none"/>
        </w:rPr>
        <w:fldChar w:fldCharType="end"/>
      </w:r>
    </w:p>
    <w:p w14:paraId="3F0FE756">
      <w:pPr>
        <w:pStyle w:val="2"/>
        <w:tabs>
          <w:tab w:val="right" w:leader="dot" w:pos="9071"/>
        </w:tabs>
      </w:pPr>
      <w:r>
        <w:rPr>
          <w:rFonts w:ascii="宋体" w:hAnsi="宋体"/>
          <w:color w:val="auto"/>
          <w:szCs w:val="32"/>
          <w:highlight w:val="none"/>
        </w:rPr>
        <w:fldChar w:fldCharType="begin"/>
      </w:r>
      <w:r>
        <w:rPr>
          <w:rFonts w:ascii="宋体" w:hAnsi="宋体"/>
          <w:szCs w:val="32"/>
          <w:highlight w:val="none"/>
        </w:rPr>
        <w:instrText xml:space="preserve"> HYPERLINK \l _Toc7769 </w:instrText>
      </w:r>
      <w:r>
        <w:rPr>
          <w:rFonts w:ascii="宋体" w:hAnsi="宋体"/>
          <w:szCs w:val="32"/>
          <w:highlight w:val="none"/>
        </w:rPr>
        <w:fldChar w:fldCharType="separate"/>
      </w:r>
      <w:r>
        <w:rPr>
          <w:rFonts w:hint="eastAsia" w:ascii="仿宋" w:hAnsi="仿宋" w:eastAsia="仿宋"/>
          <w:szCs w:val="44"/>
          <w:highlight w:val="none"/>
        </w:rPr>
        <w:t>第三章　招标内容及要求</w:t>
      </w:r>
      <w:r>
        <w:tab/>
      </w:r>
      <w:r>
        <w:fldChar w:fldCharType="begin"/>
      </w:r>
      <w:r>
        <w:instrText xml:space="preserve"> PAGEREF _Toc7769 \h </w:instrText>
      </w:r>
      <w:r>
        <w:fldChar w:fldCharType="separate"/>
      </w:r>
      <w:r>
        <w:t>26</w:t>
      </w:r>
      <w:r>
        <w:fldChar w:fldCharType="end"/>
      </w:r>
      <w:r>
        <w:rPr>
          <w:rFonts w:ascii="宋体" w:hAnsi="宋体"/>
          <w:color w:val="auto"/>
          <w:szCs w:val="32"/>
          <w:highlight w:val="none"/>
        </w:rPr>
        <w:fldChar w:fldCharType="end"/>
      </w:r>
    </w:p>
    <w:p w14:paraId="027775A0">
      <w:pPr>
        <w:pStyle w:val="15"/>
        <w:tabs>
          <w:tab w:val="right" w:leader="dot" w:pos="9071"/>
        </w:tabs>
      </w:pPr>
      <w:r>
        <w:rPr>
          <w:rFonts w:ascii="宋体" w:hAnsi="宋体"/>
          <w:color w:val="auto"/>
          <w:szCs w:val="32"/>
          <w:highlight w:val="none"/>
        </w:rPr>
        <w:fldChar w:fldCharType="begin"/>
      </w:r>
      <w:r>
        <w:rPr>
          <w:rFonts w:ascii="宋体" w:hAnsi="宋体"/>
          <w:szCs w:val="32"/>
          <w:highlight w:val="none"/>
        </w:rPr>
        <w:instrText xml:space="preserve"> HYPERLINK \l _Toc20113 </w:instrText>
      </w:r>
      <w:r>
        <w:rPr>
          <w:rFonts w:ascii="宋体" w:hAnsi="宋体"/>
          <w:szCs w:val="32"/>
          <w:highlight w:val="none"/>
        </w:rPr>
        <w:fldChar w:fldCharType="separate"/>
      </w:r>
      <w:r>
        <w:rPr>
          <w:rFonts w:hint="eastAsia" w:ascii="仿宋" w:hAnsi="仿宋" w:eastAsia="仿宋"/>
          <w:highlight w:val="none"/>
        </w:rPr>
        <w:t>第一节 项目需求</w:t>
      </w:r>
      <w:r>
        <w:tab/>
      </w:r>
      <w:r>
        <w:fldChar w:fldCharType="begin"/>
      </w:r>
      <w:r>
        <w:instrText xml:space="preserve"> PAGEREF _Toc20113 \h </w:instrText>
      </w:r>
      <w:r>
        <w:fldChar w:fldCharType="separate"/>
      </w:r>
      <w:r>
        <w:t>26</w:t>
      </w:r>
      <w:r>
        <w:fldChar w:fldCharType="end"/>
      </w:r>
      <w:r>
        <w:rPr>
          <w:rFonts w:ascii="宋体" w:hAnsi="宋体"/>
          <w:color w:val="auto"/>
          <w:szCs w:val="32"/>
          <w:highlight w:val="none"/>
        </w:rPr>
        <w:fldChar w:fldCharType="end"/>
      </w:r>
    </w:p>
    <w:p w14:paraId="049EC1D5">
      <w:pPr>
        <w:pStyle w:val="15"/>
        <w:tabs>
          <w:tab w:val="right" w:leader="dot" w:pos="9071"/>
        </w:tabs>
      </w:pPr>
      <w:r>
        <w:rPr>
          <w:rFonts w:ascii="宋体" w:hAnsi="宋体"/>
          <w:color w:val="auto"/>
          <w:szCs w:val="32"/>
          <w:highlight w:val="none"/>
        </w:rPr>
        <w:fldChar w:fldCharType="begin"/>
      </w:r>
      <w:r>
        <w:rPr>
          <w:rFonts w:ascii="宋体" w:hAnsi="宋体"/>
          <w:szCs w:val="32"/>
          <w:highlight w:val="none"/>
        </w:rPr>
        <w:instrText xml:space="preserve"> HYPERLINK \l _Toc8443 </w:instrText>
      </w:r>
      <w:r>
        <w:rPr>
          <w:rFonts w:ascii="宋体" w:hAnsi="宋体"/>
          <w:szCs w:val="32"/>
          <w:highlight w:val="none"/>
        </w:rPr>
        <w:fldChar w:fldCharType="separate"/>
      </w:r>
      <w:r>
        <w:rPr>
          <w:rFonts w:hint="eastAsia" w:ascii="仿宋" w:hAnsi="仿宋" w:eastAsia="仿宋"/>
          <w:highlight w:val="none"/>
        </w:rPr>
        <w:t>第二节 商务技术响应要求</w:t>
      </w:r>
      <w:r>
        <w:tab/>
      </w:r>
      <w:r>
        <w:fldChar w:fldCharType="begin"/>
      </w:r>
      <w:r>
        <w:instrText xml:space="preserve"> PAGEREF _Toc8443 \h </w:instrText>
      </w:r>
      <w:r>
        <w:fldChar w:fldCharType="separate"/>
      </w:r>
      <w:r>
        <w:t>29</w:t>
      </w:r>
      <w:r>
        <w:fldChar w:fldCharType="end"/>
      </w:r>
      <w:r>
        <w:rPr>
          <w:rFonts w:ascii="宋体" w:hAnsi="宋体"/>
          <w:color w:val="auto"/>
          <w:szCs w:val="32"/>
          <w:highlight w:val="none"/>
        </w:rPr>
        <w:fldChar w:fldCharType="end"/>
      </w:r>
    </w:p>
    <w:p w14:paraId="637747C6">
      <w:pPr>
        <w:pStyle w:val="15"/>
        <w:tabs>
          <w:tab w:val="right" w:leader="dot" w:pos="9071"/>
        </w:tabs>
      </w:pPr>
      <w:r>
        <w:rPr>
          <w:rFonts w:ascii="宋体" w:hAnsi="宋体"/>
          <w:color w:val="auto"/>
          <w:szCs w:val="32"/>
          <w:highlight w:val="none"/>
        </w:rPr>
        <w:fldChar w:fldCharType="begin"/>
      </w:r>
      <w:r>
        <w:rPr>
          <w:rFonts w:ascii="宋体" w:hAnsi="宋体"/>
          <w:szCs w:val="32"/>
          <w:highlight w:val="none"/>
        </w:rPr>
        <w:instrText xml:space="preserve"> HYPERLINK \l _Toc16567 </w:instrText>
      </w:r>
      <w:r>
        <w:rPr>
          <w:rFonts w:ascii="宋体" w:hAnsi="宋体"/>
          <w:szCs w:val="32"/>
          <w:highlight w:val="none"/>
        </w:rPr>
        <w:fldChar w:fldCharType="separate"/>
      </w:r>
      <w:r>
        <w:rPr>
          <w:rFonts w:hint="eastAsia" w:ascii="仿宋" w:hAnsi="仿宋" w:eastAsia="仿宋"/>
          <w:highlight w:val="none"/>
        </w:rPr>
        <w:t>第三节 报价要求</w:t>
      </w:r>
      <w:r>
        <w:tab/>
      </w:r>
      <w:r>
        <w:fldChar w:fldCharType="begin"/>
      </w:r>
      <w:r>
        <w:instrText xml:space="preserve"> PAGEREF _Toc16567 \h </w:instrText>
      </w:r>
      <w:r>
        <w:fldChar w:fldCharType="separate"/>
      </w:r>
      <w:r>
        <w:t>30</w:t>
      </w:r>
      <w:r>
        <w:fldChar w:fldCharType="end"/>
      </w:r>
      <w:r>
        <w:rPr>
          <w:rFonts w:ascii="宋体" w:hAnsi="宋体"/>
          <w:color w:val="auto"/>
          <w:szCs w:val="32"/>
          <w:highlight w:val="none"/>
        </w:rPr>
        <w:fldChar w:fldCharType="end"/>
      </w:r>
    </w:p>
    <w:p w14:paraId="5E852613">
      <w:pPr>
        <w:pStyle w:val="2"/>
        <w:tabs>
          <w:tab w:val="right" w:leader="dot" w:pos="9071"/>
        </w:tabs>
      </w:pPr>
      <w:r>
        <w:rPr>
          <w:rFonts w:ascii="宋体" w:hAnsi="宋体"/>
          <w:color w:val="auto"/>
          <w:szCs w:val="32"/>
          <w:highlight w:val="none"/>
        </w:rPr>
        <w:fldChar w:fldCharType="begin"/>
      </w:r>
      <w:r>
        <w:rPr>
          <w:rFonts w:ascii="宋体" w:hAnsi="宋体"/>
          <w:szCs w:val="32"/>
          <w:highlight w:val="none"/>
        </w:rPr>
        <w:instrText xml:space="preserve"> HYPERLINK \l _Toc7177 </w:instrText>
      </w:r>
      <w:r>
        <w:rPr>
          <w:rFonts w:ascii="宋体" w:hAnsi="宋体"/>
          <w:szCs w:val="32"/>
          <w:highlight w:val="none"/>
        </w:rPr>
        <w:fldChar w:fldCharType="separate"/>
      </w:r>
      <w:r>
        <w:rPr>
          <w:rFonts w:hint="eastAsia" w:ascii="仿宋" w:hAnsi="仿宋" w:eastAsia="仿宋"/>
          <w:highlight w:val="none"/>
        </w:rPr>
        <w:t>第四章  投标文件格式</w:t>
      </w:r>
      <w:r>
        <w:tab/>
      </w:r>
      <w:r>
        <w:fldChar w:fldCharType="begin"/>
      </w:r>
      <w:r>
        <w:instrText xml:space="preserve"> PAGEREF _Toc7177 \h </w:instrText>
      </w:r>
      <w:r>
        <w:fldChar w:fldCharType="separate"/>
      </w:r>
      <w:r>
        <w:t>31</w:t>
      </w:r>
      <w:r>
        <w:fldChar w:fldCharType="end"/>
      </w:r>
      <w:r>
        <w:rPr>
          <w:rFonts w:ascii="宋体" w:hAnsi="宋体"/>
          <w:color w:val="auto"/>
          <w:szCs w:val="32"/>
          <w:highlight w:val="none"/>
        </w:rPr>
        <w:fldChar w:fldCharType="end"/>
      </w:r>
    </w:p>
    <w:p w14:paraId="21FC7E3D">
      <w:pPr>
        <w:pStyle w:val="2"/>
        <w:tabs>
          <w:tab w:val="right" w:leader="dot" w:pos="9061"/>
        </w:tabs>
        <w:spacing w:before="0" w:after="0" w:line="400" w:lineRule="exact"/>
        <w:rPr>
          <w:rFonts w:ascii="宋体" w:hAnsi="宋体"/>
          <w:color w:val="auto"/>
          <w:sz w:val="44"/>
          <w:highlight w:val="none"/>
        </w:rPr>
      </w:pPr>
      <w:r>
        <w:rPr>
          <w:rFonts w:ascii="宋体" w:hAnsi="宋体"/>
          <w:color w:val="auto"/>
          <w:szCs w:val="32"/>
          <w:highlight w:val="none"/>
        </w:rPr>
        <w:fldChar w:fldCharType="end"/>
      </w:r>
      <w:bookmarkStart w:id="8" w:name="_Toc51489303"/>
    </w:p>
    <w:p w14:paraId="69C6E336">
      <w:pPr>
        <w:rPr>
          <w:color w:val="auto"/>
          <w:sz w:val="48"/>
          <w:szCs w:val="48"/>
          <w:highlight w:val="none"/>
        </w:rPr>
      </w:pPr>
    </w:p>
    <w:p w14:paraId="72B93E7C">
      <w:pPr>
        <w:pStyle w:val="3"/>
        <w:keepNext w:val="0"/>
        <w:keepLines w:val="0"/>
        <w:spacing w:before="120" w:beforeLines="50" w:after="240" w:afterLines="100" w:line="580" w:lineRule="exact"/>
        <w:jc w:val="center"/>
        <w:rPr>
          <w:rFonts w:hint="default" w:eastAsia="仿宋"/>
          <w:color w:val="auto"/>
          <w:szCs w:val="32"/>
          <w:highlight w:val="none"/>
          <w:lang w:val="en-US" w:eastAsia="zh-CN"/>
        </w:rPr>
      </w:pPr>
      <w:r>
        <w:rPr>
          <w:color w:val="auto"/>
          <w:sz w:val="52"/>
          <w:szCs w:val="52"/>
          <w:highlight w:val="none"/>
        </w:rPr>
        <w:br w:type="page"/>
      </w:r>
      <w:bookmarkStart w:id="9" w:name="_Toc25835"/>
      <w:bookmarkStart w:id="10" w:name="_Toc20183"/>
      <w:bookmarkStart w:id="11" w:name="_Toc153"/>
      <w:bookmarkStart w:id="12" w:name="_Toc11641"/>
      <w:bookmarkStart w:id="13" w:name="_Toc14286"/>
      <w:bookmarkStart w:id="14" w:name="_Toc8827"/>
      <w:bookmarkStart w:id="15" w:name="_Toc4732"/>
      <w:bookmarkStart w:id="16" w:name="_Toc16183"/>
      <w:bookmarkStart w:id="17" w:name="_Toc26183"/>
      <w:bookmarkStart w:id="18" w:name="_Toc9747"/>
      <w:bookmarkStart w:id="19" w:name="_Toc25805"/>
      <w:bookmarkStart w:id="20" w:name="_Toc291"/>
      <w:bookmarkStart w:id="21" w:name="_Toc20335"/>
      <w:bookmarkStart w:id="22" w:name="_Toc26033"/>
      <w:r>
        <w:rPr>
          <w:rFonts w:hint="eastAsia" w:ascii="仿宋" w:hAnsi="仿宋" w:eastAsia="仿宋" w:cs="仿宋"/>
          <w:bCs w:val="0"/>
          <w:color w:val="auto"/>
          <w:kern w:val="0"/>
          <w:szCs w:val="32"/>
          <w:highlight w:val="none"/>
        </w:rPr>
        <w:t>第一章　</w:t>
      </w:r>
      <w:bookmarkEnd w:id="9"/>
      <w:bookmarkEnd w:id="10"/>
      <w:bookmarkEnd w:id="11"/>
      <w:bookmarkEnd w:id="12"/>
      <w:bookmarkEnd w:id="13"/>
      <w:bookmarkEnd w:id="14"/>
      <w:bookmarkEnd w:id="15"/>
      <w:bookmarkEnd w:id="16"/>
      <w:r>
        <w:rPr>
          <w:rFonts w:hint="eastAsia" w:ascii="仿宋" w:hAnsi="仿宋" w:eastAsia="仿宋" w:cs="仿宋"/>
          <w:bCs w:val="0"/>
          <w:color w:val="auto"/>
          <w:kern w:val="0"/>
          <w:szCs w:val="32"/>
          <w:highlight w:val="none"/>
          <w:lang w:val="en-US" w:eastAsia="zh-CN"/>
        </w:rPr>
        <w:t>招标公告</w:t>
      </w:r>
      <w:bookmarkEnd w:id="17"/>
      <w:bookmarkEnd w:id="18"/>
      <w:bookmarkEnd w:id="19"/>
      <w:bookmarkEnd w:id="20"/>
      <w:bookmarkEnd w:id="21"/>
      <w:bookmarkEnd w:id="22"/>
    </w:p>
    <w:p w14:paraId="1178DF0A">
      <w:pPr>
        <w:pStyle w:val="16"/>
        <w:shd w:val="clear" w:color="auto" w:fill="FFFFFF"/>
        <w:spacing w:line="500" w:lineRule="exact"/>
        <w:ind w:firstLine="640" w:firstLineChars="200"/>
        <w:rPr>
          <w:rFonts w:ascii="仿宋" w:hAnsi="仿宋" w:eastAsia="仿宋" w:cs="Arial"/>
          <w:color w:val="auto"/>
          <w:sz w:val="32"/>
          <w:szCs w:val="32"/>
          <w:highlight w:val="none"/>
        </w:rPr>
      </w:pPr>
      <w:r>
        <w:rPr>
          <w:rFonts w:hint="eastAsia" w:ascii="仿宋" w:hAnsi="仿宋" w:eastAsia="仿宋" w:cs="仿宋"/>
          <w:color w:val="auto"/>
          <w:kern w:val="0"/>
          <w:sz w:val="32"/>
          <w:szCs w:val="32"/>
          <w:highlight w:val="none"/>
          <w:lang w:val="en-US" w:eastAsia="zh-CN"/>
        </w:rPr>
        <w:t>厦门国贸物业服务有限公司</w:t>
      </w:r>
      <w:r>
        <w:rPr>
          <w:rFonts w:hint="eastAsia" w:ascii="仿宋" w:hAnsi="仿宋" w:eastAsia="仿宋" w:cs="仿宋"/>
          <w:color w:val="auto"/>
          <w:kern w:val="0"/>
          <w:sz w:val="32"/>
          <w:szCs w:val="32"/>
          <w:highlight w:val="none"/>
        </w:rPr>
        <w:t>为保证管辖项目</w:t>
      </w:r>
      <w:r>
        <w:rPr>
          <w:rFonts w:hint="eastAsia" w:ascii="仿宋" w:hAnsi="仿宋" w:eastAsia="仿宋" w:cs="仿宋"/>
          <w:color w:val="auto"/>
          <w:kern w:val="0"/>
          <w:sz w:val="32"/>
          <w:szCs w:val="32"/>
          <w:highlight w:val="none"/>
          <w:lang w:val="en-US" w:eastAsia="zh-CN"/>
        </w:rPr>
        <w:t>成都海上蓉屿项目</w:t>
      </w:r>
      <w:r>
        <w:rPr>
          <w:rFonts w:hint="eastAsia" w:ascii="仿宋" w:hAnsi="仿宋" w:eastAsia="仿宋" w:cs="仿宋"/>
          <w:color w:val="auto"/>
          <w:kern w:val="0"/>
          <w:sz w:val="32"/>
          <w:szCs w:val="32"/>
          <w:highlight w:val="none"/>
        </w:rPr>
        <w:t>的</w:t>
      </w:r>
      <w:r>
        <w:rPr>
          <w:rFonts w:hint="eastAsia" w:ascii="仿宋" w:hAnsi="仿宋" w:eastAsia="仿宋" w:cs="仿宋"/>
          <w:color w:val="auto"/>
          <w:kern w:val="0"/>
          <w:sz w:val="32"/>
          <w:szCs w:val="32"/>
          <w:highlight w:val="none"/>
          <w:lang w:val="en-US" w:eastAsia="zh-CN"/>
        </w:rPr>
        <w:t>户内住宅质量</w:t>
      </w:r>
      <w:r>
        <w:rPr>
          <w:rFonts w:hint="eastAsia" w:ascii="仿宋" w:hAnsi="仿宋" w:eastAsia="仿宋" w:cs="仿宋"/>
          <w:color w:val="auto"/>
          <w:kern w:val="0"/>
          <w:sz w:val="32"/>
          <w:szCs w:val="32"/>
          <w:highlight w:val="none"/>
        </w:rPr>
        <w:t>，进一步做好项目</w:t>
      </w:r>
      <w:r>
        <w:rPr>
          <w:rFonts w:hint="eastAsia" w:ascii="仿宋" w:hAnsi="仿宋" w:eastAsia="仿宋" w:cs="仿宋"/>
          <w:color w:val="auto"/>
          <w:kern w:val="0"/>
          <w:sz w:val="32"/>
          <w:szCs w:val="32"/>
          <w:highlight w:val="none"/>
          <w:lang w:val="en-US" w:eastAsia="zh-CN"/>
        </w:rPr>
        <w:t>住宅查验</w:t>
      </w:r>
      <w:r>
        <w:rPr>
          <w:rFonts w:hint="eastAsia" w:ascii="仿宋" w:hAnsi="仿宋" w:eastAsia="仿宋" w:cs="仿宋"/>
          <w:color w:val="auto"/>
          <w:kern w:val="0"/>
          <w:sz w:val="32"/>
          <w:szCs w:val="32"/>
          <w:highlight w:val="none"/>
        </w:rPr>
        <w:t>工作，现对此项目</w:t>
      </w:r>
      <w:r>
        <w:rPr>
          <w:rFonts w:hint="eastAsia" w:ascii="仿宋" w:hAnsi="仿宋" w:eastAsia="仿宋" w:cs="仿宋"/>
          <w:color w:val="auto"/>
          <w:kern w:val="0"/>
          <w:sz w:val="32"/>
          <w:szCs w:val="32"/>
          <w:highlight w:val="none"/>
          <w:lang w:val="en-US" w:eastAsia="zh-CN"/>
        </w:rPr>
        <w:t>住宅模拟验收</w:t>
      </w:r>
      <w:r>
        <w:rPr>
          <w:rFonts w:hint="eastAsia" w:ascii="仿宋" w:hAnsi="仿宋" w:eastAsia="仿宋" w:cs="仿宋"/>
          <w:color w:val="auto"/>
          <w:kern w:val="0"/>
          <w:sz w:val="32"/>
          <w:szCs w:val="32"/>
          <w:highlight w:val="none"/>
        </w:rPr>
        <w:t>服务进行</w:t>
      </w:r>
      <w:r>
        <w:rPr>
          <w:rFonts w:hint="eastAsia" w:ascii="仿宋" w:hAnsi="仿宋" w:eastAsia="仿宋" w:cs="仿宋"/>
          <w:color w:val="auto"/>
          <w:kern w:val="0"/>
          <w:sz w:val="32"/>
          <w:szCs w:val="32"/>
          <w:highlight w:val="none"/>
          <w:lang w:val="en-US" w:eastAsia="zh-CN"/>
        </w:rPr>
        <w:t>第二次公开</w:t>
      </w:r>
      <w:r>
        <w:rPr>
          <w:rFonts w:hint="eastAsia" w:ascii="仿宋" w:hAnsi="仿宋" w:eastAsia="仿宋" w:cs="仿宋"/>
          <w:color w:val="auto"/>
          <w:kern w:val="0"/>
          <w:sz w:val="32"/>
          <w:szCs w:val="32"/>
          <w:highlight w:val="none"/>
        </w:rPr>
        <w:t>招标，</w:t>
      </w:r>
      <w:r>
        <w:rPr>
          <w:rFonts w:hint="eastAsia" w:ascii="仿宋" w:hAnsi="仿宋" w:eastAsia="仿宋" w:cs="仿宋"/>
          <w:color w:val="auto"/>
          <w:kern w:val="0"/>
          <w:sz w:val="32"/>
          <w:szCs w:val="32"/>
          <w:highlight w:val="none"/>
          <w:lang w:val="en-US" w:eastAsia="zh-CN"/>
        </w:rPr>
        <w:t>欢迎符合资格、专业的公司参加投标</w:t>
      </w:r>
      <w:r>
        <w:rPr>
          <w:rFonts w:hint="eastAsia" w:ascii="仿宋" w:hAnsi="仿宋" w:eastAsia="仿宋" w:cs="Arial"/>
          <w:color w:val="auto"/>
          <w:sz w:val="32"/>
          <w:szCs w:val="32"/>
          <w:highlight w:val="none"/>
        </w:rPr>
        <w:t>。</w:t>
      </w:r>
    </w:p>
    <w:p w14:paraId="7F0D6827">
      <w:pPr>
        <w:spacing w:line="500" w:lineRule="exact"/>
        <w:ind w:firstLine="640" w:firstLineChars="200"/>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若有意参加此次招标，请自行在本网站下载招标文件，</w:t>
      </w:r>
      <w:r>
        <w:rPr>
          <w:rFonts w:hint="eastAsia" w:ascii="仿宋" w:hAnsi="仿宋" w:eastAsia="仿宋" w:cs="仿宋"/>
          <w:color w:val="auto"/>
          <w:kern w:val="0"/>
          <w:sz w:val="32"/>
          <w:szCs w:val="32"/>
          <w:highlight w:val="none"/>
        </w:rPr>
        <w:t>此次招标的截标时间为</w:t>
      </w:r>
      <w:r>
        <w:rPr>
          <w:rFonts w:hint="eastAsia" w:ascii="仿宋" w:hAnsi="仿宋" w:eastAsia="仿宋" w:cs="仿宋"/>
          <w:color w:val="auto"/>
          <w:kern w:val="0"/>
          <w:sz w:val="32"/>
          <w:szCs w:val="32"/>
          <w:highlight w:val="none"/>
          <w:lang w:val="en-US" w:eastAsia="zh-CN"/>
        </w:rPr>
        <w:t>2026</w:t>
      </w:r>
      <w:r>
        <w:rPr>
          <w:rFonts w:hint="eastAsia" w:ascii="仿宋" w:hAnsi="仿宋" w:eastAsia="仿宋" w:cs="仿宋"/>
          <w:color w:val="auto"/>
          <w:kern w:val="0"/>
          <w:sz w:val="32"/>
          <w:szCs w:val="32"/>
          <w:highlight w:val="none"/>
        </w:rPr>
        <w:t>年</w:t>
      </w:r>
      <w:r>
        <w:rPr>
          <w:rFonts w:hint="eastAsia" w:ascii="仿宋" w:hAnsi="仿宋" w:eastAsia="仿宋" w:cs="仿宋"/>
          <w:color w:val="auto"/>
          <w:kern w:val="0"/>
          <w:sz w:val="32"/>
          <w:szCs w:val="32"/>
          <w:highlight w:val="none"/>
          <w:lang w:val="en-US" w:eastAsia="zh-CN"/>
        </w:rPr>
        <w:t>2</w:t>
      </w:r>
      <w:r>
        <w:rPr>
          <w:rFonts w:hint="eastAsia" w:ascii="仿宋" w:hAnsi="仿宋" w:eastAsia="仿宋" w:cs="仿宋"/>
          <w:color w:val="auto"/>
          <w:kern w:val="0"/>
          <w:sz w:val="32"/>
          <w:szCs w:val="32"/>
          <w:highlight w:val="none"/>
        </w:rPr>
        <w:t>月</w:t>
      </w:r>
      <w:r>
        <w:rPr>
          <w:rFonts w:hint="eastAsia" w:ascii="仿宋" w:hAnsi="仿宋" w:eastAsia="仿宋" w:cs="仿宋"/>
          <w:color w:val="auto"/>
          <w:kern w:val="0"/>
          <w:sz w:val="32"/>
          <w:szCs w:val="32"/>
          <w:highlight w:val="none"/>
          <w:lang w:val="en-US" w:eastAsia="zh-CN"/>
        </w:rPr>
        <w:t>10</w:t>
      </w:r>
      <w:r>
        <w:rPr>
          <w:rFonts w:hint="eastAsia" w:ascii="仿宋" w:hAnsi="仿宋" w:eastAsia="仿宋" w:cs="仿宋"/>
          <w:color w:val="auto"/>
          <w:kern w:val="0"/>
          <w:sz w:val="32"/>
          <w:szCs w:val="32"/>
          <w:highlight w:val="none"/>
        </w:rPr>
        <w:t>日</w:t>
      </w:r>
      <w:r>
        <w:rPr>
          <w:rFonts w:hint="eastAsia" w:ascii="仿宋" w:hAnsi="仿宋" w:eastAsia="仿宋" w:cs="仿宋"/>
          <w:color w:val="auto"/>
          <w:kern w:val="0"/>
          <w:sz w:val="32"/>
          <w:szCs w:val="32"/>
          <w:highlight w:val="none"/>
          <w:lang w:val="en-US" w:eastAsia="zh-CN"/>
        </w:rPr>
        <w:t>17</w:t>
      </w:r>
      <w:r>
        <w:rPr>
          <w:rFonts w:hint="eastAsia" w:ascii="仿宋" w:hAnsi="仿宋" w:eastAsia="仿宋" w:cs="仿宋"/>
          <w:color w:val="auto"/>
          <w:kern w:val="0"/>
          <w:sz w:val="32"/>
          <w:szCs w:val="32"/>
          <w:highlight w:val="none"/>
        </w:rPr>
        <w:t>时</w:t>
      </w:r>
      <w:r>
        <w:rPr>
          <w:rFonts w:hint="eastAsia" w:ascii="仿宋" w:hAnsi="仿宋" w:eastAsia="仿宋" w:cs="仿宋"/>
          <w:color w:val="auto"/>
          <w:kern w:val="0"/>
          <w:sz w:val="32"/>
          <w:szCs w:val="32"/>
          <w:highlight w:val="none"/>
          <w:lang w:val="en-US" w:eastAsia="zh-CN"/>
        </w:rPr>
        <w:t>30分</w:t>
      </w:r>
      <w:r>
        <w:rPr>
          <w:rFonts w:hint="eastAsia" w:ascii="仿宋" w:hAnsi="仿宋" w:eastAsia="仿宋" w:cs="仿宋"/>
          <w:color w:val="auto"/>
          <w:kern w:val="0"/>
          <w:sz w:val="32"/>
          <w:szCs w:val="32"/>
          <w:highlight w:val="none"/>
        </w:rPr>
        <w:t>，投标人需在</w:t>
      </w:r>
      <w:r>
        <w:rPr>
          <w:rFonts w:hint="eastAsia" w:ascii="仿宋" w:hAnsi="仿宋" w:eastAsia="仿宋" w:cs="仿宋"/>
          <w:color w:val="auto"/>
          <w:kern w:val="0"/>
          <w:sz w:val="32"/>
          <w:szCs w:val="32"/>
          <w:highlight w:val="none"/>
          <w:lang w:val="en-US" w:eastAsia="zh-CN"/>
        </w:rPr>
        <w:t>2026</w:t>
      </w:r>
      <w:r>
        <w:rPr>
          <w:rFonts w:hint="eastAsia" w:ascii="仿宋" w:hAnsi="仿宋" w:eastAsia="仿宋" w:cs="仿宋"/>
          <w:color w:val="auto"/>
          <w:kern w:val="0"/>
          <w:sz w:val="32"/>
          <w:szCs w:val="32"/>
          <w:highlight w:val="none"/>
        </w:rPr>
        <w:t>年</w:t>
      </w:r>
      <w:r>
        <w:rPr>
          <w:rFonts w:hint="eastAsia" w:ascii="仿宋" w:hAnsi="仿宋" w:eastAsia="仿宋" w:cs="仿宋"/>
          <w:color w:val="auto"/>
          <w:kern w:val="0"/>
          <w:sz w:val="32"/>
          <w:szCs w:val="32"/>
          <w:highlight w:val="none"/>
          <w:lang w:val="en-US" w:eastAsia="zh-CN"/>
        </w:rPr>
        <w:t>2</w:t>
      </w:r>
      <w:r>
        <w:rPr>
          <w:rFonts w:hint="eastAsia" w:ascii="仿宋" w:hAnsi="仿宋" w:eastAsia="仿宋" w:cs="仿宋"/>
          <w:color w:val="auto"/>
          <w:kern w:val="0"/>
          <w:sz w:val="32"/>
          <w:szCs w:val="32"/>
          <w:highlight w:val="none"/>
        </w:rPr>
        <w:t>月</w:t>
      </w:r>
      <w:r>
        <w:rPr>
          <w:rFonts w:hint="eastAsia" w:ascii="仿宋" w:hAnsi="仿宋" w:eastAsia="仿宋" w:cs="仿宋"/>
          <w:color w:val="auto"/>
          <w:kern w:val="0"/>
          <w:sz w:val="32"/>
          <w:szCs w:val="32"/>
          <w:highlight w:val="none"/>
          <w:lang w:val="en-US" w:eastAsia="zh-CN"/>
        </w:rPr>
        <w:t>10</w:t>
      </w:r>
      <w:r>
        <w:rPr>
          <w:rFonts w:hint="eastAsia" w:ascii="仿宋" w:hAnsi="仿宋" w:eastAsia="仿宋" w:cs="仿宋"/>
          <w:color w:val="auto"/>
          <w:kern w:val="0"/>
          <w:sz w:val="32"/>
          <w:szCs w:val="32"/>
          <w:highlight w:val="none"/>
        </w:rPr>
        <w:t>日</w:t>
      </w:r>
      <w:r>
        <w:rPr>
          <w:rFonts w:hint="eastAsia" w:ascii="仿宋" w:hAnsi="仿宋" w:eastAsia="仿宋" w:cs="仿宋"/>
          <w:color w:val="auto"/>
          <w:kern w:val="0"/>
          <w:sz w:val="32"/>
          <w:szCs w:val="32"/>
          <w:highlight w:val="none"/>
          <w:lang w:val="en-US" w:eastAsia="zh-CN"/>
        </w:rPr>
        <w:t>17</w:t>
      </w:r>
      <w:r>
        <w:rPr>
          <w:rFonts w:hint="eastAsia" w:ascii="仿宋" w:hAnsi="仿宋" w:eastAsia="仿宋" w:cs="仿宋"/>
          <w:color w:val="auto"/>
          <w:kern w:val="0"/>
          <w:sz w:val="32"/>
          <w:szCs w:val="32"/>
          <w:highlight w:val="none"/>
        </w:rPr>
        <w:t>时</w:t>
      </w:r>
      <w:r>
        <w:rPr>
          <w:rFonts w:hint="eastAsia" w:ascii="仿宋" w:hAnsi="仿宋" w:eastAsia="仿宋" w:cs="仿宋"/>
          <w:color w:val="auto"/>
          <w:kern w:val="0"/>
          <w:sz w:val="32"/>
          <w:szCs w:val="32"/>
          <w:highlight w:val="none"/>
          <w:lang w:val="en-US" w:eastAsia="zh-CN"/>
        </w:rPr>
        <w:t>30分</w:t>
      </w:r>
      <w:r>
        <w:rPr>
          <w:rFonts w:hint="eastAsia" w:ascii="仿宋" w:hAnsi="仿宋" w:eastAsia="仿宋" w:cs="仿宋"/>
          <w:color w:val="auto"/>
          <w:kern w:val="0"/>
          <w:sz w:val="32"/>
          <w:szCs w:val="32"/>
          <w:highlight w:val="none"/>
        </w:rPr>
        <w:t>前将投标</w:t>
      </w:r>
      <w:r>
        <w:rPr>
          <w:rFonts w:hint="eastAsia" w:ascii="仿宋" w:hAnsi="仿宋" w:eastAsia="仿宋" w:cs="仿宋"/>
          <w:color w:val="auto"/>
          <w:kern w:val="0"/>
          <w:sz w:val="32"/>
          <w:szCs w:val="32"/>
          <w:highlight w:val="none"/>
          <w:lang w:val="en-US" w:eastAsia="zh-CN"/>
        </w:rPr>
        <w:t>文件</w:t>
      </w:r>
      <w:r>
        <w:rPr>
          <w:rFonts w:hint="eastAsia" w:ascii="仿宋" w:hAnsi="仿宋" w:eastAsia="仿宋" w:cs="仿宋"/>
          <w:color w:val="auto"/>
          <w:kern w:val="0"/>
          <w:sz w:val="32"/>
          <w:szCs w:val="32"/>
          <w:highlight w:val="none"/>
        </w:rPr>
        <w:t>正本</w:t>
      </w:r>
      <w:r>
        <w:rPr>
          <w:rFonts w:hint="eastAsia" w:ascii="仿宋" w:hAnsi="仿宋" w:eastAsia="仿宋" w:cs="仿宋"/>
          <w:color w:val="auto"/>
          <w:kern w:val="0"/>
          <w:sz w:val="32"/>
          <w:szCs w:val="32"/>
          <w:highlight w:val="none"/>
          <w:lang w:val="en-US" w:eastAsia="zh-CN"/>
        </w:rPr>
        <w:t>一</w:t>
      </w:r>
      <w:r>
        <w:rPr>
          <w:rFonts w:hint="eastAsia" w:ascii="仿宋" w:hAnsi="仿宋" w:eastAsia="仿宋" w:cs="仿宋"/>
          <w:color w:val="auto"/>
          <w:kern w:val="0"/>
          <w:sz w:val="32"/>
          <w:szCs w:val="32"/>
          <w:highlight w:val="none"/>
        </w:rPr>
        <w:t>份，副本</w:t>
      </w:r>
      <w:r>
        <w:rPr>
          <w:rFonts w:hint="eastAsia" w:ascii="仿宋" w:hAnsi="仿宋" w:eastAsia="仿宋" w:cs="仿宋"/>
          <w:color w:val="auto"/>
          <w:kern w:val="0"/>
          <w:sz w:val="32"/>
          <w:szCs w:val="32"/>
          <w:highlight w:val="none"/>
          <w:lang w:val="en-US" w:eastAsia="zh-CN"/>
        </w:rPr>
        <w:t>一</w:t>
      </w:r>
      <w:r>
        <w:rPr>
          <w:rFonts w:hint="eastAsia" w:ascii="仿宋" w:hAnsi="仿宋" w:eastAsia="仿宋" w:cs="仿宋"/>
          <w:color w:val="auto"/>
          <w:kern w:val="0"/>
          <w:sz w:val="32"/>
          <w:szCs w:val="32"/>
          <w:highlight w:val="none"/>
        </w:rPr>
        <w:t>份，电子版</w:t>
      </w:r>
      <w:r>
        <w:rPr>
          <w:rFonts w:hint="eastAsia" w:ascii="仿宋" w:hAnsi="仿宋" w:eastAsia="仿宋" w:cs="仿宋"/>
          <w:color w:val="auto"/>
          <w:kern w:val="0"/>
          <w:sz w:val="32"/>
          <w:szCs w:val="32"/>
          <w:highlight w:val="none"/>
          <w:lang w:val="en-US" w:eastAsia="zh-CN"/>
        </w:rPr>
        <w:t>一</w:t>
      </w:r>
      <w:r>
        <w:rPr>
          <w:rFonts w:hint="eastAsia" w:ascii="仿宋" w:hAnsi="仿宋" w:eastAsia="仿宋" w:cs="仿宋"/>
          <w:color w:val="auto"/>
          <w:kern w:val="0"/>
          <w:sz w:val="32"/>
          <w:szCs w:val="32"/>
          <w:highlight w:val="none"/>
        </w:rPr>
        <w:t>份（U盘介质）提交到招标人处，在此时点之后送达的投标文件恕不接受。</w:t>
      </w:r>
    </w:p>
    <w:p w14:paraId="5EC40F26">
      <w:pPr>
        <w:spacing w:line="500" w:lineRule="exact"/>
        <w:ind w:firstLine="640" w:firstLineChars="200"/>
        <w:rPr>
          <w:rFonts w:ascii="仿宋" w:hAnsi="仿宋" w:eastAsia="仿宋" w:cs="仿宋"/>
          <w:color w:val="auto"/>
          <w:kern w:val="0"/>
          <w:sz w:val="32"/>
          <w:szCs w:val="32"/>
          <w:highlight w:val="none"/>
        </w:rPr>
      </w:pPr>
    </w:p>
    <w:p w14:paraId="58C22B75">
      <w:pPr>
        <w:spacing w:line="500" w:lineRule="exact"/>
        <w:ind w:firstLine="640" w:firstLineChars="200"/>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rPr>
        <w:t>招标人：</w:t>
      </w:r>
      <w:r>
        <w:rPr>
          <w:rFonts w:hint="eastAsia" w:ascii="仿宋" w:hAnsi="仿宋" w:eastAsia="仿宋" w:cs="仿宋"/>
          <w:color w:val="auto"/>
          <w:kern w:val="0"/>
          <w:sz w:val="32"/>
          <w:szCs w:val="32"/>
          <w:highlight w:val="none"/>
          <w:lang w:val="en-US" w:eastAsia="zh-CN"/>
        </w:rPr>
        <w:t>厦门国贸物业服务有限公司</w:t>
      </w:r>
    </w:p>
    <w:p w14:paraId="4BE440E1">
      <w:pPr>
        <w:spacing w:line="5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联系地址：厦门市思明区体育路41号顺承大厦6楼</w:t>
      </w:r>
    </w:p>
    <w:p w14:paraId="773C4210">
      <w:pPr>
        <w:spacing w:line="500" w:lineRule="exact"/>
        <w:ind w:firstLine="640" w:firstLineChars="200"/>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rPr>
        <w:t>联系人：</w:t>
      </w:r>
      <w:r>
        <w:rPr>
          <w:rFonts w:hint="eastAsia" w:ascii="仿宋" w:hAnsi="仿宋" w:eastAsia="仿宋" w:cs="仿宋"/>
          <w:color w:val="auto"/>
          <w:kern w:val="0"/>
          <w:sz w:val="32"/>
          <w:szCs w:val="32"/>
          <w:highlight w:val="none"/>
          <w:lang w:val="en-US" w:eastAsia="zh-CN"/>
        </w:rPr>
        <w:t>林女士</w:t>
      </w:r>
    </w:p>
    <w:p w14:paraId="1C92EEE1">
      <w:pPr>
        <w:spacing w:line="500" w:lineRule="exact"/>
        <w:ind w:firstLine="640" w:firstLineChars="200"/>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rPr>
        <w:t>联系电话：0592-2990</w:t>
      </w:r>
      <w:r>
        <w:rPr>
          <w:rFonts w:hint="eastAsia" w:ascii="仿宋" w:hAnsi="仿宋" w:eastAsia="仿宋" w:cs="仿宋"/>
          <w:color w:val="auto"/>
          <w:kern w:val="0"/>
          <w:sz w:val="32"/>
          <w:szCs w:val="32"/>
          <w:highlight w:val="none"/>
          <w:lang w:val="en-US" w:eastAsia="zh-CN"/>
        </w:rPr>
        <w:t>161</w:t>
      </w:r>
    </w:p>
    <w:p w14:paraId="0547DFEE">
      <w:pPr>
        <w:spacing w:line="500" w:lineRule="exact"/>
        <w:ind w:firstLine="640" w:firstLineChars="200"/>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rPr>
        <w:t>账户名称：</w:t>
      </w:r>
      <w:r>
        <w:rPr>
          <w:rFonts w:hint="eastAsia" w:ascii="仿宋" w:hAnsi="仿宋" w:eastAsia="仿宋" w:cs="仿宋"/>
          <w:color w:val="auto"/>
          <w:kern w:val="0"/>
          <w:sz w:val="32"/>
          <w:szCs w:val="32"/>
          <w:highlight w:val="none"/>
          <w:lang w:val="en-US" w:eastAsia="zh-CN"/>
        </w:rPr>
        <w:t>厦门国贸物业服务有限公司</w:t>
      </w:r>
    </w:p>
    <w:p w14:paraId="483A2E40">
      <w:pPr>
        <w:spacing w:line="5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账</w:t>
      </w:r>
      <w:r>
        <w:rPr>
          <w:rFonts w:hint="eastAsia" w:ascii="仿宋" w:hAnsi="仿宋" w:eastAsia="仿宋" w:cs="仿宋"/>
          <w:color w:val="auto"/>
          <w:kern w:val="0"/>
          <w:sz w:val="32"/>
          <w:szCs w:val="32"/>
          <w:highlight w:val="none"/>
        </w:rPr>
        <w:t xml:space="preserve">    号：35150198030100002962</w:t>
      </w:r>
    </w:p>
    <w:p w14:paraId="1FA70164">
      <w:pPr>
        <w:spacing w:line="5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开户银行：中国建设银行股份有限公司厦门湖滨支行</w:t>
      </w:r>
    </w:p>
    <w:p w14:paraId="422DDFD3">
      <w:pPr>
        <w:spacing w:line="500" w:lineRule="exact"/>
        <w:ind w:right="920"/>
        <w:rPr>
          <w:rFonts w:ascii="仿宋" w:hAnsi="仿宋" w:eastAsia="仿宋" w:cs="仿宋"/>
          <w:color w:val="auto"/>
          <w:kern w:val="0"/>
          <w:sz w:val="32"/>
          <w:szCs w:val="32"/>
          <w:highlight w:val="none"/>
        </w:rPr>
      </w:pPr>
    </w:p>
    <w:p w14:paraId="3DE4F516">
      <w:pPr>
        <w:spacing w:line="500" w:lineRule="exact"/>
        <w:ind w:right="280" w:firstLine="640" w:firstLineChars="200"/>
        <w:jc w:val="right"/>
        <w:rPr>
          <w:rFonts w:hint="eastAsia" w:ascii="仿宋" w:hAnsi="仿宋" w:eastAsia="仿宋" w:cs="仿宋"/>
          <w:color w:val="auto"/>
          <w:kern w:val="0"/>
          <w:sz w:val="32"/>
          <w:szCs w:val="32"/>
          <w:highlight w:val="none"/>
          <w:lang w:val="en-US" w:eastAsia="zh-CN"/>
        </w:rPr>
      </w:pPr>
    </w:p>
    <w:p w14:paraId="183E5769">
      <w:pPr>
        <w:spacing w:line="500" w:lineRule="exact"/>
        <w:ind w:right="280" w:firstLine="640" w:firstLineChars="200"/>
        <w:jc w:val="right"/>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 xml:space="preserve"> 厦门国贸物业服务有限公司</w:t>
      </w:r>
    </w:p>
    <w:p w14:paraId="4C44D18E">
      <w:pPr>
        <w:spacing w:line="500" w:lineRule="exact"/>
        <w:ind w:right="280" w:firstLine="640" w:firstLineChars="200"/>
        <w:jc w:val="right"/>
        <w:rPr>
          <w:rFonts w:ascii="仿宋" w:hAnsi="仿宋" w:eastAsia="仿宋" w:cs="仿宋"/>
          <w:color w:val="auto"/>
          <w:kern w:val="0"/>
          <w:sz w:val="32"/>
          <w:szCs w:val="32"/>
          <w:highlight w:val="none"/>
        </w:rPr>
      </w:pPr>
      <w:bookmarkStart w:id="579" w:name="_GoBack"/>
      <w:bookmarkEnd w:id="579"/>
      <w:r>
        <w:rPr>
          <w:rFonts w:hint="eastAsia" w:ascii="仿宋" w:hAnsi="仿宋" w:eastAsia="仿宋" w:cs="仿宋"/>
          <w:color w:val="auto"/>
          <w:kern w:val="0"/>
          <w:sz w:val="32"/>
          <w:szCs w:val="32"/>
          <w:highlight w:val="none"/>
          <w:lang w:val="en-US" w:eastAsia="zh-CN"/>
        </w:rPr>
        <w:t>2026</w:t>
      </w:r>
      <w:r>
        <w:rPr>
          <w:rFonts w:ascii="仿宋" w:hAnsi="仿宋" w:eastAsia="仿宋" w:cs="仿宋"/>
          <w:color w:val="auto"/>
          <w:kern w:val="0"/>
          <w:sz w:val="32"/>
          <w:szCs w:val="32"/>
          <w:highlight w:val="none"/>
        </w:rPr>
        <w:t>年</w:t>
      </w:r>
      <w:r>
        <w:rPr>
          <w:rFonts w:hint="eastAsia" w:ascii="仿宋" w:hAnsi="仿宋" w:eastAsia="仿宋" w:cs="仿宋"/>
          <w:color w:val="auto"/>
          <w:kern w:val="0"/>
          <w:sz w:val="32"/>
          <w:szCs w:val="32"/>
          <w:highlight w:val="none"/>
          <w:lang w:val="en-US" w:eastAsia="zh-CN"/>
        </w:rPr>
        <w:t>2</w:t>
      </w:r>
      <w:r>
        <w:rPr>
          <w:rFonts w:hint="eastAsia" w:ascii="仿宋" w:hAnsi="仿宋" w:eastAsia="仿宋" w:cs="仿宋"/>
          <w:color w:val="auto"/>
          <w:kern w:val="0"/>
          <w:sz w:val="32"/>
          <w:szCs w:val="32"/>
          <w:highlight w:val="none"/>
        </w:rPr>
        <w:t>月</w:t>
      </w:r>
      <w:r>
        <w:rPr>
          <w:rFonts w:hint="eastAsia" w:ascii="仿宋" w:hAnsi="仿宋" w:eastAsia="仿宋" w:cs="仿宋"/>
          <w:color w:val="auto"/>
          <w:kern w:val="0"/>
          <w:sz w:val="32"/>
          <w:szCs w:val="32"/>
          <w:highlight w:val="none"/>
          <w:lang w:val="en-US" w:eastAsia="zh-CN"/>
        </w:rPr>
        <w:t>3</w:t>
      </w:r>
      <w:r>
        <w:rPr>
          <w:rFonts w:hint="eastAsia" w:ascii="仿宋" w:hAnsi="仿宋" w:eastAsia="仿宋" w:cs="仿宋"/>
          <w:color w:val="auto"/>
          <w:kern w:val="0"/>
          <w:sz w:val="32"/>
          <w:szCs w:val="32"/>
          <w:highlight w:val="none"/>
        </w:rPr>
        <w:t>日</w:t>
      </w:r>
    </w:p>
    <w:p w14:paraId="4224EC04">
      <w:pPr>
        <w:rPr>
          <w:color w:val="auto"/>
        </w:rPr>
      </w:pPr>
    </w:p>
    <w:p w14:paraId="21C656C8">
      <w:pPr>
        <w:rPr>
          <w:color w:val="auto"/>
        </w:rPr>
      </w:pPr>
    </w:p>
    <w:p w14:paraId="61BF2F89">
      <w:pPr>
        <w:rPr>
          <w:color w:val="auto"/>
        </w:rPr>
      </w:pPr>
    </w:p>
    <w:p w14:paraId="0548B91C">
      <w:pPr>
        <w:rPr>
          <w:color w:val="auto"/>
        </w:rPr>
      </w:pPr>
    </w:p>
    <w:p w14:paraId="12E6CE2E">
      <w:pPr>
        <w:rPr>
          <w:color w:val="auto"/>
        </w:rPr>
      </w:pPr>
    </w:p>
    <w:p w14:paraId="54898FD3">
      <w:pPr>
        <w:rPr>
          <w:color w:val="auto"/>
        </w:rPr>
      </w:pPr>
    </w:p>
    <w:p w14:paraId="505CB096">
      <w:pPr>
        <w:rPr>
          <w:color w:val="auto"/>
        </w:rPr>
      </w:pPr>
    </w:p>
    <w:p w14:paraId="3517CB79">
      <w:pPr>
        <w:rPr>
          <w:color w:val="auto"/>
        </w:rPr>
      </w:pPr>
    </w:p>
    <w:p w14:paraId="18F10309">
      <w:pPr>
        <w:rPr>
          <w:color w:val="auto"/>
        </w:rPr>
      </w:pPr>
    </w:p>
    <w:p w14:paraId="77B526F0">
      <w:pPr>
        <w:rPr>
          <w:rFonts w:ascii="仿宋" w:hAnsi="仿宋" w:eastAsia="仿宋"/>
          <w:color w:val="auto"/>
          <w:highlight w:val="none"/>
        </w:rPr>
      </w:pPr>
    </w:p>
    <w:p w14:paraId="20C11DA6">
      <w:pPr>
        <w:rPr>
          <w:color w:val="auto"/>
          <w:highlight w:val="none"/>
        </w:rPr>
      </w:pPr>
    </w:p>
    <w:p w14:paraId="1E38851A">
      <w:pPr>
        <w:rPr>
          <w:color w:val="auto"/>
          <w:highlight w:val="none"/>
        </w:rPr>
      </w:pPr>
    </w:p>
    <w:p w14:paraId="320065D1">
      <w:pPr>
        <w:rPr>
          <w:color w:val="auto"/>
          <w:highlight w:val="none"/>
        </w:rPr>
      </w:pPr>
    </w:p>
    <w:p w14:paraId="6877909C">
      <w:pPr>
        <w:pStyle w:val="3"/>
        <w:keepNext w:val="0"/>
        <w:keepLines w:val="0"/>
        <w:tabs>
          <w:tab w:val="center" w:pos="4535"/>
        </w:tabs>
        <w:spacing w:before="0" w:after="0" w:line="360" w:lineRule="auto"/>
        <w:jc w:val="left"/>
        <w:rPr>
          <w:rFonts w:ascii="仿宋" w:hAnsi="仿宋" w:eastAsia="仿宋"/>
          <w:color w:val="auto"/>
          <w:highlight w:val="none"/>
        </w:rPr>
      </w:pPr>
      <w:bookmarkStart w:id="23" w:name="_Toc25288"/>
      <w:bookmarkStart w:id="24" w:name="_Toc6904"/>
      <w:bookmarkStart w:id="25" w:name="_Toc27365"/>
      <w:bookmarkStart w:id="26" w:name="_Toc29799"/>
      <w:bookmarkStart w:id="27" w:name="_Toc82"/>
      <w:bookmarkStart w:id="28" w:name="_Toc20341"/>
      <w:bookmarkStart w:id="29" w:name="_Toc14649"/>
      <w:bookmarkStart w:id="30" w:name="_Toc12140"/>
      <w:bookmarkStart w:id="31" w:name="_Toc20117"/>
      <w:bookmarkStart w:id="32" w:name="_Toc19445"/>
      <w:bookmarkStart w:id="33" w:name="_Toc26149"/>
      <w:bookmarkStart w:id="34" w:name="_Toc25340"/>
      <w:bookmarkStart w:id="35" w:name="_Toc8211"/>
      <w:bookmarkStart w:id="36" w:name="_Toc19253"/>
      <w:r>
        <w:rPr>
          <w:rFonts w:hint="eastAsia" w:ascii="仿宋" w:hAnsi="仿宋" w:eastAsia="仿宋"/>
          <w:color w:val="auto"/>
          <w:highlight w:val="none"/>
        </w:rPr>
        <w:t>附：招标项目一览表</w:t>
      </w:r>
      <w:bookmarkEnd w:id="23"/>
      <w:bookmarkEnd w:id="24"/>
      <w:bookmarkEnd w:id="25"/>
      <w:bookmarkEnd w:id="26"/>
      <w:bookmarkEnd w:id="27"/>
      <w:bookmarkEnd w:id="28"/>
      <w:bookmarkEnd w:id="29"/>
      <w:bookmarkEnd w:id="30"/>
      <w:bookmarkEnd w:id="31"/>
      <w:bookmarkEnd w:id="32"/>
      <w:bookmarkEnd w:id="33"/>
      <w:bookmarkEnd w:id="34"/>
      <w:bookmarkEnd w:id="35"/>
      <w:bookmarkEnd w:id="36"/>
    </w:p>
    <w:tbl>
      <w:tblPr>
        <w:tblStyle w:val="17"/>
        <w:tblW w:w="9307" w:type="dxa"/>
        <w:tblInd w:w="38"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1096"/>
        <w:gridCol w:w="2208"/>
        <w:gridCol w:w="1660"/>
        <w:gridCol w:w="1521"/>
        <w:gridCol w:w="1185"/>
        <w:gridCol w:w="1637"/>
      </w:tblGrid>
      <w:tr w14:paraId="590D5045">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cantSplit/>
          <w:trHeight w:val="639" w:hRule="atLeast"/>
        </w:trPr>
        <w:tc>
          <w:tcPr>
            <w:tcW w:w="1096" w:type="dxa"/>
            <w:vAlign w:val="center"/>
          </w:tcPr>
          <w:p w14:paraId="50167BBC">
            <w:pPr>
              <w:keepNext w:val="0"/>
              <w:keepLines w:val="0"/>
              <w:widowControl/>
              <w:suppressLineNumbers w:val="0"/>
              <w:spacing w:before="100" w:beforeAutospacing="1" w:after="100" w:afterAutospacing="1"/>
              <w:ind w:left="0" w:right="0"/>
              <w:jc w:val="center"/>
              <w:rPr>
                <w:rFonts w:hint="default" w:ascii="宋体" w:hAnsi="宋体" w:cs="宋体"/>
                <w:b/>
                <w:color w:val="auto"/>
                <w:kern w:val="0"/>
                <w:sz w:val="24"/>
                <w:highlight w:val="none"/>
              </w:rPr>
            </w:pPr>
            <w:r>
              <w:rPr>
                <w:rFonts w:hint="eastAsia" w:ascii="宋体" w:hAnsi="宋体" w:cs="宋体"/>
                <w:b/>
                <w:color w:val="auto"/>
                <w:kern w:val="0"/>
                <w:sz w:val="24"/>
                <w:highlight w:val="none"/>
              </w:rPr>
              <w:t>序号</w:t>
            </w:r>
          </w:p>
        </w:tc>
        <w:tc>
          <w:tcPr>
            <w:tcW w:w="2208" w:type="dxa"/>
            <w:vAlign w:val="center"/>
          </w:tcPr>
          <w:p w14:paraId="546343C3">
            <w:pPr>
              <w:keepNext w:val="0"/>
              <w:keepLines w:val="0"/>
              <w:widowControl/>
              <w:suppressLineNumbers w:val="0"/>
              <w:spacing w:before="100" w:beforeAutospacing="1" w:after="100" w:afterAutospacing="1"/>
              <w:ind w:left="0" w:right="0"/>
              <w:jc w:val="center"/>
              <w:rPr>
                <w:rFonts w:hint="default" w:ascii="宋体" w:hAnsi="宋体" w:cs="宋体"/>
                <w:b/>
                <w:color w:val="auto"/>
                <w:kern w:val="0"/>
                <w:sz w:val="24"/>
                <w:highlight w:val="none"/>
              </w:rPr>
            </w:pPr>
            <w:r>
              <w:rPr>
                <w:rFonts w:hint="eastAsia" w:ascii="宋体" w:hAnsi="宋体" w:cs="宋体"/>
                <w:b/>
                <w:color w:val="auto"/>
                <w:kern w:val="0"/>
                <w:sz w:val="24"/>
                <w:highlight w:val="none"/>
              </w:rPr>
              <w:t>招标服务名称</w:t>
            </w:r>
          </w:p>
        </w:tc>
        <w:tc>
          <w:tcPr>
            <w:tcW w:w="1660" w:type="dxa"/>
            <w:vAlign w:val="center"/>
          </w:tcPr>
          <w:p w14:paraId="260B87D7">
            <w:pPr>
              <w:keepNext w:val="0"/>
              <w:keepLines w:val="0"/>
              <w:widowControl/>
              <w:suppressLineNumbers w:val="0"/>
              <w:spacing w:before="100" w:beforeAutospacing="1" w:after="100" w:afterAutospacing="1"/>
              <w:ind w:left="0" w:right="0"/>
              <w:jc w:val="center"/>
              <w:rPr>
                <w:rFonts w:hint="default" w:ascii="宋体" w:hAnsi="宋体" w:cs="宋体"/>
                <w:b/>
                <w:color w:val="auto"/>
                <w:kern w:val="0"/>
                <w:sz w:val="24"/>
                <w:highlight w:val="none"/>
              </w:rPr>
            </w:pPr>
            <w:r>
              <w:rPr>
                <w:rFonts w:hint="eastAsia" w:ascii="宋体" w:hAnsi="宋体" w:cs="宋体"/>
                <w:b/>
                <w:color w:val="auto"/>
                <w:kern w:val="0"/>
                <w:sz w:val="24"/>
                <w:highlight w:val="none"/>
              </w:rPr>
              <w:t>招标内容及要求</w:t>
            </w:r>
          </w:p>
        </w:tc>
        <w:tc>
          <w:tcPr>
            <w:tcW w:w="1521" w:type="dxa"/>
            <w:vAlign w:val="center"/>
          </w:tcPr>
          <w:p w14:paraId="08F164A1">
            <w:pPr>
              <w:keepNext w:val="0"/>
              <w:keepLines w:val="0"/>
              <w:widowControl/>
              <w:suppressLineNumbers w:val="0"/>
              <w:spacing w:before="100" w:beforeAutospacing="1" w:after="100" w:afterAutospacing="1"/>
              <w:ind w:left="0" w:right="0"/>
              <w:jc w:val="center"/>
              <w:rPr>
                <w:rFonts w:hint="default" w:ascii="宋体" w:hAnsi="宋体" w:cs="宋体"/>
                <w:b/>
                <w:color w:val="auto"/>
                <w:kern w:val="0"/>
                <w:sz w:val="24"/>
                <w:highlight w:val="none"/>
              </w:rPr>
            </w:pPr>
            <w:r>
              <w:rPr>
                <w:rFonts w:hint="eastAsia" w:ascii="宋体" w:hAnsi="宋体" w:cs="宋体"/>
                <w:b/>
                <w:color w:val="auto"/>
                <w:kern w:val="0"/>
                <w:sz w:val="24"/>
                <w:highlight w:val="none"/>
              </w:rPr>
              <w:t>服务地点</w:t>
            </w:r>
          </w:p>
        </w:tc>
        <w:tc>
          <w:tcPr>
            <w:tcW w:w="1185" w:type="dxa"/>
            <w:vAlign w:val="center"/>
          </w:tcPr>
          <w:p w14:paraId="3082C294">
            <w:pPr>
              <w:keepNext w:val="0"/>
              <w:keepLines w:val="0"/>
              <w:widowControl/>
              <w:suppressLineNumbers w:val="0"/>
              <w:spacing w:before="100" w:beforeAutospacing="1" w:after="100" w:afterAutospacing="1"/>
              <w:ind w:left="0" w:right="0"/>
              <w:jc w:val="center"/>
              <w:rPr>
                <w:rFonts w:hint="default" w:ascii="宋体" w:hAnsi="宋体" w:cs="宋体"/>
                <w:b/>
                <w:color w:val="auto"/>
                <w:kern w:val="0"/>
                <w:sz w:val="24"/>
                <w:highlight w:val="none"/>
              </w:rPr>
            </w:pPr>
            <w:r>
              <w:rPr>
                <w:rFonts w:hint="eastAsia" w:ascii="宋体" w:hAnsi="宋体" w:cs="宋体"/>
                <w:b/>
                <w:color w:val="auto"/>
                <w:kern w:val="0"/>
                <w:sz w:val="24"/>
                <w:highlight w:val="none"/>
              </w:rPr>
              <w:t>服务期</w:t>
            </w:r>
          </w:p>
        </w:tc>
        <w:tc>
          <w:tcPr>
            <w:tcW w:w="1637" w:type="dxa"/>
            <w:vAlign w:val="center"/>
          </w:tcPr>
          <w:p w14:paraId="5C832ABF">
            <w:pPr>
              <w:keepNext w:val="0"/>
              <w:keepLines w:val="0"/>
              <w:widowControl/>
              <w:suppressLineNumbers w:val="0"/>
              <w:spacing w:before="100" w:beforeAutospacing="1" w:after="100" w:afterAutospacing="1"/>
              <w:ind w:left="0" w:right="0"/>
              <w:jc w:val="center"/>
              <w:rPr>
                <w:rFonts w:hint="default" w:ascii="宋体" w:hAnsi="宋体" w:cs="宋体"/>
                <w:b/>
                <w:color w:val="auto"/>
                <w:kern w:val="0"/>
                <w:sz w:val="24"/>
                <w:highlight w:val="none"/>
              </w:rPr>
            </w:pPr>
            <w:r>
              <w:rPr>
                <w:rFonts w:hint="eastAsia" w:ascii="仿宋" w:hAnsi="仿宋" w:eastAsia="仿宋"/>
                <w:color w:val="auto"/>
                <w:sz w:val="28"/>
                <w:szCs w:val="28"/>
                <w:highlight w:val="none"/>
              </w:rPr>
              <w:t>★</w:t>
            </w:r>
            <w:r>
              <w:rPr>
                <w:rFonts w:hint="eastAsia" w:ascii="宋体" w:hAnsi="宋体" w:cs="宋体"/>
                <w:b/>
                <w:color w:val="auto"/>
                <w:kern w:val="0"/>
                <w:sz w:val="24"/>
                <w:highlight w:val="none"/>
              </w:rPr>
              <w:t>最高控制价</w:t>
            </w:r>
          </w:p>
        </w:tc>
      </w:tr>
      <w:tr w14:paraId="11A7077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cantSplit/>
          <w:trHeight w:val="1210" w:hRule="atLeast"/>
        </w:trPr>
        <w:tc>
          <w:tcPr>
            <w:tcW w:w="1096" w:type="dxa"/>
            <w:vAlign w:val="center"/>
          </w:tcPr>
          <w:p w14:paraId="52DD351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一</w:t>
            </w:r>
          </w:p>
        </w:tc>
        <w:tc>
          <w:tcPr>
            <w:tcW w:w="2208" w:type="dxa"/>
            <w:vAlign w:val="center"/>
          </w:tcPr>
          <w:p w14:paraId="09ABE6B2">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成都海上蓉屿项目第三方模拟验收服务（第二次）</w:t>
            </w:r>
          </w:p>
        </w:tc>
        <w:tc>
          <w:tcPr>
            <w:tcW w:w="1660" w:type="dxa"/>
            <w:vAlign w:val="center"/>
          </w:tcPr>
          <w:p w14:paraId="3FCD818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详见第三章</w:t>
            </w:r>
          </w:p>
        </w:tc>
        <w:tc>
          <w:tcPr>
            <w:tcW w:w="1521" w:type="dxa"/>
            <w:vAlign w:val="center"/>
          </w:tcPr>
          <w:p w14:paraId="72F8F79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成都海上蓉屿</w:t>
            </w:r>
          </w:p>
        </w:tc>
        <w:tc>
          <w:tcPr>
            <w:tcW w:w="1185" w:type="dxa"/>
            <w:vAlign w:val="center"/>
          </w:tcPr>
          <w:p w14:paraId="07AC352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5个月</w:t>
            </w:r>
          </w:p>
        </w:tc>
        <w:tc>
          <w:tcPr>
            <w:tcW w:w="1637" w:type="dxa"/>
            <w:vAlign w:val="center"/>
          </w:tcPr>
          <w:p w14:paraId="43A741D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u w:val="single"/>
                <w:lang w:val="en-US" w:eastAsia="zh-CN" w:bidi="ar-SA"/>
              </w:rPr>
            </w:pPr>
            <w:r>
              <w:rPr>
                <w:rFonts w:hint="eastAsia" w:ascii="仿宋" w:hAnsi="仿宋" w:eastAsia="仿宋" w:cs="仿宋"/>
                <w:color w:val="auto"/>
                <w:kern w:val="0"/>
                <w:sz w:val="24"/>
                <w:szCs w:val="24"/>
                <w:highlight w:val="none"/>
                <w:u w:val="single"/>
                <w:lang w:val="en-US" w:eastAsia="zh-CN" w:bidi="ar-SA"/>
              </w:rPr>
              <w:t>659960元</w:t>
            </w:r>
          </w:p>
          <w:p w14:paraId="55CC2DD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（含税）</w:t>
            </w:r>
          </w:p>
        </w:tc>
      </w:tr>
    </w:tbl>
    <w:p w14:paraId="29A6AC87">
      <w:pPr>
        <w:rPr>
          <w:color w:val="auto"/>
          <w:highlight w:val="none"/>
        </w:rPr>
      </w:pPr>
    </w:p>
    <w:p w14:paraId="071F3214">
      <w:pPr>
        <w:spacing w:line="500" w:lineRule="exact"/>
        <w:ind w:firstLine="643" w:firstLineChars="200"/>
        <w:rPr>
          <w:rFonts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备注：</w:t>
      </w:r>
    </w:p>
    <w:p w14:paraId="07498CD6">
      <w:pPr>
        <w:pStyle w:val="9"/>
        <w:numPr>
          <w:ilvl w:val="0"/>
          <w:numId w:val="1"/>
        </w:numPr>
        <w:spacing w:line="360" w:lineRule="auto"/>
        <w:ind w:firstLine="643" w:firstLineChars="200"/>
        <w:rPr>
          <w:rFonts w:ascii="仿宋" w:hAnsi="仿宋" w:eastAsia="仿宋" w:cs="仿宋"/>
          <w:color w:val="auto"/>
          <w:kern w:val="0"/>
          <w:sz w:val="32"/>
          <w:szCs w:val="32"/>
          <w:highlight w:val="none"/>
        </w:rPr>
      </w:pPr>
      <w:r>
        <w:rPr>
          <w:rFonts w:hint="eastAsia" w:ascii="仿宋" w:hAnsi="仿宋" w:eastAsia="仿宋" w:cs="仿宋"/>
          <w:b/>
          <w:bCs/>
          <w:color w:val="auto"/>
          <w:kern w:val="0"/>
          <w:sz w:val="32"/>
          <w:szCs w:val="32"/>
          <w:highlight w:val="none"/>
        </w:rPr>
        <w:t>服务期</w:t>
      </w:r>
      <w:r>
        <w:rPr>
          <w:rFonts w:hint="eastAsia" w:ascii="仿宋" w:hAnsi="仿宋" w:eastAsia="仿宋" w:cs="仿宋"/>
          <w:color w:val="auto"/>
          <w:kern w:val="0"/>
          <w:sz w:val="32"/>
          <w:szCs w:val="32"/>
          <w:highlight w:val="none"/>
        </w:rPr>
        <w:t>：</w:t>
      </w:r>
      <w:r>
        <w:rPr>
          <w:rFonts w:hint="eastAsia" w:ascii="仿宋" w:hAnsi="仿宋" w:eastAsia="仿宋" w:cs="仿宋"/>
          <w:b/>
          <w:bCs/>
          <w:color w:val="auto"/>
          <w:kern w:val="0"/>
          <w:sz w:val="32"/>
          <w:szCs w:val="32"/>
          <w:highlight w:val="none"/>
          <w:u w:val="single"/>
          <w:lang w:val="en-US" w:eastAsia="zh-CN"/>
        </w:rPr>
        <w:t>5个月，</w:t>
      </w:r>
      <w:r>
        <w:rPr>
          <w:rFonts w:hint="eastAsia" w:ascii="仿宋" w:hAnsi="仿宋" w:eastAsia="仿宋" w:cs="仿宋"/>
          <w:b/>
          <w:bCs/>
          <w:color w:val="auto"/>
          <w:kern w:val="0"/>
          <w:sz w:val="32"/>
          <w:szCs w:val="32"/>
          <w:highlight w:val="none"/>
          <w:u w:val="single"/>
          <w:lang w:val="en-US" w:eastAsia="zh-CN" w:bidi="ar-SA"/>
        </w:rPr>
        <w:t>服务期限暂定为2026年3月1日至2026年7月31日</w:t>
      </w:r>
      <w:r>
        <w:rPr>
          <w:rFonts w:hint="eastAsia" w:ascii="仿宋" w:hAnsi="仿宋" w:eastAsia="仿宋" w:cs="仿宋"/>
          <w:color w:val="auto"/>
          <w:kern w:val="0"/>
          <w:sz w:val="32"/>
          <w:szCs w:val="32"/>
          <w:highlight w:val="none"/>
          <w:lang w:val="en-US" w:eastAsia="zh-CN" w:bidi="ar-SA"/>
        </w:rPr>
        <w:t>（具体开始时间以甲方书面通知为准）。</w:t>
      </w:r>
    </w:p>
    <w:p w14:paraId="1F56ADF4">
      <w:pPr>
        <w:spacing w:line="5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2、投标人的投标报价不得超过本项目的控制价，否则将被视为无效投标响应。</w:t>
      </w:r>
    </w:p>
    <w:p w14:paraId="42BEAB38">
      <w:pPr>
        <w:spacing w:line="500" w:lineRule="exact"/>
        <w:ind w:firstLine="643" w:firstLineChars="200"/>
        <w:rPr>
          <w:rFonts w:hint="eastAsia" w:ascii="仿宋" w:hAnsi="仿宋" w:eastAsia="仿宋" w:cs="仿宋"/>
          <w:color w:val="auto"/>
          <w:kern w:val="0"/>
          <w:sz w:val="32"/>
          <w:szCs w:val="32"/>
          <w:highlight w:val="none"/>
        </w:rPr>
      </w:pPr>
      <w:r>
        <w:rPr>
          <w:rFonts w:hint="eastAsia" w:ascii="仿宋" w:hAnsi="仿宋" w:eastAsia="仿宋"/>
          <w:b/>
          <w:bCs/>
          <w:color w:val="auto"/>
          <w:sz w:val="32"/>
          <w:szCs w:val="32"/>
          <w:highlight w:val="none"/>
          <w:lang w:val="en-US" w:eastAsia="zh-CN"/>
        </w:rPr>
        <w:t>3、</w:t>
      </w:r>
      <w:r>
        <w:rPr>
          <w:rFonts w:hint="eastAsia" w:ascii="仿宋" w:hAnsi="仿宋" w:eastAsia="仿宋"/>
          <w:b/>
          <w:bCs/>
          <w:color w:val="auto"/>
          <w:sz w:val="32"/>
          <w:szCs w:val="32"/>
          <w:highlight w:val="none"/>
        </w:rPr>
        <w:t>投标文件的正本一份，副本一份，电子版</w:t>
      </w:r>
      <w:r>
        <w:rPr>
          <w:rFonts w:hint="eastAsia" w:ascii="仿宋" w:hAnsi="仿宋" w:eastAsia="仿宋"/>
          <w:b/>
          <w:bCs/>
          <w:color w:val="auto"/>
          <w:sz w:val="32"/>
          <w:szCs w:val="32"/>
          <w:highlight w:val="none"/>
          <w:lang w:val="en-US" w:eastAsia="zh-CN"/>
        </w:rPr>
        <w:t>一份</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rPr>
        <w:t>U盘</w:t>
      </w:r>
      <w:r>
        <w:rPr>
          <w:rFonts w:hint="eastAsia" w:ascii="仿宋" w:hAnsi="仿宋" w:eastAsia="仿宋"/>
          <w:b/>
          <w:bCs/>
          <w:color w:val="auto"/>
          <w:sz w:val="32"/>
          <w:szCs w:val="32"/>
          <w:highlight w:val="none"/>
          <w:lang w:val="en-US" w:eastAsia="zh-CN"/>
        </w:rPr>
        <w:t>介质）</w:t>
      </w:r>
      <w:r>
        <w:rPr>
          <w:rFonts w:hint="eastAsia" w:ascii="仿宋" w:hAnsi="仿宋" w:eastAsia="仿宋"/>
          <w:b/>
          <w:bCs/>
          <w:color w:val="auto"/>
          <w:sz w:val="32"/>
          <w:szCs w:val="32"/>
          <w:highlight w:val="none"/>
          <w:lang w:eastAsia="zh-CN"/>
        </w:rPr>
        <w:t>，</w:t>
      </w:r>
      <w:r>
        <w:rPr>
          <w:rFonts w:hint="eastAsia" w:ascii="仿宋" w:hAnsi="仿宋" w:eastAsia="仿宋" w:cs="仿宋"/>
          <w:b/>
          <w:bCs/>
          <w:color w:val="auto"/>
          <w:kern w:val="0"/>
          <w:sz w:val="32"/>
          <w:szCs w:val="32"/>
          <w:highlight w:val="none"/>
        </w:rPr>
        <w:t>密封提交</w:t>
      </w:r>
      <w:r>
        <w:rPr>
          <w:rFonts w:hint="eastAsia" w:ascii="仿宋" w:hAnsi="仿宋" w:eastAsia="仿宋"/>
          <w:b/>
          <w:bCs/>
          <w:color w:val="auto"/>
          <w:sz w:val="32"/>
          <w:szCs w:val="32"/>
          <w:highlight w:val="none"/>
          <w:lang w:eastAsia="zh-CN"/>
        </w:rPr>
        <w:t>。</w:t>
      </w:r>
    </w:p>
    <w:p w14:paraId="5F6451D4">
      <w:pPr>
        <w:spacing w:line="360" w:lineRule="auto"/>
        <w:ind w:firstLine="560" w:firstLineChars="200"/>
        <w:rPr>
          <w:rFonts w:ascii="仿宋" w:hAnsi="仿宋" w:eastAsia="仿宋" w:cs="仿宋"/>
          <w:color w:val="auto"/>
          <w:kern w:val="0"/>
          <w:sz w:val="28"/>
          <w:szCs w:val="28"/>
          <w:highlight w:val="none"/>
        </w:rPr>
      </w:pPr>
    </w:p>
    <w:p w14:paraId="3F6E1039">
      <w:pPr>
        <w:spacing w:line="360" w:lineRule="auto"/>
        <w:ind w:firstLine="560" w:firstLineChars="200"/>
        <w:rPr>
          <w:rFonts w:ascii="仿宋" w:hAnsi="仿宋" w:eastAsia="仿宋" w:cs="仿宋"/>
          <w:color w:val="auto"/>
          <w:kern w:val="0"/>
          <w:sz w:val="28"/>
          <w:szCs w:val="28"/>
          <w:highlight w:val="none"/>
        </w:rPr>
      </w:pPr>
    </w:p>
    <w:p w14:paraId="5A0DDA12">
      <w:pPr>
        <w:pStyle w:val="3"/>
        <w:spacing w:after="120" w:afterLines="50"/>
        <w:jc w:val="center"/>
        <w:rPr>
          <w:rFonts w:ascii="仿宋" w:hAnsi="仿宋" w:eastAsia="仿宋" w:cs="仿宋"/>
          <w:b w:val="0"/>
          <w:bCs w:val="0"/>
          <w:color w:val="auto"/>
          <w:kern w:val="0"/>
          <w:szCs w:val="32"/>
          <w:highlight w:val="none"/>
        </w:rPr>
      </w:pPr>
      <w:r>
        <w:rPr>
          <w:rFonts w:ascii="仿宋" w:hAnsi="仿宋" w:eastAsia="仿宋" w:cs="仿宋"/>
          <w:color w:val="auto"/>
          <w:kern w:val="0"/>
          <w:sz w:val="28"/>
          <w:szCs w:val="28"/>
          <w:highlight w:val="none"/>
        </w:rPr>
        <w:br w:type="page"/>
      </w:r>
      <w:bookmarkStart w:id="37" w:name="_Toc14010"/>
      <w:bookmarkStart w:id="38" w:name="_Toc27317"/>
      <w:bookmarkStart w:id="39" w:name="_Toc1261"/>
      <w:bookmarkStart w:id="40" w:name="_Toc23243"/>
      <w:bookmarkStart w:id="41" w:name="_Toc3828"/>
      <w:bookmarkStart w:id="42" w:name="_Toc29383"/>
      <w:bookmarkStart w:id="43" w:name="_Toc1011"/>
      <w:bookmarkStart w:id="44" w:name="_Toc9816"/>
      <w:bookmarkStart w:id="45" w:name="_Toc19840"/>
      <w:bookmarkStart w:id="46" w:name="_Toc19856"/>
      <w:bookmarkStart w:id="47" w:name="_Toc5252"/>
      <w:bookmarkStart w:id="48" w:name="_Toc18824"/>
      <w:bookmarkStart w:id="49" w:name="_Toc5545"/>
      <w:bookmarkStart w:id="50" w:name="_Toc11482"/>
      <w:r>
        <w:rPr>
          <w:rFonts w:hint="eastAsia" w:ascii="仿宋" w:hAnsi="仿宋" w:eastAsia="仿宋" w:cs="仿宋"/>
          <w:color w:val="auto"/>
          <w:kern w:val="0"/>
          <w:szCs w:val="32"/>
          <w:highlight w:val="none"/>
        </w:rPr>
        <w:t>第二章　投标人须知</w:t>
      </w:r>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18F3D535">
      <w:pPr>
        <w:spacing w:line="500" w:lineRule="exact"/>
        <w:ind w:firstLine="643" w:firstLineChars="200"/>
        <w:jc w:val="center"/>
        <w:rPr>
          <w:rFonts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投标人须知前附表</w:t>
      </w:r>
    </w:p>
    <w:p w14:paraId="2C64569D">
      <w:pPr>
        <w:spacing w:line="500" w:lineRule="exact"/>
        <w:ind w:firstLine="640" w:firstLineChars="200"/>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本须知前附表的内容是与《投标人须知》中条款的内容对应的。如有矛盾，应以本须知前附表为准。</w:t>
      </w:r>
    </w:p>
    <w:tbl>
      <w:tblPr>
        <w:tblStyle w:val="17"/>
        <w:tblW w:w="992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071"/>
      </w:tblGrid>
      <w:tr w14:paraId="2531F8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850" w:type="dxa"/>
            <w:vAlign w:val="center"/>
          </w:tcPr>
          <w:p w14:paraId="62D91650">
            <w:pPr>
              <w:keepNext w:val="0"/>
              <w:keepLines w:val="0"/>
              <w:suppressLineNumbers w:val="0"/>
              <w:spacing w:before="0" w:beforeAutospacing="0" w:after="0" w:afterAutospacing="0" w:line="400" w:lineRule="exact"/>
              <w:ind w:left="0" w:right="0"/>
              <w:jc w:val="center"/>
              <w:rPr>
                <w:rFonts w:hint="default" w:ascii="仿宋" w:hAnsi="仿宋" w:eastAsia="仿宋"/>
                <w:color w:val="auto"/>
                <w:sz w:val="28"/>
                <w:szCs w:val="28"/>
                <w:highlight w:val="none"/>
              </w:rPr>
            </w:pPr>
            <w:r>
              <w:rPr>
                <w:rFonts w:hint="eastAsia" w:ascii="仿宋" w:hAnsi="仿宋" w:eastAsia="仿宋"/>
                <w:color w:val="auto"/>
                <w:sz w:val="28"/>
                <w:szCs w:val="28"/>
                <w:highlight w:val="none"/>
              </w:rPr>
              <w:t>项号</w:t>
            </w:r>
          </w:p>
        </w:tc>
        <w:tc>
          <w:tcPr>
            <w:tcW w:w="9071" w:type="dxa"/>
            <w:vAlign w:val="center"/>
          </w:tcPr>
          <w:p w14:paraId="47F8543B">
            <w:pPr>
              <w:keepNext w:val="0"/>
              <w:keepLines w:val="0"/>
              <w:suppressLineNumbers w:val="0"/>
              <w:spacing w:before="0" w:beforeAutospacing="0" w:after="0" w:afterAutospacing="0" w:line="400" w:lineRule="exact"/>
              <w:ind w:left="0" w:right="0"/>
              <w:jc w:val="center"/>
              <w:rPr>
                <w:rFonts w:hint="default"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编列内容</w:t>
            </w:r>
          </w:p>
        </w:tc>
      </w:tr>
      <w:tr w14:paraId="281FD5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2" w:hRule="atLeast"/>
          <w:jc w:val="center"/>
        </w:trPr>
        <w:tc>
          <w:tcPr>
            <w:tcW w:w="850" w:type="dxa"/>
            <w:vAlign w:val="center"/>
          </w:tcPr>
          <w:p w14:paraId="27679A4B">
            <w:pPr>
              <w:keepNext w:val="0"/>
              <w:keepLines w:val="0"/>
              <w:suppressLineNumbers w:val="0"/>
              <w:spacing w:before="0" w:beforeAutospacing="0" w:after="0" w:afterAutospacing="0" w:line="400" w:lineRule="exact"/>
              <w:ind w:left="0" w:right="0"/>
              <w:jc w:val="center"/>
              <w:rPr>
                <w:rFonts w:hint="default" w:ascii="仿宋" w:hAnsi="仿宋" w:eastAsia="仿宋"/>
                <w:color w:val="auto"/>
                <w:sz w:val="28"/>
                <w:szCs w:val="28"/>
                <w:highlight w:val="none"/>
              </w:rPr>
            </w:pPr>
            <w:r>
              <w:rPr>
                <w:rFonts w:hint="default" w:ascii="仿宋" w:hAnsi="仿宋" w:eastAsia="仿宋"/>
                <w:color w:val="auto"/>
                <w:sz w:val="28"/>
                <w:szCs w:val="28"/>
                <w:highlight w:val="none"/>
              </w:rPr>
              <w:t>1</w:t>
            </w:r>
          </w:p>
        </w:tc>
        <w:tc>
          <w:tcPr>
            <w:tcW w:w="9071" w:type="dxa"/>
            <w:vAlign w:val="center"/>
          </w:tcPr>
          <w:p w14:paraId="7E6F323E">
            <w:pPr>
              <w:keepNext w:val="0"/>
              <w:keepLines w:val="0"/>
              <w:suppressLineNumbers w:val="0"/>
              <w:spacing w:before="0" w:beforeAutospacing="0" w:after="0" w:afterAutospacing="0" w:line="400" w:lineRule="exact"/>
              <w:ind w:left="0" w:right="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val="en-US" w:eastAsia="zh-CN"/>
              </w:rPr>
              <w:t>成都海上蓉屿</w:t>
            </w:r>
            <w:r>
              <w:rPr>
                <w:rFonts w:hint="default" w:ascii="仿宋" w:hAnsi="仿宋" w:eastAsia="仿宋"/>
                <w:color w:val="auto"/>
                <w:sz w:val="28"/>
                <w:szCs w:val="28"/>
                <w:highlight w:val="none"/>
                <w:lang w:val="en-US" w:eastAsia="zh-CN"/>
              </w:rPr>
              <w:t>项目第三方模拟验收</w:t>
            </w:r>
            <w:r>
              <w:rPr>
                <w:rFonts w:hint="eastAsia" w:ascii="仿宋" w:hAnsi="仿宋" w:eastAsia="仿宋"/>
                <w:color w:val="auto"/>
                <w:sz w:val="28"/>
                <w:szCs w:val="28"/>
                <w:highlight w:val="none"/>
                <w:lang w:val="en-US" w:eastAsia="zh-CN"/>
              </w:rPr>
              <w:t>服务（第二次）</w:t>
            </w:r>
          </w:p>
          <w:p w14:paraId="344883DC">
            <w:pPr>
              <w:keepNext w:val="0"/>
              <w:keepLines w:val="0"/>
              <w:suppressLineNumbers w:val="0"/>
              <w:spacing w:before="0" w:beforeAutospacing="0" w:after="0" w:afterAutospacing="0" w:line="400" w:lineRule="exact"/>
              <w:ind w:left="0" w:right="0"/>
              <w:rPr>
                <w:rFonts w:hint="default" w:ascii="仿宋" w:hAnsi="仿宋" w:eastAsia="仿宋" w:cs="Times New Roman"/>
                <w:color w:val="auto"/>
                <w:kern w:val="2"/>
                <w:sz w:val="28"/>
                <w:szCs w:val="28"/>
                <w:highlight w:val="none"/>
                <w:lang w:val="en-US" w:eastAsia="zh-CN"/>
              </w:rPr>
            </w:pPr>
            <w:r>
              <w:rPr>
                <w:rFonts w:hint="eastAsia" w:ascii="仿宋" w:hAnsi="仿宋" w:eastAsia="仿宋"/>
                <w:color w:val="auto"/>
                <w:sz w:val="28"/>
                <w:szCs w:val="28"/>
                <w:highlight w:val="none"/>
              </w:rPr>
              <w:t>招标人：</w:t>
            </w:r>
            <w:r>
              <w:rPr>
                <w:rFonts w:hint="eastAsia" w:ascii="仿宋" w:hAnsi="仿宋" w:eastAsia="仿宋" w:cs="Times New Roman"/>
                <w:color w:val="auto"/>
                <w:kern w:val="2"/>
                <w:sz w:val="28"/>
                <w:szCs w:val="28"/>
                <w:highlight w:val="none"/>
                <w:lang w:val="en-US" w:eastAsia="zh-CN"/>
              </w:rPr>
              <w:t>厦门国贸物业服务有限公司</w:t>
            </w:r>
          </w:p>
          <w:p w14:paraId="60BCDDA3">
            <w:pPr>
              <w:keepNext w:val="0"/>
              <w:keepLines w:val="0"/>
              <w:suppressLineNumbers w:val="0"/>
              <w:spacing w:before="0" w:beforeAutospacing="0" w:after="0" w:afterAutospacing="0" w:line="400" w:lineRule="exact"/>
              <w:ind w:left="0" w:right="0"/>
              <w:rPr>
                <w:rFonts w:hint="default" w:ascii="仿宋" w:hAnsi="仿宋" w:eastAsia="仿宋"/>
                <w:color w:val="auto"/>
                <w:sz w:val="28"/>
                <w:szCs w:val="28"/>
                <w:highlight w:val="none"/>
              </w:rPr>
            </w:pPr>
            <w:r>
              <w:rPr>
                <w:rFonts w:hint="eastAsia" w:ascii="仿宋" w:hAnsi="仿宋" w:eastAsia="仿宋"/>
                <w:color w:val="auto"/>
                <w:sz w:val="28"/>
                <w:szCs w:val="28"/>
                <w:highlight w:val="none"/>
              </w:rPr>
              <w:t>项目内容：见“招标项目一览表”</w:t>
            </w:r>
          </w:p>
          <w:p w14:paraId="0D0CCB59">
            <w:pPr>
              <w:keepNext w:val="0"/>
              <w:keepLines w:val="0"/>
              <w:suppressLineNumbers w:val="0"/>
              <w:spacing w:before="0" w:beforeAutospacing="0" w:after="0" w:afterAutospacing="0" w:line="400" w:lineRule="exact"/>
              <w:ind w:left="0" w:right="0"/>
              <w:rPr>
                <w:rFonts w:hint="default"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val="en-US" w:eastAsia="zh-CN"/>
              </w:rPr>
              <w:t>GMWY-2026-03</w:t>
            </w:r>
          </w:p>
        </w:tc>
      </w:tr>
      <w:tr w14:paraId="552646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850" w:type="dxa"/>
            <w:vAlign w:val="center"/>
          </w:tcPr>
          <w:p w14:paraId="5C98263C">
            <w:pPr>
              <w:keepNext w:val="0"/>
              <w:keepLines w:val="0"/>
              <w:suppressLineNumbers w:val="0"/>
              <w:spacing w:before="0" w:beforeAutospacing="0" w:after="0" w:afterAutospacing="0" w:line="400" w:lineRule="exact"/>
              <w:ind w:left="0" w:right="0"/>
              <w:jc w:val="center"/>
              <w:rPr>
                <w:rFonts w:hint="default" w:ascii="仿宋" w:hAnsi="仿宋" w:eastAsia="仿宋"/>
                <w:color w:val="auto"/>
                <w:sz w:val="28"/>
                <w:szCs w:val="28"/>
                <w:highlight w:val="none"/>
              </w:rPr>
            </w:pPr>
            <w:r>
              <w:rPr>
                <w:rFonts w:hint="default" w:ascii="仿宋" w:hAnsi="仿宋" w:eastAsia="仿宋"/>
                <w:color w:val="auto"/>
                <w:sz w:val="28"/>
                <w:szCs w:val="28"/>
                <w:highlight w:val="none"/>
              </w:rPr>
              <w:t>2</w:t>
            </w:r>
          </w:p>
        </w:tc>
        <w:tc>
          <w:tcPr>
            <w:tcW w:w="9071" w:type="dxa"/>
            <w:vAlign w:val="center"/>
          </w:tcPr>
          <w:p w14:paraId="5392A9DB">
            <w:pPr>
              <w:keepNext w:val="0"/>
              <w:keepLines w:val="0"/>
              <w:suppressLineNumbers w:val="0"/>
              <w:tabs>
                <w:tab w:val="left" w:pos="-1260"/>
                <w:tab w:val="left" w:pos="10260"/>
              </w:tabs>
              <w:spacing w:before="0" w:beforeAutospacing="0" w:after="0" w:afterAutospacing="0" w:line="400" w:lineRule="exact"/>
              <w:ind w:left="0" w:right="0"/>
              <w:rPr>
                <w:rFonts w:hint="default" w:ascii="仿宋" w:hAnsi="仿宋" w:eastAsia="仿宋"/>
                <w:color w:val="auto"/>
                <w:spacing w:val="-4"/>
                <w:sz w:val="28"/>
                <w:szCs w:val="28"/>
                <w:highlight w:val="none"/>
              </w:rPr>
            </w:pPr>
            <w:r>
              <w:rPr>
                <w:rFonts w:hint="eastAsia" w:ascii="仿宋" w:hAnsi="仿宋" w:eastAsia="仿宋"/>
                <w:color w:val="auto"/>
                <w:sz w:val="28"/>
                <w:szCs w:val="28"/>
                <w:highlight w:val="none"/>
              </w:rPr>
              <w:t>资格标准：</w:t>
            </w:r>
            <w:r>
              <w:rPr>
                <w:rFonts w:hint="eastAsia" w:ascii="仿宋" w:hAnsi="仿宋" w:eastAsia="仿宋"/>
                <w:color w:val="auto"/>
                <w:spacing w:val="-4"/>
                <w:sz w:val="28"/>
                <w:szCs w:val="28"/>
                <w:highlight w:val="none"/>
              </w:rPr>
              <w:t>详细见</w:t>
            </w:r>
            <w:r>
              <w:rPr>
                <w:rFonts w:hint="eastAsia" w:ascii="仿宋" w:hAnsi="仿宋" w:eastAsia="仿宋" w:cs="Arial"/>
                <w:color w:val="auto"/>
                <w:sz w:val="28"/>
                <w:szCs w:val="28"/>
                <w:highlight w:val="none"/>
              </w:rPr>
              <w:t xml:space="preserve"> “投标资格要求”</w:t>
            </w:r>
          </w:p>
        </w:tc>
      </w:tr>
      <w:tr w14:paraId="5D45DF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850" w:type="dxa"/>
            <w:vAlign w:val="center"/>
          </w:tcPr>
          <w:p w14:paraId="44F7D286">
            <w:pPr>
              <w:keepNext w:val="0"/>
              <w:keepLines w:val="0"/>
              <w:suppressLineNumbers w:val="0"/>
              <w:spacing w:before="0" w:beforeAutospacing="0" w:after="0" w:afterAutospacing="0" w:line="400" w:lineRule="exact"/>
              <w:ind w:left="0" w:right="0"/>
              <w:jc w:val="center"/>
              <w:rPr>
                <w:rFonts w:hint="default" w:ascii="仿宋" w:hAnsi="仿宋" w:eastAsia="仿宋"/>
                <w:color w:val="auto"/>
                <w:sz w:val="28"/>
                <w:szCs w:val="28"/>
                <w:highlight w:val="none"/>
              </w:rPr>
            </w:pPr>
            <w:r>
              <w:rPr>
                <w:rFonts w:hint="default" w:ascii="仿宋" w:hAnsi="仿宋" w:eastAsia="仿宋"/>
                <w:color w:val="auto"/>
                <w:sz w:val="28"/>
                <w:szCs w:val="28"/>
                <w:highlight w:val="none"/>
              </w:rPr>
              <w:t>3</w:t>
            </w:r>
          </w:p>
        </w:tc>
        <w:tc>
          <w:tcPr>
            <w:tcW w:w="9071" w:type="dxa"/>
            <w:vAlign w:val="center"/>
          </w:tcPr>
          <w:p w14:paraId="6E508A1C">
            <w:pPr>
              <w:keepNext w:val="0"/>
              <w:keepLines w:val="0"/>
              <w:suppressLineNumbers w:val="0"/>
              <w:spacing w:before="0" w:beforeAutospacing="0" w:after="0" w:afterAutospacing="0" w:line="400" w:lineRule="exact"/>
              <w:ind w:left="0" w:right="0"/>
              <w:rPr>
                <w:rFonts w:hint="default" w:ascii="仿宋" w:hAnsi="仿宋" w:eastAsia="仿宋"/>
                <w:color w:val="auto"/>
                <w:sz w:val="28"/>
                <w:szCs w:val="28"/>
                <w:highlight w:val="none"/>
              </w:rPr>
            </w:pPr>
            <w:r>
              <w:rPr>
                <w:rFonts w:hint="eastAsia" w:ascii="仿宋" w:hAnsi="仿宋" w:eastAsia="仿宋"/>
                <w:color w:val="auto"/>
                <w:sz w:val="28"/>
                <w:szCs w:val="28"/>
                <w:highlight w:val="none"/>
              </w:rPr>
              <w:t>投标有效期：</w:t>
            </w:r>
            <w:r>
              <w:rPr>
                <w:rFonts w:hint="eastAsia" w:ascii="仿宋" w:hAnsi="仿宋" w:eastAsia="仿宋" w:cs="宋体"/>
                <w:color w:val="auto"/>
                <w:kern w:val="0"/>
                <w:sz w:val="28"/>
                <w:szCs w:val="28"/>
                <w:highlight w:val="none"/>
              </w:rPr>
              <w:t>投标截止期结束后90日历日。</w:t>
            </w:r>
            <w:r>
              <w:rPr>
                <w:rFonts w:hint="eastAsia" w:ascii="仿宋" w:hAnsi="仿宋" w:eastAsia="仿宋" w:cs="宋体"/>
                <w:color w:val="auto"/>
                <w:kern w:val="0"/>
                <w:sz w:val="28"/>
                <w:szCs w:val="28"/>
                <w:highlight w:val="none"/>
                <w:lang w:val="en-US" w:eastAsia="zh-CN"/>
              </w:rPr>
              <w:t>投标</w:t>
            </w:r>
            <w:r>
              <w:rPr>
                <w:rFonts w:hint="eastAsia" w:ascii="仿宋" w:hAnsi="仿宋" w:eastAsia="仿宋" w:cs="宋体"/>
                <w:color w:val="auto"/>
                <w:kern w:val="0"/>
                <w:sz w:val="28"/>
                <w:szCs w:val="28"/>
                <w:highlight w:val="none"/>
              </w:rPr>
              <w:t>有效期不足</w:t>
            </w:r>
            <w:r>
              <w:rPr>
                <w:rFonts w:hint="eastAsia" w:ascii="仿宋" w:hAnsi="仿宋" w:eastAsia="仿宋" w:cs="宋体"/>
                <w:color w:val="auto"/>
                <w:kern w:val="0"/>
                <w:sz w:val="28"/>
                <w:szCs w:val="28"/>
                <w:highlight w:val="none"/>
                <w:lang w:val="en-US" w:eastAsia="zh-CN"/>
              </w:rPr>
              <w:t>的，</w:t>
            </w:r>
            <w:r>
              <w:rPr>
                <w:rFonts w:hint="eastAsia" w:ascii="仿宋" w:hAnsi="仿宋" w:eastAsia="仿宋" w:cs="宋体"/>
                <w:color w:val="auto"/>
                <w:kern w:val="0"/>
                <w:sz w:val="28"/>
                <w:szCs w:val="28"/>
                <w:highlight w:val="none"/>
              </w:rPr>
              <w:t>将导致其投标</w:t>
            </w:r>
            <w:r>
              <w:rPr>
                <w:rFonts w:hint="eastAsia" w:ascii="仿宋" w:hAnsi="仿宋" w:eastAsia="仿宋" w:cs="宋体"/>
                <w:color w:val="auto"/>
                <w:kern w:val="0"/>
                <w:sz w:val="28"/>
                <w:szCs w:val="28"/>
                <w:highlight w:val="none"/>
                <w:lang w:val="en-US" w:eastAsia="zh-CN"/>
              </w:rPr>
              <w:t>无效</w:t>
            </w:r>
            <w:r>
              <w:rPr>
                <w:rFonts w:hint="eastAsia" w:ascii="仿宋" w:hAnsi="仿宋" w:eastAsia="仿宋" w:cs="宋体"/>
                <w:color w:val="auto"/>
                <w:kern w:val="0"/>
                <w:sz w:val="28"/>
                <w:szCs w:val="28"/>
                <w:highlight w:val="none"/>
              </w:rPr>
              <w:t>。</w:t>
            </w:r>
          </w:p>
        </w:tc>
      </w:tr>
      <w:tr w14:paraId="63BCAB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850" w:type="dxa"/>
            <w:vAlign w:val="center"/>
          </w:tcPr>
          <w:p w14:paraId="72797B6B">
            <w:pPr>
              <w:keepNext w:val="0"/>
              <w:keepLines w:val="0"/>
              <w:suppressLineNumbers w:val="0"/>
              <w:spacing w:before="0" w:beforeAutospacing="0" w:after="0" w:afterAutospacing="0" w:line="400" w:lineRule="exact"/>
              <w:ind w:left="0" w:right="0"/>
              <w:jc w:val="center"/>
              <w:rPr>
                <w:rFonts w:hint="default" w:ascii="仿宋" w:hAnsi="仿宋" w:eastAsia="仿宋"/>
                <w:color w:val="auto"/>
                <w:sz w:val="28"/>
                <w:szCs w:val="28"/>
                <w:highlight w:val="none"/>
              </w:rPr>
            </w:pPr>
            <w:r>
              <w:rPr>
                <w:rFonts w:hint="default" w:ascii="仿宋" w:hAnsi="仿宋" w:eastAsia="仿宋"/>
                <w:color w:val="auto"/>
                <w:sz w:val="28"/>
                <w:szCs w:val="28"/>
                <w:highlight w:val="none"/>
              </w:rPr>
              <w:t>4</w:t>
            </w:r>
          </w:p>
        </w:tc>
        <w:tc>
          <w:tcPr>
            <w:tcW w:w="9071" w:type="dxa"/>
            <w:vAlign w:val="center"/>
          </w:tcPr>
          <w:p w14:paraId="1B62DAE9">
            <w:pPr>
              <w:keepNext w:val="0"/>
              <w:keepLines w:val="0"/>
              <w:suppressLineNumbers w:val="0"/>
              <w:spacing w:before="0" w:beforeAutospacing="0" w:after="0" w:afterAutospacing="0" w:line="400" w:lineRule="exact"/>
              <w:ind w:left="0" w:right="0"/>
              <w:rPr>
                <w:rFonts w:hint="default" w:ascii="仿宋" w:hAnsi="仿宋" w:eastAsia="仿宋"/>
                <w:color w:val="auto"/>
                <w:sz w:val="28"/>
                <w:szCs w:val="28"/>
                <w:highlight w:val="none"/>
              </w:rPr>
            </w:pPr>
            <w:r>
              <w:rPr>
                <w:rFonts w:hint="eastAsia" w:ascii="仿宋" w:hAnsi="仿宋" w:eastAsia="仿宋"/>
                <w:color w:val="auto"/>
                <w:sz w:val="28"/>
                <w:szCs w:val="28"/>
                <w:highlight w:val="none"/>
              </w:rPr>
              <w:t>投标文件递交地址：</w:t>
            </w:r>
            <w:r>
              <w:rPr>
                <w:rFonts w:hint="eastAsia" w:ascii="仿宋" w:hAnsi="仿宋" w:eastAsia="仿宋"/>
                <w:color w:val="auto"/>
                <w:sz w:val="28"/>
                <w:szCs w:val="28"/>
                <w:highlight w:val="none"/>
                <w:u w:val="single"/>
              </w:rPr>
              <w:t xml:space="preserve">厦门市思明区体育路41号顺承大厦6楼 </w:t>
            </w:r>
          </w:p>
          <w:p w14:paraId="3864A736">
            <w:pPr>
              <w:keepNext w:val="0"/>
              <w:keepLines w:val="0"/>
              <w:suppressLineNumbers w:val="0"/>
              <w:spacing w:before="0" w:beforeAutospacing="0" w:after="0" w:afterAutospacing="0" w:line="400" w:lineRule="exact"/>
              <w:ind w:left="0" w:right="0"/>
              <w:rPr>
                <w:rFonts w:hint="default" w:ascii="仿宋" w:hAnsi="仿宋" w:eastAsia="仿宋"/>
                <w:color w:val="auto"/>
                <w:sz w:val="28"/>
                <w:szCs w:val="28"/>
                <w:highlight w:val="none"/>
              </w:rPr>
            </w:pPr>
            <w:r>
              <w:rPr>
                <w:rFonts w:hint="eastAsia" w:ascii="仿宋" w:hAnsi="仿宋" w:eastAsia="仿宋"/>
                <w:color w:val="auto"/>
                <w:sz w:val="28"/>
                <w:szCs w:val="28"/>
                <w:highlight w:val="none"/>
              </w:rPr>
              <w:t xml:space="preserve">投标截止时间：见“第一章 </w:t>
            </w:r>
            <w:r>
              <w:rPr>
                <w:rFonts w:hint="eastAsia" w:ascii="仿宋" w:hAnsi="仿宋" w:eastAsia="仿宋"/>
                <w:color w:val="auto"/>
                <w:sz w:val="28"/>
                <w:szCs w:val="28"/>
                <w:highlight w:val="none"/>
                <w:lang w:val="en-US" w:eastAsia="zh-CN"/>
              </w:rPr>
              <w:t>招标公告</w:t>
            </w:r>
            <w:r>
              <w:rPr>
                <w:rFonts w:hint="eastAsia" w:ascii="仿宋" w:hAnsi="仿宋" w:eastAsia="仿宋"/>
                <w:color w:val="auto"/>
                <w:sz w:val="28"/>
                <w:szCs w:val="28"/>
                <w:highlight w:val="none"/>
              </w:rPr>
              <w:t>”</w:t>
            </w:r>
          </w:p>
        </w:tc>
      </w:tr>
      <w:tr w14:paraId="621936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7" w:hRule="atLeast"/>
          <w:jc w:val="center"/>
        </w:trPr>
        <w:tc>
          <w:tcPr>
            <w:tcW w:w="850" w:type="dxa"/>
            <w:vAlign w:val="center"/>
          </w:tcPr>
          <w:p w14:paraId="3A5C4CDF">
            <w:pPr>
              <w:keepNext w:val="0"/>
              <w:keepLines w:val="0"/>
              <w:suppressLineNumbers w:val="0"/>
              <w:spacing w:before="0" w:beforeAutospacing="0" w:after="0" w:afterAutospacing="0" w:line="400" w:lineRule="exact"/>
              <w:ind w:left="0" w:right="0"/>
              <w:jc w:val="center"/>
              <w:rPr>
                <w:rFonts w:hint="default"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5</w:t>
            </w:r>
          </w:p>
        </w:tc>
        <w:tc>
          <w:tcPr>
            <w:tcW w:w="9071" w:type="dxa"/>
            <w:vAlign w:val="center"/>
          </w:tcPr>
          <w:p w14:paraId="735621DC">
            <w:pPr>
              <w:keepNext w:val="0"/>
              <w:keepLines w:val="0"/>
              <w:suppressLineNumbers w:val="0"/>
              <w:spacing w:before="0" w:beforeAutospacing="0" w:after="0" w:afterAutospacing="0" w:line="400" w:lineRule="exact"/>
              <w:ind w:left="0" w:right="0"/>
              <w:rPr>
                <w:rFonts w:hint="default" w:ascii="仿宋" w:hAnsi="仿宋" w:eastAsia="仿宋"/>
                <w:b/>
                <w:color w:val="auto"/>
                <w:sz w:val="28"/>
                <w:szCs w:val="28"/>
              </w:rPr>
            </w:pPr>
            <w:r>
              <w:rPr>
                <w:rFonts w:hint="eastAsia" w:ascii="仿宋" w:hAnsi="仿宋" w:eastAsia="仿宋"/>
                <w:color w:val="auto"/>
                <w:sz w:val="28"/>
                <w:szCs w:val="28"/>
              </w:rPr>
              <w:t>★投标保证金：</w:t>
            </w:r>
            <w:r>
              <w:rPr>
                <w:rFonts w:hint="eastAsia" w:ascii="仿宋" w:hAnsi="仿宋" w:eastAsia="仿宋"/>
                <w:b/>
                <w:color w:val="auto"/>
                <w:sz w:val="28"/>
                <w:szCs w:val="28"/>
              </w:rPr>
              <w:t>人民币</w:t>
            </w:r>
            <w:r>
              <w:rPr>
                <w:rFonts w:hint="eastAsia" w:ascii="仿宋" w:hAnsi="仿宋" w:eastAsia="仿宋"/>
                <w:b/>
                <w:color w:val="auto"/>
                <w:sz w:val="28"/>
                <w:szCs w:val="28"/>
                <w:lang w:val="en-US" w:eastAsia="zh-CN"/>
              </w:rPr>
              <w:t>5000</w:t>
            </w:r>
            <w:r>
              <w:rPr>
                <w:rFonts w:hint="eastAsia" w:ascii="仿宋" w:hAnsi="仿宋" w:eastAsia="仿宋"/>
                <w:b/>
                <w:color w:val="auto"/>
                <w:sz w:val="28"/>
                <w:szCs w:val="28"/>
              </w:rPr>
              <w:t>元整。</w:t>
            </w:r>
          </w:p>
          <w:p w14:paraId="3DE6E80B">
            <w:pPr>
              <w:keepNext w:val="0"/>
              <w:keepLines w:val="0"/>
              <w:suppressLineNumbers w:val="0"/>
              <w:spacing w:before="0" w:beforeAutospacing="0" w:after="0" w:afterAutospacing="0" w:line="400" w:lineRule="exact"/>
              <w:ind w:left="0" w:right="0"/>
              <w:rPr>
                <w:rFonts w:hint="default" w:ascii="仿宋" w:hAnsi="仿宋" w:eastAsia="仿宋"/>
                <w:b/>
                <w:color w:val="auto"/>
                <w:sz w:val="28"/>
                <w:szCs w:val="28"/>
              </w:rPr>
            </w:pPr>
            <w:r>
              <w:rPr>
                <w:rFonts w:hint="eastAsia" w:ascii="仿宋" w:hAnsi="仿宋" w:eastAsia="仿宋"/>
                <w:color w:val="auto"/>
                <w:sz w:val="28"/>
                <w:szCs w:val="28"/>
              </w:rPr>
              <w:t>1、投标保证金以转账、电汇等形式提交，必须在投标截止时间前到达指定账户，不收取现金、现金支票，不接受任何个人名义的转账，否则作未提交投标保证金处理。</w:t>
            </w:r>
            <w:r>
              <w:rPr>
                <w:rFonts w:hint="eastAsia" w:ascii="仿宋" w:hAnsi="仿宋" w:eastAsia="仿宋"/>
                <w:b/>
                <w:color w:val="auto"/>
                <w:sz w:val="28"/>
                <w:szCs w:val="28"/>
              </w:rPr>
              <w:t>投标文件中应体现投标保证金的缴交凭证。</w:t>
            </w:r>
          </w:p>
          <w:p w14:paraId="4116203F">
            <w:pPr>
              <w:keepNext w:val="0"/>
              <w:keepLines w:val="0"/>
              <w:suppressLineNumbers w:val="0"/>
              <w:spacing w:before="0" w:beforeAutospacing="0" w:after="0" w:afterAutospacing="0" w:line="400" w:lineRule="exact"/>
              <w:ind w:left="0" w:right="0"/>
              <w:rPr>
                <w:rFonts w:hint="eastAsia" w:ascii="仿宋" w:hAnsi="仿宋" w:eastAsia="仿宋"/>
                <w:color w:val="auto"/>
                <w:sz w:val="28"/>
                <w:szCs w:val="28"/>
              </w:rPr>
            </w:pPr>
            <w:r>
              <w:rPr>
                <w:rFonts w:hint="eastAsia" w:ascii="仿宋" w:hAnsi="仿宋" w:eastAsia="仿宋"/>
                <w:color w:val="auto"/>
                <w:sz w:val="28"/>
                <w:szCs w:val="28"/>
                <w:lang w:val="en-US" w:eastAsia="zh-CN"/>
              </w:rPr>
              <w:t>2、</w:t>
            </w:r>
            <w:r>
              <w:rPr>
                <w:rFonts w:hint="eastAsia" w:ascii="仿宋" w:hAnsi="仿宋" w:eastAsia="仿宋"/>
                <w:color w:val="auto"/>
                <w:sz w:val="28"/>
                <w:szCs w:val="28"/>
              </w:rPr>
              <w:t>投标保证金金额为“0”的，视为不要求提交投标保证金。</w:t>
            </w:r>
          </w:p>
          <w:p w14:paraId="4EF15FE8">
            <w:pPr>
              <w:keepNext w:val="0"/>
              <w:keepLines w:val="0"/>
              <w:suppressLineNumbers w:val="0"/>
              <w:spacing w:before="0" w:beforeAutospacing="0" w:after="0" w:afterAutospacing="0" w:line="400" w:lineRule="exact"/>
              <w:ind w:left="0" w:right="0"/>
              <w:rPr>
                <w:rFonts w:hint="default" w:ascii="仿宋" w:hAnsi="仿宋" w:eastAsia="仿宋"/>
                <w:color w:val="auto"/>
                <w:sz w:val="28"/>
                <w:szCs w:val="28"/>
              </w:rPr>
            </w:pPr>
            <w:r>
              <w:rPr>
                <w:rFonts w:hint="eastAsia" w:ascii="仿宋" w:hAnsi="仿宋" w:eastAsia="仿宋"/>
                <w:color w:val="auto"/>
                <w:sz w:val="28"/>
                <w:szCs w:val="28"/>
                <w:lang w:val="en-US" w:eastAsia="zh-CN"/>
              </w:rPr>
              <w:t>3</w:t>
            </w:r>
            <w:r>
              <w:rPr>
                <w:rFonts w:hint="eastAsia" w:ascii="仿宋" w:hAnsi="仿宋" w:eastAsia="仿宋"/>
                <w:color w:val="auto"/>
                <w:sz w:val="28"/>
                <w:szCs w:val="28"/>
              </w:rPr>
              <w:t>、</w:t>
            </w:r>
            <w:r>
              <w:rPr>
                <w:rFonts w:hint="eastAsia" w:ascii="仿宋" w:hAnsi="仿宋" w:eastAsia="仿宋"/>
                <w:color w:val="auto"/>
                <w:sz w:val="28"/>
                <w:szCs w:val="28"/>
                <w:lang w:val="en-US" w:eastAsia="zh-CN"/>
              </w:rPr>
              <w:t>投标</w:t>
            </w:r>
            <w:r>
              <w:rPr>
                <w:rFonts w:hint="eastAsia" w:ascii="仿宋" w:hAnsi="仿宋" w:eastAsia="仿宋"/>
                <w:color w:val="auto"/>
                <w:sz w:val="28"/>
                <w:szCs w:val="28"/>
              </w:rPr>
              <w:t>保证金的退还：</w:t>
            </w:r>
          </w:p>
          <w:p w14:paraId="7548984F">
            <w:pPr>
              <w:keepNext w:val="0"/>
              <w:keepLines w:val="0"/>
              <w:suppressLineNumbers w:val="0"/>
              <w:spacing w:before="0" w:beforeAutospacing="0" w:after="0" w:afterAutospacing="0" w:line="400" w:lineRule="exact"/>
              <w:ind w:left="0" w:right="0"/>
              <w:rPr>
                <w:rFonts w:hint="default" w:ascii="仿宋" w:hAnsi="仿宋" w:eastAsia="仿宋"/>
                <w:color w:val="auto"/>
                <w:sz w:val="28"/>
                <w:szCs w:val="28"/>
                <w:highlight w:val="none"/>
              </w:rPr>
            </w:pPr>
            <w:r>
              <w:rPr>
                <w:rFonts w:hint="eastAsia" w:ascii="仿宋" w:hAnsi="仿宋" w:eastAsia="仿宋"/>
                <w:color w:val="auto"/>
                <w:sz w:val="28"/>
                <w:szCs w:val="28"/>
              </w:rPr>
              <w:t>招标人将在《中标通知书》发出之日起20个工作日内予以原额无息退还未中标人的投标保证金。</w:t>
            </w:r>
          </w:p>
        </w:tc>
      </w:tr>
      <w:tr w14:paraId="10C397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7" w:hRule="atLeast"/>
          <w:jc w:val="center"/>
        </w:trPr>
        <w:tc>
          <w:tcPr>
            <w:tcW w:w="850" w:type="dxa"/>
            <w:vAlign w:val="center"/>
          </w:tcPr>
          <w:p w14:paraId="030D76DB">
            <w:pPr>
              <w:keepNext w:val="0"/>
              <w:keepLines w:val="0"/>
              <w:suppressLineNumbers w:val="0"/>
              <w:spacing w:before="0" w:beforeAutospacing="0" w:after="0" w:afterAutospacing="0" w:line="400" w:lineRule="exact"/>
              <w:ind w:left="0" w:right="0"/>
              <w:jc w:val="center"/>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6</w:t>
            </w:r>
          </w:p>
        </w:tc>
        <w:tc>
          <w:tcPr>
            <w:tcW w:w="9071" w:type="dxa"/>
            <w:vAlign w:val="center"/>
          </w:tcPr>
          <w:p w14:paraId="1F43A2C0">
            <w:pPr>
              <w:keepNext w:val="0"/>
              <w:keepLines w:val="0"/>
              <w:suppressLineNumbers w:val="0"/>
              <w:spacing w:before="0" w:beforeAutospacing="0" w:after="0" w:afterAutospacing="0" w:line="400" w:lineRule="exact"/>
              <w:ind w:left="0" w:right="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中标供应商在签订合同前，应向招标人缴纳</w:t>
            </w:r>
            <w:r>
              <w:rPr>
                <w:rFonts w:hint="eastAsia" w:ascii="仿宋" w:hAnsi="仿宋" w:eastAsia="仿宋"/>
                <w:color w:val="auto"/>
                <w:sz w:val="28"/>
                <w:szCs w:val="28"/>
                <w:highlight w:val="none"/>
                <w:lang w:val="en-US" w:eastAsia="zh-CN"/>
              </w:rPr>
              <w:t>5000</w:t>
            </w:r>
            <w:r>
              <w:rPr>
                <w:rFonts w:hint="eastAsia" w:ascii="仿宋" w:hAnsi="仿宋" w:eastAsia="仿宋"/>
                <w:color w:val="auto"/>
                <w:sz w:val="28"/>
                <w:szCs w:val="28"/>
                <w:highlight w:val="none"/>
              </w:rPr>
              <w:t>元履约保证金。</w:t>
            </w:r>
          </w:p>
          <w:p w14:paraId="33D81DF8">
            <w:pPr>
              <w:keepNext w:val="0"/>
              <w:keepLines w:val="0"/>
              <w:suppressLineNumbers w:val="0"/>
              <w:spacing w:before="0" w:beforeAutospacing="0" w:after="0" w:afterAutospacing="0" w:line="400" w:lineRule="exact"/>
              <w:ind w:left="0" w:right="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履约保证金数额：</w:t>
            </w:r>
            <w:r>
              <w:rPr>
                <w:rFonts w:hint="eastAsia" w:ascii="仿宋" w:hAnsi="仿宋" w:eastAsia="仿宋"/>
                <w:color w:val="auto"/>
                <w:sz w:val="28"/>
                <w:szCs w:val="28"/>
                <w:highlight w:val="none"/>
                <w:lang w:val="en-US" w:eastAsia="zh-CN"/>
              </w:rPr>
              <w:t>5000</w:t>
            </w:r>
            <w:r>
              <w:rPr>
                <w:rFonts w:hint="eastAsia" w:ascii="仿宋" w:hAnsi="仿宋" w:eastAsia="仿宋"/>
                <w:color w:val="auto"/>
                <w:sz w:val="28"/>
                <w:szCs w:val="28"/>
                <w:highlight w:val="none"/>
              </w:rPr>
              <w:t>元（指人民币，下同）。</w:t>
            </w:r>
          </w:p>
          <w:p w14:paraId="5EC1A6A1">
            <w:pPr>
              <w:keepNext w:val="0"/>
              <w:keepLines w:val="0"/>
              <w:suppressLineNumbers w:val="0"/>
              <w:spacing w:before="0" w:beforeAutospacing="0" w:after="0" w:afterAutospacing="0" w:line="400" w:lineRule="exact"/>
              <w:ind w:left="0" w:right="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履约保证金形式：转账。</w:t>
            </w:r>
          </w:p>
          <w:p w14:paraId="5958A56D">
            <w:pPr>
              <w:keepNext w:val="0"/>
              <w:keepLines w:val="0"/>
              <w:suppressLineNumbers w:val="0"/>
              <w:spacing w:before="0" w:beforeAutospacing="0" w:after="0" w:afterAutospacing="0" w:line="400" w:lineRule="exact"/>
              <w:ind w:left="0" w:right="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中标人在收到中标通知书后签订合同</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原投标保证金直接作为合同履约保证金。</w:t>
            </w:r>
            <w:r>
              <w:rPr>
                <w:rFonts w:hint="eastAsia" w:ascii="仿宋" w:hAnsi="仿宋" w:eastAsia="仿宋"/>
                <w:color w:val="auto"/>
                <w:sz w:val="28"/>
                <w:szCs w:val="28"/>
                <w:highlight w:val="none"/>
              </w:rPr>
              <w:t>履约保证金在双方合同终止、交接清楚</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质保期（或保修期）结束</w:t>
            </w:r>
            <w:r>
              <w:rPr>
                <w:rFonts w:hint="eastAsia" w:ascii="仿宋" w:hAnsi="仿宋" w:eastAsia="仿宋"/>
                <w:color w:val="auto"/>
                <w:sz w:val="28"/>
                <w:szCs w:val="28"/>
                <w:highlight w:val="none"/>
              </w:rPr>
              <w:t>和债权债务等关系理顺后30日历天内无息返还。</w:t>
            </w:r>
          </w:p>
          <w:p w14:paraId="1DA9153D">
            <w:pPr>
              <w:keepNext w:val="0"/>
              <w:keepLines w:val="0"/>
              <w:suppressLineNumbers w:val="0"/>
              <w:spacing w:before="0" w:beforeAutospacing="0" w:after="0" w:afterAutospacing="0" w:line="400" w:lineRule="exact"/>
              <w:ind w:left="0" w:right="0"/>
              <w:rPr>
                <w:rFonts w:hint="eastAsia" w:ascii="宋体" w:hAnsi="宋体"/>
                <w:color w:val="auto"/>
                <w:sz w:val="28"/>
                <w:szCs w:val="28"/>
              </w:rPr>
            </w:pPr>
            <w:r>
              <w:rPr>
                <w:rFonts w:hint="eastAsia" w:ascii="仿宋" w:hAnsi="仿宋" w:eastAsia="仿宋"/>
                <w:color w:val="auto"/>
                <w:sz w:val="28"/>
                <w:szCs w:val="28"/>
                <w:highlight w:val="none"/>
              </w:rPr>
              <w:t>4</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 xml:space="preserve">中标人如在服务期限内不能完成招投标文件和合同约定，招标人有权解除合同，履约保证金不予退还。 </w:t>
            </w:r>
          </w:p>
        </w:tc>
      </w:tr>
      <w:tr w14:paraId="0CE015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1" w:hRule="atLeast"/>
          <w:jc w:val="center"/>
        </w:trPr>
        <w:tc>
          <w:tcPr>
            <w:tcW w:w="850" w:type="dxa"/>
            <w:vAlign w:val="center"/>
          </w:tcPr>
          <w:p w14:paraId="680E5531">
            <w:pPr>
              <w:keepNext w:val="0"/>
              <w:keepLines w:val="0"/>
              <w:suppressLineNumbers w:val="0"/>
              <w:spacing w:before="0" w:beforeAutospacing="0" w:after="0" w:afterAutospacing="0" w:line="400" w:lineRule="exact"/>
              <w:ind w:left="0" w:right="0"/>
              <w:jc w:val="center"/>
              <w:rPr>
                <w:rFonts w:hint="default"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7</w:t>
            </w:r>
          </w:p>
        </w:tc>
        <w:tc>
          <w:tcPr>
            <w:tcW w:w="9071" w:type="dxa"/>
            <w:vAlign w:val="center"/>
          </w:tcPr>
          <w:p w14:paraId="614B563C">
            <w:pPr>
              <w:keepNext w:val="0"/>
              <w:keepLines w:val="0"/>
              <w:suppressLineNumbers w:val="0"/>
              <w:spacing w:before="0" w:beforeAutospacing="0" w:after="0" w:afterAutospacing="0" w:line="400" w:lineRule="exact"/>
              <w:ind w:left="0" w:right="0"/>
              <w:rPr>
                <w:rFonts w:hint="default" w:ascii="仿宋" w:hAnsi="仿宋" w:eastAsia="仿宋"/>
                <w:color w:val="auto"/>
                <w:sz w:val="28"/>
                <w:szCs w:val="28"/>
                <w:highlight w:val="none"/>
              </w:rPr>
            </w:pPr>
            <w:r>
              <w:rPr>
                <w:rFonts w:hint="eastAsia" w:ascii="仿宋" w:hAnsi="仿宋" w:eastAsia="仿宋"/>
                <w:color w:val="auto"/>
                <w:sz w:val="28"/>
                <w:szCs w:val="28"/>
                <w:highlight w:val="none"/>
              </w:rPr>
              <w:t>★招标预算价（即最高控制价）为：</w:t>
            </w:r>
            <w:r>
              <w:rPr>
                <w:rFonts w:hint="eastAsia" w:ascii="仿宋" w:hAnsi="仿宋" w:eastAsia="仿宋"/>
                <w:color w:val="auto"/>
                <w:sz w:val="28"/>
                <w:szCs w:val="28"/>
                <w:highlight w:val="none"/>
                <w:u w:val="single"/>
              </w:rPr>
              <w:t>659960</w:t>
            </w:r>
            <w:r>
              <w:rPr>
                <w:rFonts w:hint="eastAsia" w:ascii="仿宋" w:hAnsi="仿宋" w:eastAsia="仿宋" w:cs="宋体"/>
                <w:b/>
                <w:color w:val="auto"/>
                <w:kern w:val="0"/>
                <w:sz w:val="28"/>
                <w:szCs w:val="28"/>
                <w:highlight w:val="none"/>
                <w:u w:val="single"/>
              </w:rPr>
              <w:t>元</w:t>
            </w:r>
            <w:r>
              <w:rPr>
                <w:rFonts w:hint="eastAsia" w:ascii="仿宋" w:hAnsi="仿宋" w:eastAsia="仿宋" w:cs="宋体"/>
                <w:b/>
                <w:color w:val="auto"/>
                <w:kern w:val="0"/>
                <w:sz w:val="28"/>
                <w:szCs w:val="28"/>
                <w:highlight w:val="none"/>
                <w:lang w:eastAsia="zh-CN"/>
              </w:rPr>
              <w:t>（</w:t>
            </w:r>
            <w:r>
              <w:rPr>
                <w:rFonts w:hint="eastAsia" w:ascii="仿宋" w:hAnsi="仿宋" w:eastAsia="仿宋" w:cs="宋体"/>
                <w:b/>
                <w:color w:val="auto"/>
                <w:kern w:val="0"/>
                <w:sz w:val="28"/>
                <w:szCs w:val="28"/>
                <w:highlight w:val="none"/>
                <w:lang w:val="en-US" w:eastAsia="zh-CN"/>
              </w:rPr>
              <w:t>含税</w:t>
            </w:r>
            <w:r>
              <w:rPr>
                <w:rFonts w:hint="eastAsia" w:ascii="仿宋" w:hAnsi="仿宋" w:eastAsia="仿宋" w:cs="宋体"/>
                <w:b/>
                <w:color w:val="auto"/>
                <w:kern w:val="0"/>
                <w:sz w:val="28"/>
                <w:szCs w:val="28"/>
                <w:highlight w:val="none"/>
                <w:lang w:eastAsia="zh-CN"/>
              </w:rPr>
              <w:t>）</w:t>
            </w:r>
            <w:r>
              <w:rPr>
                <w:rFonts w:hint="eastAsia" w:ascii="仿宋" w:hAnsi="仿宋" w:eastAsia="仿宋" w:cs="宋体"/>
                <w:b/>
                <w:color w:val="auto"/>
                <w:kern w:val="0"/>
                <w:sz w:val="28"/>
                <w:szCs w:val="28"/>
                <w:highlight w:val="none"/>
              </w:rPr>
              <w:t>。</w:t>
            </w:r>
            <w:r>
              <w:rPr>
                <w:rFonts w:hint="eastAsia" w:ascii="仿宋" w:hAnsi="仿宋" w:eastAsia="仿宋"/>
                <w:b/>
                <w:color w:val="auto"/>
                <w:sz w:val="28"/>
                <w:szCs w:val="28"/>
                <w:highlight w:val="none"/>
              </w:rPr>
              <w:t>投标人投标报价超过预算价的投标为无效投标</w:t>
            </w:r>
            <w:r>
              <w:rPr>
                <w:rFonts w:hint="eastAsia" w:ascii="仿宋" w:hAnsi="仿宋" w:eastAsia="仿宋"/>
                <w:color w:val="auto"/>
                <w:sz w:val="28"/>
                <w:szCs w:val="28"/>
                <w:highlight w:val="none"/>
              </w:rPr>
              <w:t>。</w:t>
            </w:r>
          </w:p>
        </w:tc>
      </w:tr>
      <w:tr w14:paraId="3EB5C9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65" w:hRule="atLeast"/>
          <w:jc w:val="center"/>
        </w:trPr>
        <w:tc>
          <w:tcPr>
            <w:tcW w:w="850" w:type="dxa"/>
            <w:vAlign w:val="center"/>
          </w:tcPr>
          <w:p w14:paraId="29290033">
            <w:pPr>
              <w:keepNext w:val="0"/>
              <w:keepLines w:val="0"/>
              <w:suppressLineNumbers w:val="0"/>
              <w:spacing w:before="0" w:beforeAutospacing="0" w:after="0" w:afterAutospacing="0" w:line="400" w:lineRule="exact"/>
              <w:ind w:left="0" w:right="0"/>
              <w:jc w:val="center"/>
              <w:rPr>
                <w:rFonts w:hint="default"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8</w:t>
            </w:r>
          </w:p>
        </w:tc>
        <w:tc>
          <w:tcPr>
            <w:tcW w:w="9071" w:type="dxa"/>
            <w:vAlign w:val="center"/>
          </w:tcPr>
          <w:p w14:paraId="5A6C30F9">
            <w:pPr>
              <w:keepNext w:val="0"/>
              <w:keepLines w:val="0"/>
              <w:suppressLineNumbers w:val="0"/>
              <w:spacing w:before="0" w:beforeAutospacing="0" w:after="0" w:afterAutospacing="0" w:line="400" w:lineRule="exact"/>
              <w:ind w:left="0" w:right="0"/>
              <w:rPr>
                <w:rFonts w:hint="default" w:ascii="仿宋" w:hAnsi="仿宋" w:eastAsia="仿宋"/>
                <w:color w:val="auto"/>
                <w:sz w:val="28"/>
                <w:szCs w:val="28"/>
                <w:highlight w:val="none"/>
              </w:rPr>
            </w:pPr>
            <w:r>
              <w:rPr>
                <w:rFonts w:hint="eastAsia" w:ascii="仿宋" w:hAnsi="仿宋" w:eastAsia="仿宋"/>
                <w:color w:val="auto"/>
                <w:sz w:val="28"/>
                <w:szCs w:val="28"/>
                <w:highlight w:val="none"/>
              </w:rPr>
              <w:t>评标标准和方法：本次招标采用综合评分法评标。首先，由评标委员会根据招标文件要求(无效投标界定)，审核各投标文件是否合格、有效，凡不符合专业条件要求和未实质性响应招标文件要求的投标均不进入评分程序。最终按得分排序推荐中标候选人。</w:t>
            </w:r>
          </w:p>
        </w:tc>
      </w:tr>
      <w:tr w14:paraId="37A8A9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850" w:type="dxa"/>
            <w:vAlign w:val="center"/>
          </w:tcPr>
          <w:p w14:paraId="5FF305CB">
            <w:pPr>
              <w:keepNext w:val="0"/>
              <w:keepLines w:val="0"/>
              <w:suppressLineNumbers w:val="0"/>
              <w:spacing w:before="0" w:beforeAutospacing="0" w:after="0" w:afterAutospacing="0" w:line="400" w:lineRule="exact"/>
              <w:ind w:left="0" w:right="0"/>
              <w:jc w:val="center"/>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9</w:t>
            </w:r>
          </w:p>
        </w:tc>
        <w:tc>
          <w:tcPr>
            <w:tcW w:w="9071" w:type="dxa"/>
            <w:vAlign w:val="center"/>
          </w:tcPr>
          <w:p w14:paraId="199113A0">
            <w:pPr>
              <w:keepNext w:val="0"/>
              <w:keepLines w:val="0"/>
              <w:suppressLineNumbers w:val="0"/>
              <w:spacing w:before="0" w:beforeAutospacing="0" w:after="0" w:afterAutospacing="0" w:line="400" w:lineRule="exact"/>
              <w:ind w:left="0" w:right="0"/>
              <w:rPr>
                <w:rFonts w:hint="default" w:ascii="仿宋" w:hAnsi="仿宋" w:eastAsia="仿宋"/>
                <w:b/>
                <w:color w:val="auto"/>
                <w:sz w:val="28"/>
                <w:szCs w:val="28"/>
              </w:rPr>
            </w:pPr>
            <w:r>
              <w:rPr>
                <w:rFonts w:hint="eastAsia" w:ascii="仿宋" w:hAnsi="仿宋" w:eastAsia="仿宋"/>
                <w:b/>
                <w:color w:val="auto"/>
                <w:sz w:val="28"/>
                <w:szCs w:val="28"/>
              </w:rPr>
              <w:t>投标提醒：</w:t>
            </w:r>
          </w:p>
          <w:p w14:paraId="44262138">
            <w:pPr>
              <w:keepNext w:val="0"/>
              <w:keepLines w:val="0"/>
              <w:suppressLineNumbers w:val="0"/>
              <w:spacing w:before="0" w:beforeAutospacing="0" w:after="0" w:afterAutospacing="0" w:line="400" w:lineRule="exact"/>
              <w:ind w:left="0" w:right="0"/>
              <w:rPr>
                <w:rFonts w:hint="default" w:ascii="仿宋" w:hAnsi="仿宋" w:eastAsia="仿宋"/>
                <w:color w:val="auto"/>
                <w:sz w:val="28"/>
                <w:szCs w:val="28"/>
              </w:rPr>
            </w:pPr>
            <w:r>
              <w:rPr>
                <w:rFonts w:hint="eastAsia" w:ascii="仿宋" w:hAnsi="仿宋" w:eastAsia="仿宋"/>
                <w:color w:val="auto"/>
                <w:sz w:val="28"/>
                <w:szCs w:val="28"/>
              </w:rPr>
              <w:t>1、投标保证金手续办理完毕后，请再次核对账号、收款单位是否正确，并确保在投标截止时间前到账。</w:t>
            </w:r>
          </w:p>
          <w:p w14:paraId="74D2D8AE">
            <w:pPr>
              <w:keepNext w:val="0"/>
              <w:keepLines w:val="0"/>
              <w:suppressLineNumbers w:val="0"/>
              <w:spacing w:before="0" w:beforeAutospacing="0" w:after="0" w:afterAutospacing="0" w:line="400" w:lineRule="exact"/>
              <w:ind w:left="0" w:right="0"/>
              <w:rPr>
                <w:rFonts w:hint="default" w:ascii="仿宋" w:hAnsi="仿宋" w:eastAsia="仿宋"/>
                <w:color w:val="auto"/>
                <w:sz w:val="28"/>
                <w:szCs w:val="28"/>
                <w:u w:val="single"/>
              </w:rPr>
            </w:pPr>
            <w:r>
              <w:rPr>
                <w:rFonts w:hint="eastAsia" w:ascii="仿宋" w:hAnsi="仿宋" w:eastAsia="仿宋"/>
                <w:color w:val="auto"/>
                <w:sz w:val="28"/>
                <w:szCs w:val="28"/>
              </w:rPr>
              <w:t>2、为方便</w:t>
            </w:r>
            <w:r>
              <w:rPr>
                <w:rFonts w:hint="eastAsia" w:ascii="仿宋" w:hAnsi="仿宋" w:eastAsia="仿宋"/>
                <w:color w:val="auto"/>
                <w:sz w:val="28"/>
                <w:szCs w:val="28"/>
                <w:lang w:val="en-US" w:eastAsia="zh-CN"/>
              </w:rPr>
              <w:t>投标</w:t>
            </w:r>
            <w:r>
              <w:rPr>
                <w:rFonts w:hint="eastAsia" w:ascii="仿宋" w:hAnsi="仿宋" w:eastAsia="仿宋"/>
                <w:color w:val="auto"/>
                <w:sz w:val="28"/>
                <w:szCs w:val="28"/>
              </w:rPr>
              <w:t>保证金的收取工作，</w:t>
            </w:r>
            <w:r>
              <w:rPr>
                <w:rFonts w:hint="eastAsia" w:ascii="仿宋" w:hAnsi="仿宋" w:eastAsia="仿宋" w:cs="Arial"/>
                <w:b/>
                <w:color w:val="auto"/>
                <w:kern w:val="0"/>
                <w:sz w:val="28"/>
                <w:szCs w:val="28"/>
                <w:u w:val="single"/>
              </w:rPr>
              <w:t>除投标文件中的缴交凭证外，</w:t>
            </w:r>
            <w:r>
              <w:rPr>
                <w:rFonts w:hint="eastAsia" w:ascii="仿宋" w:hAnsi="仿宋" w:eastAsia="仿宋"/>
                <w:b/>
                <w:color w:val="auto"/>
                <w:sz w:val="28"/>
                <w:szCs w:val="28"/>
                <w:u w:val="single"/>
              </w:rPr>
              <w:t>投标人在递交投标文件时应单独提供保证金缴交证明复印件一份给招标人投标文件接收人员。</w:t>
            </w:r>
          </w:p>
          <w:p w14:paraId="7440DC02">
            <w:pPr>
              <w:keepNext w:val="0"/>
              <w:keepLines w:val="0"/>
              <w:suppressLineNumbers w:val="0"/>
              <w:spacing w:before="0" w:beforeAutospacing="0" w:after="0" w:afterAutospacing="0" w:line="400" w:lineRule="exact"/>
              <w:ind w:left="0" w:right="0"/>
              <w:rPr>
                <w:rFonts w:hint="default" w:ascii="仿宋" w:hAnsi="仿宋" w:eastAsia="仿宋"/>
                <w:color w:val="auto"/>
                <w:sz w:val="28"/>
                <w:szCs w:val="28"/>
              </w:rPr>
            </w:pPr>
            <w:r>
              <w:rPr>
                <w:rFonts w:hint="eastAsia" w:ascii="仿宋" w:hAnsi="仿宋" w:eastAsia="仿宋"/>
                <w:color w:val="auto"/>
                <w:sz w:val="28"/>
                <w:szCs w:val="28"/>
              </w:rPr>
              <w:t>3、为确保在投标截止时间前递交投标文件，请务必考虑交通拥挤及路上不可预见的其他因素。</w:t>
            </w:r>
          </w:p>
          <w:p w14:paraId="0FC6E7B7">
            <w:pPr>
              <w:keepNext w:val="0"/>
              <w:keepLines w:val="0"/>
              <w:suppressLineNumbers w:val="0"/>
              <w:spacing w:before="0" w:beforeAutospacing="0" w:after="0" w:afterAutospacing="0" w:line="400" w:lineRule="exact"/>
              <w:ind w:left="0" w:right="0"/>
              <w:rPr>
                <w:rFonts w:hint="default" w:ascii="仿宋" w:hAnsi="仿宋" w:eastAsia="仿宋"/>
                <w:color w:val="auto"/>
                <w:sz w:val="28"/>
                <w:szCs w:val="28"/>
                <w:highlight w:val="none"/>
              </w:rPr>
            </w:pPr>
            <w:r>
              <w:rPr>
                <w:rFonts w:hint="eastAsia" w:ascii="仿宋" w:hAnsi="仿宋" w:eastAsia="仿宋"/>
                <w:color w:val="auto"/>
                <w:sz w:val="28"/>
                <w:szCs w:val="28"/>
              </w:rPr>
              <w:t>4、本文件第四章的投标文件格式中要求投标人盖章、投标代表签字的均应按要求盖章、签字。</w:t>
            </w:r>
          </w:p>
        </w:tc>
      </w:tr>
      <w:tr w14:paraId="1A195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850" w:type="dxa"/>
            <w:vAlign w:val="center"/>
          </w:tcPr>
          <w:p w14:paraId="7F28FBB8">
            <w:pPr>
              <w:keepNext w:val="0"/>
              <w:keepLines w:val="0"/>
              <w:suppressLineNumbers w:val="0"/>
              <w:spacing w:before="0" w:beforeAutospacing="0" w:after="0" w:afterAutospacing="0" w:line="400" w:lineRule="exact"/>
              <w:ind w:left="0" w:right="0"/>
              <w:jc w:val="center"/>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10</w:t>
            </w:r>
          </w:p>
        </w:tc>
        <w:tc>
          <w:tcPr>
            <w:tcW w:w="9071" w:type="dxa"/>
            <w:vAlign w:val="center"/>
          </w:tcPr>
          <w:p w14:paraId="0C6CE76D">
            <w:pPr>
              <w:keepNext w:val="0"/>
              <w:keepLines w:val="0"/>
              <w:suppressLineNumbers w:val="0"/>
              <w:spacing w:before="0" w:beforeAutospacing="0" w:after="0" w:afterAutospacing="0" w:line="400" w:lineRule="exact"/>
              <w:ind w:left="0" w:right="0"/>
              <w:rPr>
                <w:rFonts w:hint="default" w:ascii="仿宋" w:hAnsi="仿宋" w:eastAsia="仿宋"/>
                <w:b/>
                <w:color w:val="auto"/>
                <w:sz w:val="28"/>
                <w:szCs w:val="28"/>
                <w:highlight w:val="none"/>
              </w:rPr>
            </w:pPr>
            <w:r>
              <w:rPr>
                <w:rFonts w:hint="eastAsia" w:ascii="仿宋" w:hAnsi="仿宋" w:eastAsia="仿宋"/>
                <w:b/>
                <w:color w:val="auto"/>
                <w:sz w:val="28"/>
                <w:szCs w:val="28"/>
                <w:highlight w:val="none"/>
              </w:rPr>
              <w:t>投标资格要求与投标资格证明文件</w:t>
            </w:r>
          </w:p>
          <w:p w14:paraId="64D8A253">
            <w:pPr>
              <w:keepNext w:val="0"/>
              <w:keepLines w:val="0"/>
              <w:numPr>
                <w:ilvl w:val="-1"/>
                <w:numId w:val="0"/>
              </w:numPr>
              <w:suppressLineNumbers w:val="0"/>
              <w:spacing w:before="0" w:beforeAutospacing="0" w:after="0" w:afterAutospacing="0" w:line="400" w:lineRule="exact"/>
              <w:ind w:left="-9" w:right="0" w:firstLine="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投标资格要求与投标资格证明文件</w:t>
            </w:r>
          </w:p>
          <w:p w14:paraId="74D196C0">
            <w:pPr>
              <w:keepNext w:val="0"/>
              <w:keepLines w:val="0"/>
              <w:numPr>
                <w:ilvl w:val="-1"/>
                <w:numId w:val="0"/>
              </w:numPr>
              <w:suppressLineNumbers w:val="0"/>
              <w:spacing w:before="0" w:beforeAutospacing="0" w:after="0" w:afterAutospacing="0" w:line="400" w:lineRule="exact"/>
              <w:ind w:left="-9" w:right="0" w:firstLine="0"/>
              <w:rPr>
                <w:rFonts w:hint="eastAsia" w:ascii="仿宋" w:hAnsi="仿宋" w:eastAsia="仿宋"/>
                <w:b/>
                <w:bCs/>
                <w:color w:val="auto"/>
                <w:sz w:val="28"/>
                <w:szCs w:val="28"/>
                <w:highlight w:val="none"/>
              </w:rPr>
            </w:pPr>
            <w:r>
              <w:rPr>
                <w:rFonts w:hint="eastAsia" w:ascii="仿宋" w:hAnsi="仿宋" w:eastAsia="仿宋"/>
                <w:color w:val="auto"/>
                <w:sz w:val="28"/>
                <w:szCs w:val="28"/>
                <w:highlight w:val="none"/>
              </w:rPr>
              <w:t>★</w:t>
            </w:r>
            <w:r>
              <w:rPr>
                <w:rFonts w:hint="eastAsia" w:ascii="仿宋" w:hAnsi="仿宋" w:eastAsia="仿宋"/>
                <w:b/>
                <w:bCs/>
                <w:color w:val="auto"/>
                <w:sz w:val="28"/>
                <w:szCs w:val="28"/>
                <w:highlight w:val="none"/>
                <w:lang w:val="en-US" w:eastAsia="zh-CN"/>
              </w:rPr>
              <w:t>1、</w:t>
            </w:r>
            <w:r>
              <w:rPr>
                <w:rFonts w:hint="eastAsia" w:ascii="仿宋" w:hAnsi="仿宋" w:eastAsia="仿宋"/>
                <w:b/>
                <w:bCs/>
                <w:color w:val="auto"/>
                <w:sz w:val="28"/>
                <w:szCs w:val="28"/>
                <w:highlight w:val="none"/>
              </w:rPr>
              <w:t>投标人</w:t>
            </w:r>
            <w:r>
              <w:rPr>
                <w:rFonts w:hint="eastAsia" w:ascii="仿宋" w:hAnsi="仿宋" w:eastAsia="仿宋"/>
                <w:b/>
                <w:bCs/>
                <w:color w:val="auto"/>
                <w:sz w:val="28"/>
                <w:szCs w:val="28"/>
                <w:highlight w:val="none"/>
                <w:lang w:val="en-US" w:eastAsia="zh-CN"/>
              </w:rPr>
              <w:t>应具有独立法人资格，</w:t>
            </w:r>
            <w:r>
              <w:rPr>
                <w:rFonts w:hint="eastAsia" w:ascii="仿宋" w:hAnsi="仿宋" w:eastAsia="仿宋"/>
                <w:b/>
                <w:bCs/>
                <w:color w:val="auto"/>
                <w:sz w:val="28"/>
                <w:szCs w:val="28"/>
                <w:highlight w:val="none"/>
              </w:rPr>
              <w:t>具有独立承担民事责任的能力，并具备参加招投标、政府采购活动的合法条件。投标人必须提供</w:t>
            </w:r>
            <w:r>
              <w:rPr>
                <w:rFonts w:hint="eastAsia" w:ascii="仿宋" w:hAnsi="仿宋" w:eastAsia="仿宋"/>
                <w:b/>
                <w:bCs/>
                <w:color w:val="auto"/>
                <w:sz w:val="28"/>
                <w:szCs w:val="28"/>
                <w:highlight w:val="none"/>
                <w:lang w:val="en-US" w:eastAsia="zh-CN"/>
              </w:rPr>
              <w:t>有效的</w:t>
            </w:r>
            <w:r>
              <w:rPr>
                <w:rFonts w:hint="eastAsia" w:ascii="仿宋" w:hAnsi="仿宋" w:eastAsia="仿宋"/>
                <w:b/>
                <w:bCs/>
                <w:color w:val="auto"/>
                <w:sz w:val="28"/>
                <w:szCs w:val="28"/>
                <w:highlight w:val="none"/>
              </w:rPr>
              <w:t>企业法人营业执照复印件。</w:t>
            </w:r>
          </w:p>
          <w:p w14:paraId="14533E5D">
            <w:pPr>
              <w:keepNext w:val="0"/>
              <w:keepLines w:val="0"/>
              <w:numPr>
                <w:ilvl w:val="-1"/>
                <w:numId w:val="0"/>
              </w:numPr>
              <w:suppressLineNumbers w:val="0"/>
              <w:spacing w:before="0" w:beforeAutospacing="0" w:after="0" w:afterAutospacing="0" w:line="400" w:lineRule="exact"/>
              <w:ind w:left="-9" w:right="0" w:firstLine="0"/>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投标人代表不是法定代表人的，应提供法定代表人授权书原件，以及投标人代表的身份证复印件。</w:t>
            </w:r>
          </w:p>
          <w:p w14:paraId="18FFD436">
            <w:pPr>
              <w:keepNext w:val="0"/>
              <w:keepLines w:val="0"/>
              <w:numPr>
                <w:ilvl w:val="-1"/>
                <w:numId w:val="0"/>
              </w:numPr>
              <w:suppressLineNumbers w:val="0"/>
              <w:spacing w:before="0" w:beforeAutospacing="0" w:after="0" w:afterAutospacing="0" w:line="400" w:lineRule="exact"/>
              <w:ind w:left="-9" w:right="0" w:firstLine="0"/>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3、投标人应提供</w:t>
            </w:r>
            <w:bookmarkStart w:id="51" w:name="OLE_LINK3"/>
            <w:r>
              <w:rPr>
                <w:rFonts w:hint="eastAsia" w:ascii="仿宋" w:hAnsi="仿宋" w:eastAsia="仿宋"/>
                <w:color w:val="auto"/>
                <w:sz w:val="28"/>
                <w:szCs w:val="28"/>
                <w:highlight w:val="none"/>
              </w:rPr>
              <w:t>参加采购活动前</w:t>
            </w:r>
            <w:r>
              <w:rPr>
                <w:rFonts w:hint="eastAsia" w:ascii="仿宋" w:hAnsi="仿宋" w:eastAsia="仿宋"/>
                <w:color w:val="auto"/>
                <w:sz w:val="28"/>
                <w:szCs w:val="28"/>
                <w:highlight w:val="none"/>
                <w:lang w:val="en-US" w:eastAsia="zh-CN"/>
              </w:rPr>
              <w:t>三</w:t>
            </w:r>
            <w:r>
              <w:rPr>
                <w:rFonts w:hint="eastAsia" w:ascii="仿宋" w:hAnsi="仿宋" w:eastAsia="仿宋"/>
                <w:color w:val="auto"/>
                <w:sz w:val="28"/>
                <w:szCs w:val="28"/>
                <w:highlight w:val="none"/>
              </w:rPr>
              <w:t>年内在经营活动中没有重大违法记录的书面声明</w:t>
            </w:r>
            <w:bookmarkEnd w:id="51"/>
            <w:r>
              <w:rPr>
                <w:rFonts w:hint="eastAsia" w:ascii="仿宋" w:hAnsi="仿宋" w:eastAsia="仿宋"/>
                <w:color w:val="auto"/>
                <w:sz w:val="28"/>
                <w:szCs w:val="28"/>
                <w:highlight w:val="none"/>
              </w:rPr>
              <w:t>。（“重大违法记录”指投标人因违法经营受到刑事处罚或责令停产停业、吊销许可证或执照、较大数额罚款等行政处罚。）</w:t>
            </w:r>
          </w:p>
          <w:p w14:paraId="79AEB4CC">
            <w:pPr>
              <w:keepNext w:val="0"/>
              <w:keepLines w:val="0"/>
              <w:numPr>
                <w:ilvl w:val="-1"/>
                <w:numId w:val="0"/>
              </w:numPr>
              <w:suppressLineNumbers w:val="0"/>
              <w:spacing w:before="0" w:beforeAutospacing="0" w:after="0" w:afterAutospacing="0" w:line="400" w:lineRule="exact"/>
              <w:ind w:left="-9" w:right="0" w:firstLine="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4、信用记录要求：</w:t>
            </w:r>
          </w:p>
          <w:p w14:paraId="1670FD08">
            <w:pPr>
              <w:keepNext w:val="0"/>
              <w:keepLines w:val="0"/>
              <w:numPr>
                <w:ilvl w:val="-1"/>
                <w:numId w:val="0"/>
              </w:numPr>
              <w:suppressLineNumbers w:val="0"/>
              <w:spacing w:before="0" w:beforeAutospacing="0" w:after="0" w:afterAutospacing="0" w:line="400" w:lineRule="exact"/>
              <w:ind w:left="-9" w:right="0" w:firstLine="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 xml:space="preserve">（1）信用信息查询渠道：通过“信用中国”网站（www.creditchina.gov.cn）、“中国执行信息公开网”（zxgk.court.gov.cn/zhzxgk）查询所有投标人的信用信息。 </w:t>
            </w:r>
          </w:p>
          <w:p w14:paraId="31AF6413">
            <w:pPr>
              <w:keepNext w:val="0"/>
              <w:keepLines w:val="0"/>
              <w:numPr>
                <w:ilvl w:val="-1"/>
                <w:numId w:val="0"/>
              </w:numPr>
              <w:suppressLineNumbers w:val="0"/>
              <w:spacing w:before="0" w:beforeAutospacing="0" w:after="0" w:afterAutospacing="0" w:line="400" w:lineRule="exact"/>
              <w:ind w:left="-9" w:right="0" w:firstLine="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（2）截止时点：查询投标人截止开标当天前三年内的信用信息。</w:t>
            </w:r>
          </w:p>
          <w:p w14:paraId="07F60580">
            <w:pPr>
              <w:keepNext w:val="0"/>
              <w:keepLines w:val="0"/>
              <w:numPr>
                <w:ilvl w:val="-1"/>
                <w:numId w:val="0"/>
              </w:numPr>
              <w:suppressLineNumbers w:val="0"/>
              <w:spacing w:before="0" w:beforeAutospacing="0" w:after="0" w:afterAutospacing="0" w:line="400" w:lineRule="exact"/>
              <w:ind w:left="-9" w:right="0" w:firstLine="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信用信息的使用规则：①查询结果显示投标人存在不良信用记录（包含列入失信被执行人、重大税收违法失信主体、严重违法失信名单）的，其资格审查不合格。②因查询渠道网站原因导致查无投标人信息的，不认定投标人资格审查不合格；评审结束后，通过其他渠道发现投标人存在不良信用记录的，不认定为资格审查错误，将依照有关规定进行调查处理。</w:t>
            </w:r>
          </w:p>
          <w:p w14:paraId="09407387">
            <w:pPr>
              <w:keepNext w:val="0"/>
              <w:keepLines w:val="0"/>
              <w:numPr>
                <w:ilvl w:val="-1"/>
                <w:numId w:val="0"/>
              </w:numPr>
              <w:suppressLineNumbers w:val="0"/>
              <w:spacing w:before="0" w:beforeAutospacing="0" w:after="0" w:afterAutospacing="0" w:line="400" w:lineRule="exact"/>
              <w:ind w:left="-9" w:right="0" w:firstLine="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（4）投标人无需提供信用信息查询结果。若投标人自行提供查询结果的，仍以评标当天查询结果为准。</w:t>
            </w:r>
          </w:p>
          <w:p w14:paraId="49AD8C4F">
            <w:pPr>
              <w:keepNext w:val="0"/>
              <w:keepLines w:val="0"/>
              <w:numPr>
                <w:ilvl w:val="-1"/>
                <w:numId w:val="0"/>
              </w:numPr>
              <w:suppressLineNumbers w:val="0"/>
              <w:spacing w:before="0" w:beforeAutospacing="0" w:after="0" w:afterAutospacing="0" w:line="400" w:lineRule="exact"/>
              <w:ind w:left="-9" w:right="0" w:firstLine="0"/>
              <w:rPr>
                <w:rFonts w:hint="eastAsia" w:ascii="仿宋" w:hAnsi="仿宋" w:eastAsia="仿宋"/>
                <w:b/>
                <w:color w:val="auto"/>
                <w:sz w:val="28"/>
                <w:szCs w:val="28"/>
                <w:highlight w:val="none"/>
                <w:lang w:eastAsia="zh-CN"/>
              </w:rPr>
            </w:pPr>
            <w:r>
              <w:rPr>
                <w:rFonts w:hint="eastAsia" w:ascii="仿宋" w:hAnsi="仿宋" w:eastAsia="仿宋"/>
                <w:color w:val="auto"/>
                <w:sz w:val="28"/>
                <w:szCs w:val="28"/>
                <w:highlight w:val="none"/>
              </w:rPr>
              <w:t>★</w:t>
            </w:r>
            <w:r>
              <w:rPr>
                <w:rFonts w:hint="eastAsia" w:ascii="仿宋" w:hAnsi="仿宋" w:eastAsia="仿宋"/>
                <w:b/>
                <w:color w:val="auto"/>
                <w:sz w:val="28"/>
                <w:szCs w:val="28"/>
                <w:highlight w:val="none"/>
                <w:lang w:val="en-US" w:eastAsia="zh-CN"/>
              </w:rPr>
              <w:t>5</w:t>
            </w:r>
            <w:r>
              <w:rPr>
                <w:rFonts w:hint="eastAsia" w:ascii="仿宋" w:hAnsi="仿宋" w:eastAsia="仿宋"/>
                <w:b/>
                <w:color w:val="auto"/>
                <w:sz w:val="28"/>
                <w:szCs w:val="28"/>
                <w:highlight w:val="none"/>
              </w:rPr>
              <w:t>、投标人必须提供自2022年1月1日起至今不少于3个第三方房屋质量查验、交付陪验及维保服务业绩（需提供合同或验收报告的复印件，原件备查）有效证明材料</w:t>
            </w:r>
            <w:r>
              <w:rPr>
                <w:rFonts w:hint="eastAsia" w:ascii="仿宋" w:hAnsi="仿宋" w:eastAsia="仿宋"/>
                <w:b/>
                <w:color w:val="auto"/>
                <w:sz w:val="28"/>
                <w:szCs w:val="28"/>
                <w:highlight w:val="none"/>
                <w:lang w:eastAsia="zh-CN"/>
              </w:rPr>
              <w:t>。</w:t>
            </w:r>
          </w:p>
          <w:p w14:paraId="6A270393">
            <w:pPr>
              <w:keepNext w:val="0"/>
              <w:keepLines w:val="0"/>
              <w:numPr>
                <w:ilvl w:val="-1"/>
                <w:numId w:val="0"/>
              </w:numPr>
              <w:suppressLineNumbers w:val="0"/>
              <w:spacing w:before="0" w:beforeAutospacing="0" w:after="0" w:afterAutospacing="0" w:line="400" w:lineRule="exact"/>
              <w:ind w:left="-9" w:right="0" w:firstLine="0"/>
              <w:rPr>
                <w:rFonts w:hint="default" w:ascii="仿宋" w:hAnsi="仿宋" w:eastAsia="仿宋"/>
                <w:b/>
                <w:color w:val="auto"/>
                <w:sz w:val="28"/>
                <w:szCs w:val="28"/>
                <w:highlight w:val="none"/>
              </w:rPr>
            </w:pPr>
            <w:r>
              <w:rPr>
                <w:rFonts w:hint="default" w:ascii="仿宋" w:hAnsi="仿宋" w:eastAsia="仿宋"/>
                <w:b/>
                <w:color w:val="auto"/>
                <w:sz w:val="28"/>
                <w:szCs w:val="28"/>
                <w:highlight w:val="none"/>
                <w:lang w:val="en-US" w:eastAsia="zh-CN"/>
              </w:rPr>
              <w:t>注：以上资格证明文件为复印件的，须加盖投标人公章，且原件备查。投标人不满足上述规定的特定条件或提供证明文件不全的，其投标无效。</w:t>
            </w:r>
          </w:p>
        </w:tc>
      </w:tr>
    </w:tbl>
    <w:p w14:paraId="60759EC6">
      <w:pPr>
        <w:keepNext w:val="0"/>
        <w:keepLines w:val="0"/>
        <w:spacing w:before="0" w:after="0" w:line="360" w:lineRule="auto"/>
        <w:jc w:val="center"/>
        <w:rPr>
          <w:color w:val="auto"/>
        </w:rPr>
      </w:pPr>
    </w:p>
    <w:p w14:paraId="7BDA3B10">
      <w:pPr>
        <w:keepNext w:val="0"/>
        <w:keepLines w:val="0"/>
        <w:spacing w:before="0" w:after="0" w:line="500" w:lineRule="exact"/>
        <w:rPr>
          <w:color w:val="auto"/>
        </w:rPr>
      </w:pPr>
    </w:p>
    <w:p w14:paraId="45025EB5">
      <w:pPr>
        <w:rPr>
          <w:rFonts w:ascii="仿宋" w:hAnsi="仿宋" w:eastAsia="仿宋"/>
          <w:color w:val="auto"/>
          <w:sz w:val="32"/>
          <w:highlight w:val="none"/>
        </w:rPr>
      </w:pPr>
    </w:p>
    <w:p w14:paraId="6406DB06">
      <w:pPr>
        <w:rPr>
          <w:rFonts w:ascii="仿宋" w:hAnsi="仿宋" w:eastAsia="仿宋"/>
          <w:color w:val="auto"/>
          <w:sz w:val="32"/>
          <w:highlight w:val="none"/>
        </w:rPr>
      </w:pPr>
    </w:p>
    <w:p w14:paraId="025F2DD0">
      <w:pPr>
        <w:rPr>
          <w:rFonts w:ascii="仿宋" w:hAnsi="仿宋" w:eastAsia="仿宋"/>
          <w:color w:val="auto"/>
          <w:sz w:val="32"/>
          <w:highlight w:val="none"/>
        </w:rPr>
      </w:pPr>
    </w:p>
    <w:p w14:paraId="426BC2E2">
      <w:pPr>
        <w:rPr>
          <w:rFonts w:ascii="仿宋" w:hAnsi="仿宋" w:eastAsia="仿宋"/>
          <w:color w:val="auto"/>
          <w:sz w:val="32"/>
          <w:highlight w:val="none"/>
        </w:rPr>
      </w:pPr>
    </w:p>
    <w:p w14:paraId="18BF4D88">
      <w:pPr>
        <w:rPr>
          <w:rFonts w:ascii="仿宋" w:hAnsi="仿宋" w:eastAsia="仿宋"/>
          <w:color w:val="auto"/>
          <w:sz w:val="32"/>
          <w:highlight w:val="none"/>
        </w:rPr>
      </w:pPr>
    </w:p>
    <w:p w14:paraId="01E1328D">
      <w:pPr>
        <w:rPr>
          <w:rFonts w:ascii="仿宋" w:hAnsi="仿宋" w:eastAsia="仿宋"/>
          <w:color w:val="auto"/>
          <w:sz w:val="32"/>
          <w:highlight w:val="none"/>
        </w:rPr>
      </w:pPr>
    </w:p>
    <w:p w14:paraId="2E14BC5E">
      <w:pPr>
        <w:rPr>
          <w:rFonts w:ascii="仿宋" w:hAnsi="仿宋" w:eastAsia="仿宋"/>
          <w:color w:val="auto"/>
          <w:sz w:val="32"/>
          <w:highlight w:val="none"/>
        </w:rPr>
      </w:pPr>
    </w:p>
    <w:p w14:paraId="208FD230">
      <w:pPr>
        <w:rPr>
          <w:rFonts w:ascii="仿宋" w:hAnsi="仿宋" w:eastAsia="仿宋"/>
          <w:color w:val="auto"/>
          <w:sz w:val="32"/>
          <w:highlight w:val="none"/>
        </w:rPr>
      </w:pPr>
    </w:p>
    <w:p w14:paraId="78A2CFD5">
      <w:pPr>
        <w:rPr>
          <w:rFonts w:ascii="仿宋" w:hAnsi="仿宋" w:eastAsia="仿宋"/>
          <w:color w:val="auto"/>
          <w:sz w:val="32"/>
          <w:highlight w:val="none"/>
        </w:rPr>
      </w:pPr>
    </w:p>
    <w:p w14:paraId="5A5563BE">
      <w:pPr>
        <w:rPr>
          <w:rFonts w:ascii="仿宋" w:hAnsi="仿宋" w:eastAsia="仿宋"/>
          <w:color w:val="auto"/>
          <w:sz w:val="32"/>
          <w:highlight w:val="none"/>
        </w:rPr>
      </w:pPr>
    </w:p>
    <w:p w14:paraId="4B7B84B9">
      <w:pPr>
        <w:rPr>
          <w:rFonts w:ascii="仿宋" w:hAnsi="仿宋" w:eastAsia="仿宋"/>
          <w:color w:val="auto"/>
          <w:sz w:val="32"/>
          <w:highlight w:val="none"/>
        </w:rPr>
      </w:pPr>
    </w:p>
    <w:p w14:paraId="638F8411">
      <w:pPr>
        <w:rPr>
          <w:rFonts w:ascii="仿宋" w:hAnsi="仿宋" w:eastAsia="仿宋"/>
          <w:color w:val="auto"/>
          <w:sz w:val="32"/>
          <w:highlight w:val="none"/>
        </w:rPr>
      </w:pPr>
    </w:p>
    <w:p w14:paraId="21373A93">
      <w:pPr>
        <w:rPr>
          <w:rFonts w:ascii="仿宋" w:hAnsi="仿宋" w:eastAsia="仿宋"/>
          <w:color w:val="auto"/>
          <w:sz w:val="32"/>
          <w:highlight w:val="none"/>
        </w:rPr>
      </w:pPr>
    </w:p>
    <w:p w14:paraId="43605FCA">
      <w:pPr>
        <w:rPr>
          <w:rFonts w:ascii="仿宋" w:hAnsi="仿宋" w:eastAsia="仿宋"/>
          <w:color w:val="auto"/>
          <w:sz w:val="32"/>
          <w:highlight w:val="none"/>
        </w:rPr>
      </w:pPr>
    </w:p>
    <w:p w14:paraId="655D5E69">
      <w:pPr>
        <w:rPr>
          <w:rFonts w:ascii="仿宋" w:hAnsi="仿宋" w:eastAsia="仿宋"/>
          <w:color w:val="auto"/>
          <w:sz w:val="32"/>
          <w:highlight w:val="none"/>
        </w:rPr>
      </w:pPr>
    </w:p>
    <w:p w14:paraId="47C697FE">
      <w:pPr>
        <w:rPr>
          <w:rFonts w:ascii="仿宋" w:hAnsi="仿宋" w:eastAsia="仿宋"/>
          <w:color w:val="auto"/>
          <w:sz w:val="32"/>
          <w:highlight w:val="none"/>
        </w:rPr>
      </w:pPr>
    </w:p>
    <w:p w14:paraId="7CEFF497">
      <w:pPr>
        <w:rPr>
          <w:rFonts w:ascii="仿宋" w:hAnsi="仿宋" w:eastAsia="仿宋"/>
          <w:color w:val="auto"/>
          <w:sz w:val="32"/>
          <w:highlight w:val="none"/>
        </w:rPr>
      </w:pPr>
    </w:p>
    <w:p w14:paraId="57BF3D32">
      <w:pPr>
        <w:rPr>
          <w:rFonts w:ascii="仿宋" w:hAnsi="仿宋" w:eastAsia="仿宋"/>
          <w:color w:val="auto"/>
          <w:sz w:val="32"/>
          <w:highlight w:val="none"/>
        </w:rPr>
      </w:pPr>
    </w:p>
    <w:p w14:paraId="6809B35A">
      <w:pPr>
        <w:rPr>
          <w:rFonts w:ascii="仿宋" w:hAnsi="仿宋" w:eastAsia="仿宋"/>
          <w:color w:val="auto"/>
          <w:sz w:val="32"/>
          <w:highlight w:val="none"/>
        </w:rPr>
      </w:pPr>
    </w:p>
    <w:p w14:paraId="2BC29AD9">
      <w:pPr>
        <w:rPr>
          <w:rFonts w:ascii="仿宋" w:hAnsi="仿宋" w:eastAsia="仿宋"/>
          <w:color w:val="auto"/>
          <w:sz w:val="32"/>
          <w:highlight w:val="none"/>
        </w:rPr>
      </w:pPr>
      <w:r>
        <w:rPr>
          <w:rFonts w:ascii="仿宋" w:hAnsi="仿宋" w:eastAsia="仿宋"/>
          <w:color w:val="auto"/>
          <w:sz w:val="32"/>
          <w:highlight w:val="none"/>
        </w:rPr>
        <w:br w:type="page"/>
      </w:r>
    </w:p>
    <w:p w14:paraId="6A3E0E83">
      <w:pPr>
        <w:rPr>
          <w:rFonts w:ascii="仿宋" w:hAnsi="仿宋" w:eastAsia="仿宋"/>
          <w:color w:val="auto"/>
          <w:sz w:val="32"/>
          <w:highlight w:val="none"/>
        </w:rPr>
      </w:pPr>
    </w:p>
    <w:p w14:paraId="51FBC66B">
      <w:pPr>
        <w:pStyle w:val="9"/>
        <w:ind w:left="0" w:leftChars="0" w:firstLine="0" w:firstLineChars="0"/>
        <w:rPr>
          <w:color w:val="auto"/>
          <w:highlight w:val="none"/>
        </w:rPr>
      </w:pPr>
    </w:p>
    <w:p w14:paraId="4A9EBF8A">
      <w:pPr>
        <w:pStyle w:val="4"/>
        <w:keepNext w:val="0"/>
        <w:keepLines w:val="0"/>
        <w:spacing w:before="0" w:after="0" w:line="360" w:lineRule="auto"/>
        <w:jc w:val="center"/>
        <w:rPr>
          <w:rFonts w:hint="eastAsia" w:ascii="仿宋" w:hAnsi="仿宋" w:eastAsia="仿宋"/>
          <w:color w:val="auto"/>
          <w:sz w:val="32"/>
          <w:szCs w:val="32"/>
          <w:highlight w:val="none"/>
          <w:lang w:val="en-US" w:eastAsia="zh-CN"/>
        </w:rPr>
      </w:pPr>
      <w:bookmarkStart w:id="52" w:name="_Toc1371"/>
      <w:bookmarkStart w:id="53" w:name="_Toc17068"/>
      <w:bookmarkStart w:id="54" w:name="_Toc27443"/>
      <w:bookmarkStart w:id="55" w:name="_Toc7736"/>
      <w:bookmarkStart w:id="56" w:name="_Toc26729"/>
      <w:bookmarkStart w:id="57" w:name="_Toc16168"/>
      <w:bookmarkStart w:id="58" w:name="_Toc14884"/>
      <w:bookmarkStart w:id="59" w:name="_Toc15070"/>
      <w:bookmarkStart w:id="60" w:name="_Toc24143"/>
      <w:bookmarkStart w:id="61" w:name="_Toc15400"/>
      <w:bookmarkStart w:id="62" w:name="_Toc2815"/>
      <w:bookmarkStart w:id="63" w:name="_Toc2223"/>
      <w:bookmarkStart w:id="64" w:name="_Toc25160"/>
      <w:bookmarkStart w:id="65" w:name="_Toc16957"/>
      <w:bookmarkStart w:id="66" w:name="_Toc18645"/>
      <w:bookmarkStart w:id="67" w:name="_Toc25609"/>
      <w:bookmarkStart w:id="68" w:name="_Toc9514"/>
      <w:bookmarkStart w:id="69" w:name="_Toc12636"/>
      <w:r>
        <w:rPr>
          <w:rFonts w:hint="eastAsia" w:ascii="仿宋" w:hAnsi="仿宋" w:eastAsia="仿宋" w:cs="仿宋"/>
          <w:b/>
          <w:i w:val="0"/>
          <w:strike w:val="0"/>
          <w:color w:val="auto"/>
          <w:spacing w:val="0"/>
          <w:sz w:val="32"/>
          <w:szCs w:val="32"/>
          <w:highlight w:val="none"/>
          <w:u w:val="none"/>
          <w:lang w:val="en-US" w:eastAsia="zh-CN"/>
        </w:rPr>
        <w:t>带</w:t>
      </w:r>
      <w:r>
        <w:rPr>
          <w:rFonts w:hint="eastAsia" w:ascii="仿宋" w:hAnsi="仿宋" w:eastAsia="仿宋" w:cs="仿宋"/>
          <w:b/>
          <w:i w:val="0"/>
          <w:strike w:val="0"/>
          <w:color w:val="auto"/>
          <w:spacing w:val="0"/>
          <w:sz w:val="32"/>
          <w:szCs w:val="32"/>
          <w:highlight w:val="none"/>
          <w:u w:val="none"/>
          <w:lang w:eastAsia="zh-CN"/>
        </w:rPr>
        <w:t>“</w:t>
      </w:r>
      <w:r>
        <w:rPr>
          <w:rFonts w:ascii="仿宋" w:hAnsi="仿宋" w:eastAsia="仿宋" w:cs="仿宋"/>
          <w:b/>
          <w:i w:val="0"/>
          <w:strike w:val="0"/>
          <w:color w:val="auto"/>
          <w:spacing w:val="0"/>
          <w:sz w:val="32"/>
          <w:szCs w:val="32"/>
          <w:highlight w:val="none"/>
          <w:u w:val="none"/>
        </w:rPr>
        <w:t>★</w:t>
      </w:r>
      <w:r>
        <w:rPr>
          <w:rFonts w:hint="eastAsia" w:ascii="仿宋" w:hAnsi="仿宋" w:eastAsia="仿宋" w:cs="仿宋"/>
          <w:b/>
          <w:i w:val="0"/>
          <w:strike w:val="0"/>
          <w:color w:val="auto"/>
          <w:spacing w:val="0"/>
          <w:sz w:val="32"/>
          <w:szCs w:val="32"/>
          <w:highlight w:val="none"/>
          <w:u w:val="none"/>
          <w:lang w:eastAsia="zh-CN"/>
        </w:rPr>
        <w:t>”</w:t>
      </w:r>
      <w:r>
        <w:rPr>
          <w:rFonts w:hint="eastAsia" w:ascii="仿宋" w:hAnsi="仿宋" w:eastAsia="仿宋" w:cs="仿宋"/>
          <w:b/>
          <w:i w:val="0"/>
          <w:strike w:val="0"/>
          <w:color w:val="auto"/>
          <w:spacing w:val="0"/>
          <w:sz w:val="32"/>
          <w:szCs w:val="32"/>
          <w:highlight w:val="none"/>
          <w:u w:val="none"/>
          <w:lang w:val="en-US" w:eastAsia="zh-CN"/>
        </w:rPr>
        <w:t>号</w:t>
      </w:r>
      <w:r>
        <w:rPr>
          <w:rFonts w:hint="eastAsia" w:ascii="仿宋" w:hAnsi="仿宋" w:eastAsia="仿宋"/>
          <w:color w:val="auto"/>
          <w:sz w:val="32"/>
          <w:szCs w:val="32"/>
          <w:highlight w:val="none"/>
          <w:lang w:val="en-US" w:eastAsia="zh-CN"/>
        </w:rPr>
        <w:t>条款汇总表</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tbl>
      <w:tblPr>
        <w:tblStyle w:val="18"/>
        <w:tblW w:w="9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0"/>
      </w:tblGrid>
      <w:tr w14:paraId="3973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9770" w:type="dxa"/>
          </w:tcPr>
          <w:p w14:paraId="180F67D0">
            <w:pPr>
              <w:pStyle w:val="24"/>
              <w:keepNext w:val="0"/>
              <w:keepLines w:val="0"/>
              <w:numPr>
                <w:ilvl w:val="-1"/>
                <w:numId w:val="0"/>
              </w:numPr>
              <w:suppressLineNumbers w:val="0"/>
              <w:spacing w:beforeAutospacing="0" w:afterAutospacing="0" w:line="360" w:lineRule="auto"/>
              <w:ind w:left="0" w:right="0"/>
              <w:rPr>
                <w:rFonts w:hint="default" w:ascii="仿宋" w:hAnsi="仿宋" w:eastAsia="仿宋" w:cs="仿宋"/>
                <w:b w:val="0"/>
                <w:color w:val="auto"/>
                <w:spacing w:val="0"/>
                <w:kern w:val="2"/>
                <w:sz w:val="28"/>
                <w:szCs w:val="28"/>
                <w:highlight w:val="none"/>
                <w:lang w:bidi="ar"/>
              </w:rPr>
            </w:pPr>
            <w:r>
              <w:rPr>
                <w:rFonts w:hint="eastAsia" w:ascii="仿宋" w:hAnsi="仿宋" w:eastAsia="仿宋"/>
                <w:b w:val="0"/>
                <w:color w:val="auto"/>
                <w:sz w:val="28"/>
                <w:szCs w:val="28"/>
                <w:highlight w:val="none"/>
                <w:lang w:val="en-US" w:eastAsia="zh-CN"/>
              </w:rPr>
              <w:t>1、</w:t>
            </w:r>
            <w:r>
              <w:rPr>
                <w:rFonts w:hint="eastAsia" w:ascii="仿宋" w:hAnsi="仿宋" w:eastAsia="仿宋"/>
                <w:b w:val="0"/>
                <w:color w:val="auto"/>
                <w:sz w:val="28"/>
                <w:szCs w:val="28"/>
                <w:highlight w:val="none"/>
              </w:rPr>
              <w:t>招标预算价（即最高控制价）为：</w:t>
            </w:r>
            <w:r>
              <w:rPr>
                <w:rFonts w:hint="eastAsia" w:ascii="仿宋" w:hAnsi="仿宋" w:eastAsia="仿宋"/>
                <w:b w:val="0"/>
                <w:color w:val="auto"/>
                <w:sz w:val="28"/>
                <w:szCs w:val="28"/>
                <w:highlight w:val="none"/>
                <w:u w:val="single"/>
                <w:lang w:val="en-US" w:eastAsia="zh-CN"/>
              </w:rPr>
              <w:t>659960</w:t>
            </w:r>
            <w:r>
              <w:rPr>
                <w:rFonts w:hint="eastAsia" w:ascii="仿宋" w:hAnsi="仿宋" w:eastAsia="仿宋" w:cs="宋体"/>
                <w:b w:val="0"/>
                <w:color w:val="auto"/>
                <w:kern w:val="0"/>
                <w:sz w:val="28"/>
                <w:szCs w:val="28"/>
                <w:highlight w:val="none"/>
                <w:u w:val="single"/>
              </w:rPr>
              <w:t>元</w:t>
            </w:r>
            <w:r>
              <w:rPr>
                <w:rFonts w:hint="eastAsia" w:ascii="仿宋" w:hAnsi="仿宋" w:eastAsia="仿宋" w:cs="宋体"/>
                <w:b w:val="0"/>
                <w:color w:val="auto"/>
                <w:kern w:val="0"/>
                <w:sz w:val="28"/>
                <w:szCs w:val="28"/>
                <w:highlight w:val="none"/>
                <w:lang w:eastAsia="zh-CN"/>
              </w:rPr>
              <w:t>（</w:t>
            </w:r>
            <w:r>
              <w:rPr>
                <w:rFonts w:hint="eastAsia" w:ascii="仿宋" w:hAnsi="仿宋" w:eastAsia="仿宋" w:cs="宋体"/>
                <w:b w:val="0"/>
                <w:color w:val="auto"/>
                <w:kern w:val="0"/>
                <w:sz w:val="28"/>
                <w:szCs w:val="28"/>
                <w:highlight w:val="none"/>
                <w:lang w:val="en-US" w:eastAsia="zh-CN"/>
              </w:rPr>
              <w:t>含税</w:t>
            </w:r>
            <w:r>
              <w:rPr>
                <w:rFonts w:hint="eastAsia" w:ascii="仿宋" w:hAnsi="仿宋" w:eastAsia="仿宋" w:cs="宋体"/>
                <w:b w:val="0"/>
                <w:color w:val="auto"/>
                <w:kern w:val="0"/>
                <w:sz w:val="28"/>
                <w:szCs w:val="28"/>
                <w:highlight w:val="none"/>
                <w:lang w:eastAsia="zh-CN"/>
              </w:rPr>
              <w:t>）</w:t>
            </w:r>
            <w:r>
              <w:rPr>
                <w:rFonts w:hint="eastAsia" w:ascii="仿宋" w:hAnsi="仿宋" w:eastAsia="仿宋" w:cs="宋体"/>
                <w:b w:val="0"/>
                <w:color w:val="auto"/>
                <w:kern w:val="0"/>
                <w:sz w:val="28"/>
                <w:szCs w:val="28"/>
                <w:highlight w:val="none"/>
              </w:rPr>
              <w:t>。</w:t>
            </w:r>
            <w:r>
              <w:rPr>
                <w:rFonts w:hint="eastAsia" w:ascii="仿宋" w:hAnsi="仿宋" w:eastAsia="仿宋"/>
                <w:b w:val="0"/>
                <w:color w:val="auto"/>
                <w:sz w:val="28"/>
                <w:szCs w:val="28"/>
                <w:highlight w:val="none"/>
              </w:rPr>
              <w:t>投标人投标报</w:t>
            </w:r>
            <w:r>
              <w:rPr>
                <w:rFonts w:hint="eastAsia" w:ascii="仿宋" w:hAnsi="仿宋" w:eastAsia="仿宋" w:cs="仿宋"/>
                <w:b w:val="0"/>
                <w:color w:val="auto"/>
                <w:spacing w:val="0"/>
                <w:kern w:val="2"/>
                <w:sz w:val="28"/>
                <w:szCs w:val="28"/>
                <w:highlight w:val="none"/>
                <w:lang w:bidi="ar"/>
              </w:rPr>
              <w:t>价超过预算价的投标为无效投标。</w:t>
            </w:r>
          </w:p>
          <w:p w14:paraId="3C8DBEAA">
            <w:pPr>
              <w:pStyle w:val="24"/>
              <w:keepNext w:val="0"/>
              <w:keepLines w:val="0"/>
              <w:numPr>
                <w:ilvl w:val="-1"/>
                <w:numId w:val="0"/>
              </w:numPr>
              <w:suppressLineNumbers w:val="0"/>
              <w:spacing w:beforeAutospacing="0" w:afterAutospacing="0" w:line="360" w:lineRule="auto"/>
              <w:ind w:left="0" w:right="0"/>
              <w:rPr>
                <w:rFonts w:hint="default" w:ascii="仿宋" w:hAnsi="仿宋" w:eastAsia="仿宋" w:cs="仿宋"/>
                <w:b w:val="0"/>
                <w:color w:val="auto"/>
                <w:spacing w:val="0"/>
                <w:kern w:val="2"/>
                <w:sz w:val="28"/>
                <w:szCs w:val="28"/>
                <w:highlight w:val="none"/>
                <w:lang w:bidi="ar"/>
              </w:rPr>
            </w:pPr>
            <w:r>
              <w:rPr>
                <w:rFonts w:hint="eastAsia" w:ascii="仿宋" w:hAnsi="仿宋" w:eastAsia="仿宋" w:cs="仿宋"/>
                <w:color w:val="auto"/>
                <w:spacing w:val="0"/>
                <w:kern w:val="2"/>
                <w:sz w:val="28"/>
                <w:szCs w:val="28"/>
                <w:highlight w:val="none"/>
                <w:lang w:val="en-US" w:eastAsia="zh-CN" w:bidi="ar"/>
              </w:rPr>
              <w:t>2、</w:t>
            </w:r>
            <w:r>
              <w:rPr>
                <w:rFonts w:hint="eastAsia" w:ascii="仿宋" w:hAnsi="仿宋" w:eastAsia="仿宋" w:cs="仿宋"/>
                <w:color w:val="auto"/>
                <w:spacing w:val="0"/>
                <w:kern w:val="2"/>
                <w:sz w:val="28"/>
                <w:szCs w:val="28"/>
                <w:highlight w:val="none"/>
                <w:lang w:bidi="ar"/>
              </w:rPr>
              <w:t>投标保证金：</w:t>
            </w:r>
            <w:r>
              <w:rPr>
                <w:rFonts w:hint="eastAsia" w:ascii="仿宋" w:hAnsi="仿宋" w:eastAsia="仿宋" w:cs="仿宋"/>
                <w:b w:val="0"/>
                <w:color w:val="auto"/>
                <w:spacing w:val="0"/>
                <w:kern w:val="2"/>
                <w:sz w:val="28"/>
                <w:szCs w:val="28"/>
                <w:highlight w:val="none"/>
                <w:lang w:bidi="ar"/>
              </w:rPr>
              <w:t>人民币</w:t>
            </w:r>
            <w:r>
              <w:rPr>
                <w:rFonts w:hint="eastAsia" w:ascii="仿宋" w:hAnsi="仿宋" w:eastAsia="仿宋" w:cs="仿宋"/>
                <w:b w:val="0"/>
                <w:color w:val="auto"/>
                <w:spacing w:val="0"/>
                <w:kern w:val="2"/>
                <w:sz w:val="28"/>
                <w:szCs w:val="28"/>
                <w:highlight w:val="none"/>
                <w:lang w:val="en-US" w:eastAsia="zh-CN" w:bidi="ar"/>
              </w:rPr>
              <w:t>5000</w:t>
            </w:r>
            <w:r>
              <w:rPr>
                <w:rFonts w:hint="eastAsia" w:ascii="仿宋" w:hAnsi="仿宋" w:eastAsia="仿宋" w:cs="仿宋"/>
                <w:b w:val="0"/>
                <w:color w:val="auto"/>
                <w:spacing w:val="0"/>
                <w:kern w:val="2"/>
                <w:sz w:val="28"/>
                <w:szCs w:val="28"/>
                <w:highlight w:val="none"/>
                <w:lang w:bidi="ar"/>
              </w:rPr>
              <w:t>元整。</w:t>
            </w:r>
            <w:r>
              <w:rPr>
                <w:rFonts w:hint="eastAsia" w:ascii="仿宋" w:hAnsi="仿宋" w:eastAsia="仿宋" w:cs="仿宋"/>
                <w:color w:val="auto"/>
                <w:spacing w:val="0"/>
                <w:kern w:val="2"/>
                <w:sz w:val="28"/>
                <w:szCs w:val="28"/>
                <w:highlight w:val="none"/>
                <w:lang w:bidi="ar"/>
              </w:rPr>
              <w:t>投标保证金以转账、电汇等形式提交，必须在投标截止时间前到达指定账户，不收取现金、现金支票，不接受任何个人名义的转账，否则作未提交投标保证金处理。</w:t>
            </w:r>
            <w:r>
              <w:rPr>
                <w:rFonts w:hint="eastAsia" w:ascii="仿宋" w:hAnsi="仿宋" w:eastAsia="仿宋" w:cs="仿宋"/>
                <w:b w:val="0"/>
                <w:color w:val="auto"/>
                <w:spacing w:val="0"/>
                <w:kern w:val="2"/>
                <w:sz w:val="28"/>
                <w:szCs w:val="28"/>
                <w:highlight w:val="none"/>
                <w:lang w:bidi="ar"/>
              </w:rPr>
              <w:t>投标文件中应体现投标保证金的缴交凭证。</w:t>
            </w:r>
          </w:p>
          <w:p w14:paraId="54937B35">
            <w:pPr>
              <w:pStyle w:val="24"/>
              <w:keepNext w:val="0"/>
              <w:keepLines w:val="0"/>
              <w:suppressLineNumbers w:val="0"/>
              <w:spacing w:beforeAutospacing="0" w:afterAutospacing="0" w:line="360" w:lineRule="auto"/>
              <w:ind w:left="0" w:right="0"/>
              <w:rPr>
                <w:rFonts w:hint="default" w:ascii="仿宋" w:hAnsi="仿宋" w:eastAsia="仿宋" w:cs="仿宋"/>
                <w:b w:val="0"/>
                <w:bCs/>
                <w:color w:val="auto"/>
                <w:spacing w:val="0"/>
                <w:kern w:val="2"/>
                <w:sz w:val="28"/>
                <w:szCs w:val="28"/>
                <w:highlight w:val="none"/>
                <w:lang w:bidi="ar"/>
              </w:rPr>
            </w:pPr>
            <w:r>
              <w:rPr>
                <w:rFonts w:hint="eastAsia" w:ascii="仿宋" w:hAnsi="仿宋" w:eastAsia="仿宋" w:cs="仿宋"/>
                <w:b w:val="0"/>
                <w:bCs/>
                <w:color w:val="auto"/>
                <w:spacing w:val="0"/>
                <w:kern w:val="2"/>
                <w:sz w:val="28"/>
                <w:szCs w:val="28"/>
                <w:highlight w:val="none"/>
                <w:lang w:val="en-US" w:eastAsia="zh-CN" w:bidi="ar"/>
              </w:rPr>
              <w:t>3、</w:t>
            </w:r>
            <w:r>
              <w:rPr>
                <w:rFonts w:hint="eastAsia" w:ascii="仿宋" w:hAnsi="仿宋" w:eastAsia="仿宋" w:cs="仿宋"/>
                <w:b w:val="0"/>
                <w:bCs/>
                <w:color w:val="auto"/>
                <w:spacing w:val="0"/>
                <w:kern w:val="2"/>
                <w:sz w:val="28"/>
                <w:szCs w:val="28"/>
                <w:highlight w:val="none"/>
                <w:lang w:bidi="ar"/>
              </w:rPr>
              <w:t>投标人</w:t>
            </w:r>
            <w:r>
              <w:rPr>
                <w:rFonts w:hint="eastAsia" w:ascii="仿宋" w:hAnsi="仿宋" w:eastAsia="仿宋" w:cs="仿宋"/>
                <w:b w:val="0"/>
                <w:bCs/>
                <w:color w:val="auto"/>
                <w:spacing w:val="0"/>
                <w:kern w:val="2"/>
                <w:sz w:val="28"/>
                <w:szCs w:val="28"/>
                <w:highlight w:val="none"/>
                <w:lang w:val="en-US" w:eastAsia="zh-CN" w:bidi="ar"/>
              </w:rPr>
              <w:t>应具有独立法人资格，</w:t>
            </w:r>
            <w:r>
              <w:rPr>
                <w:rFonts w:hint="eastAsia" w:ascii="仿宋" w:hAnsi="仿宋" w:eastAsia="仿宋" w:cs="仿宋"/>
                <w:b w:val="0"/>
                <w:bCs/>
                <w:color w:val="auto"/>
                <w:spacing w:val="0"/>
                <w:kern w:val="2"/>
                <w:sz w:val="28"/>
                <w:szCs w:val="28"/>
                <w:highlight w:val="none"/>
                <w:lang w:bidi="ar"/>
              </w:rPr>
              <w:t>具有独立承担民事责任的能力，并具备参加招投标、政府采购活动的合法条件。投标人必须提供</w:t>
            </w:r>
            <w:r>
              <w:rPr>
                <w:rFonts w:hint="eastAsia" w:ascii="仿宋" w:hAnsi="仿宋" w:eastAsia="仿宋" w:cs="仿宋"/>
                <w:b w:val="0"/>
                <w:bCs/>
                <w:color w:val="auto"/>
                <w:spacing w:val="0"/>
                <w:kern w:val="2"/>
                <w:sz w:val="28"/>
                <w:szCs w:val="28"/>
                <w:highlight w:val="none"/>
                <w:lang w:val="en-US" w:eastAsia="zh-CN" w:bidi="ar"/>
              </w:rPr>
              <w:t>有效的</w:t>
            </w:r>
            <w:r>
              <w:rPr>
                <w:rFonts w:hint="eastAsia" w:ascii="仿宋" w:hAnsi="仿宋" w:eastAsia="仿宋" w:cs="仿宋"/>
                <w:b w:val="0"/>
                <w:bCs/>
                <w:color w:val="auto"/>
                <w:spacing w:val="0"/>
                <w:kern w:val="2"/>
                <w:sz w:val="28"/>
                <w:szCs w:val="28"/>
                <w:highlight w:val="none"/>
                <w:lang w:bidi="ar"/>
              </w:rPr>
              <w:t>企业法人营业执照复印件。</w:t>
            </w:r>
          </w:p>
          <w:p w14:paraId="36CAA34F">
            <w:pPr>
              <w:pStyle w:val="24"/>
              <w:keepNext w:val="0"/>
              <w:keepLines w:val="0"/>
              <w:suppressLineNumbers w:val="0"/>
              <w:spacing w:beforeAutospacing="0" w:afterAutospacing="0" w:line="360" w:lineRule="auto"/>
              <w:ind w:left="0" w:right="0"/>
              <w:rPr>
                <w:rFonts w:hint="default" w:ascii="仿宋" w:hAnsi="仿宋" w:eastAsia="仿宋" w:cs="仿宋"/>
                <w:color w:val="auto"/>
                <w:spacing w:val="0"/>
                <w:kern w:val="2"/>
                <w:sz w:val="28"/>
                <w:szCs w:val="28"/>
                <w:highlight w:val="none"/>
                <w:lang w:eastAsia="zh-CN" w:bidi="ar"/>
              </w:rPr>
            </w:pPr>
            <w:r>
              <w:rPr>
                <w:rFonts w:hint="eastAsia" w:ascii="仿宋" w:hAnsi="仿宋" w:eastAsia="仿宋" w:cs="仿宋"/>
                <w:b w:val="0"/>
                <w:color w:val="auto"/>
                <w:spacing w:val="0"/>
                <w:kern w:val="2"/>
                <w:sz w:val="28"/>
                <w:szCs w:val="28"/>
                <w:highlight w:val="none"/>
                <w:lang w:val="en-US" w:eastAsia="zh-CN" w:bidi="ar"/>
              </w:rPr>
              <w:t>4、</w:t>
            </w:r>
            <w:r>
              <w:rPr>
                <w:rFonts w:hint="eastAsia" w:ascii="仿宋" w:hAnsi="仿宋" w:eastAsia="仿宋" w:cs="仿宋"/>
                <w:b w:val="0"/>
                <w:color w:val="auto"/>
                <w:spacing w:val="0"/>
                <w:kern w:val="2"/>
                <w:sz w:val="28"/>
                <w:szCs w:val="28"/>
                <w:highlight w:val="none"/>
                <w:lang w:bidi="ar"/>
              </w:rPr>
              <w:t>投标人必须提供自2022年1月1日起至今不少于3个第三方房屋质量查验、交付陪验及维保服务业绩（需提供合同或验收报告的复印件，原件备查）有效证明材料</w:t>
            </w:r>
            <w:r>
              <w:rPr>
                <w:rFonts w:hint="eastAsia" w:ascii="仿宋" w:hAnsi="仿宋" w:eastAsia="仿宋" w:cs="仿宋"/>
                <w:b w:val="0"/>
                <w:color w:val="auto"/>
                <w:spacing w:val="0"/>
                <w:kern w:val="2"/>
                <w:sz w:val="28"/>
                <w:szCs w:val="28"/>
                <w:highlight w:val="none"/>
                <w:lang w:eastAsia="zh-CN" w:bidi="ar"/>
              </w:rPr>
              <w:t>。</w:t>
            </w:r>
          </w:p>
          <w:p w14:paraId="23B12A75">
            <w:pPr>
              <w:keepNext w:val="0"/>
              <w:keepLines w:val="0"/>
              <w:widowControl w:val="0"/>
              <w:suppressLineNumbers w:val="0"/>
              <w:adjustRightInd/>
              <w:snapToGrid/>
              <w:spacing w:before="0" w:beforeLines="-2147483648" w:beforeAutospacing="0" w:after="0" w:afterLines="-2147483648" w:afterAutospacing="0" w:line="360" w:lineRule="auto"/>
              <w:ind w:left="0" w:right="0" w:firstLine="0" w:firstLineChars="0"/>
              <w:rPr>
                <w:rFonts w:hint="default" w:ascii="仿宋" w:hAnsi="仿宋" w:eastAsia="仿宋"/>
                <w:b w:val="0"/>
                <w:bCs/>
                <w:color w:val="auto"/>
                <w:sz w:val="28"/>
                <w:szCs w:val="28"/>
                <w:highlight w:val="none"/>
              </w:rPr>
            </w:pPr>
            <w:r>
              <w:rPr>
                <w:rFonts w:hint="eastAsia" w:ascii="仿宋" w:hAnsi="仿宋" w:eastAsia="仿宋"/>
                <w:b w:val="0"/>
                <w:bCs/>
                <w:color w:val="auto"/>
                <w:sz w:val="28"/>
                <w:szCs w:val="28"/>
                <w:highlight w:val="none"/>
                <w:lang w:val="en-US" w:eastAsia="zh-CN"/>
              </w:rPr>
              <w:t>5、</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b w:val="0"/>
                <w:bCs/>
                <w:color w:val="auto"/>
                <w:sz w:val="28"/>
                <w:szCs w:val="28"/>
                <w:highlight w:val="none"/>
                <w:lang w:val="en-US" w:eastAsia="zh-CN"/>
              </w:rPr>
              <w:t>投标人应根据本项目的特点，提供工作计划，并承诺其工作计划将根据招标人的实际需要进行完善和补充，在工作内容不改变的情况下不得追加任何费用，且招标人不再支付因投标人方案不完整而引起的费用。投标人在投标文件中应做出书面承诺</w:t>
            </w:r>
            <w:r>
              <w:rPr>
                <w:rFonts w:hint="eastAsia" w:ascii="仿宋" w:hAnsi="仿宋" w:eastAsia="仿宋"/>
                <w:b w:val="0"/>
                <w:bCs/>
                <w:color w:val="auto"/>
                <w:sz w:val="28"/>
                <w:szCs w:val="28"/>
                <w:highlight w:val="none"/>
              </w:rPr>
              <w:t>。</w:t>
            </w:r>
          </w:p>
          <w:p w14:paraId="7CBD26DC">
            <w:pPr>
              <w:keepNext w:val="0"/>
              <w:keepLines w:val="0"/>
              <w:widowControl/>
              <w:suppressLineNumbers w:val="0"/>
              <w:adjustRightInd w:val="0"/>
              <w:snapToGrid w:val="0"/>
              <w:spacing w:before="60" w:beforeLines="25" w:beforeAutospacing="0" w:after="60" w:afterLines="25" w:afterAutospacing="0" w:line="360" w:lineRule="auto"/>
              <w:ind w:left="0" w:right="0" w:firstLine="0" w:firstLineChars="0"/>
              <w:rPr>
                <w:rFonts w:hint="eastAsia" w:eastAsia="仿宋"/>
                <w:b w:val="0"/>
                <w:bCs/>
                <w:color w:val="auto"/>
                <w:sz w:val="30"/>
                <w:szCs w:val="30"/>
                <w:highlight w:val="none"/>
                <w:lang w:val="en-US" w:eastAsia="zh-CN"/>
              </w:rPr>
            </w:pPr>
            <w:r>
              <w:rPr>
                <w:rFonts w:hint="eastAsia" w:ascii="仿宋" w:hAnsi="仿宋" w:eastAsia="仿宋" w:cs="仿宋"/>
                <w:b w:val="0"/>
                <w:bCs/>
                <w:color w:val="auto"/>
                <w:kern w:val="2"/>
                <w:sz w:val="28"/>
                <w:szCs w:val="28"/>
                <w:highlight w:val="none"/>
                <w:lang w:val="en-US" w:eastAsia="zh-CN" w:bidi="ar"/>
              </w:rPr>
              <w:t>6、</w:t>
            </w:r>
            <w:r>
              <w:rPr>
                <w:rFonts w:hint="eastAsia" w:ascii="仿宋" w:hAnsi="仿宋" w:eastAsia="仿宋"/>
                <w:b w:val="0"/>
                <w:bCs/>
                <w:color w:val="auto"/>
                <w:sz w:val="28"/>
                <w:szCs w:val="28"/>
                <w:highlight w:val="none"/>
              </w:rPr>
              <w:t>中标人应当</w:t>
            </w:r>
            <w:r>
              <w:rPr>
                <w:rFonts w:hint="eastAsia" w:ascii="仿宋" w:hAnsi="仿宋" w:eastAsia="仿宋"/>
                <w:b w:val="0"/>
                <w:bCs/>
                <w:color w:val="auto"/>
                <w:sz w:val="28"/>
                <w:szCs w:val="28"/>
                <w:highlight w:val="none"/>
                <w:lang w:val="en-US" w:eastAsia="zh-CN"/>
              </w:rPr>
              <w:t>承诺中标后，</w:t>
            </w:r>
            <w:r>
              <w:rPr>
                <w:rFonts w:hint="eastAsia" w:ascii="仿宋" w:hAnsi="仿宋" w:eastAsia="仿宋"/>
                <w:b w:val="0"/>
                <w:bCs/>
                <w:color w:val="auto"/>
                <w:sz w:val="28"/>
                <w:szCs w:val="28"/>
                <w:highlight w:val="none"/>
              </w:rPr>
              <w:t>不得将本项目（转包）给他人，一经发现，招标人有权立即终止合同，并追究中标人的违约责任和要求赔偿。</w:t>
            </w:r>
            <w:r>
              <w:rPr>
                <w:rFonts w:hint="eastAsia" w:ascii="仿宋" w:hAnsi="仿宋" w:eastAsia="仿宋"/>
                <w:b w:val="0"/>
                <w:bCs/>
                <w:color w:val="auto"/>
                <w:sz w:val="28"/>
                <w:szCs w:val="28"/>
                <w:highlight w:val="none"/>
                <w:lang w:eastAsia="zh-CN"/>
              </w:rPr>
              <w:t>（</w:t>
            </w:r>
            <w:r>
              <w:rPr>
                <w:rFonts w:hint="eastAsia" w:ascii="仿宋" w:hAnsi="仿宋" w:eastAsia="仿宋"/>
                <w:b w:val="0"/>
                <w:bCs/>
                <w:color w:val="auto"/>
                <w:sz w:val="28"/>
                <w:szCs w:val="28"/>
                <w:highlight w:val="none"/>
                <w:lang w:val="en-US" w:eastAsia="zh-CN"/>
              </w:rPr>
              <w:t>承诺材料自拟</w:t>
            </w:r>
            <w:r>
              <w:rPr>
                <w:rFonts w:hint="eastAsia" w:ascii="仿宋" w:hAnsi="仿宋" w:eastAsia="仿宋"/>
                <w:b w:val="0"/>
                <w:bCs/>
                <w:color w:val="auto"/>
                <w:sz w:val="28"/>
                <w:szCs w:val="28"/>
                <w:highlight w:val="none"/>
                <w:lang w:eastAsia="zh-CN"/>
              </w:rPr>
              <w:t>）</w:t>
            </w:r>
          </w:p>
        </w:tc>
      </w:tr>
    </w:tbl>
    <w:p w14:paraId="325C1DC6">
      <w:pPr>
        <w:rPr>
          <w:color w:val="auto"/>
          <w:highlight w:val="none"/>
        </w:rPr>
      </w:pPr>
    </w:p>
    <w:p w14:paraId="37A71951">
      <w:pPr>
        <w:rPr>
          <w:rFonts w:hint="eastAsia"/>
          <w:color w:val="auto"/>
        </w:rPr>
      </w:pPr>
      <w:bookmarkStart w:id="70" w:name="_Toc8272"/>
      <w:bookmarkStart w:id="71" w:name="_Toc13334"/>
      <w:bookmarkStart w:id="72" w:name="_Toc25026"/>
      <w:bookmarkStart w:id="73" w:name="_Toc11464"/>
      <w:bookmarkStart w:id="74" w:name="_Toc3633"/>
      <w:bookmarkStart w:id="75" w:name="_Toc9550"/>
      <w:bookmarkStart w:id="76" w:name="_Toc9883"/>
      <w:bookmarkStart w:id="77" w:name="_Toc1611"/>
    </w:p>
    <w:p w14:paraId="73A70B1C">
      <w:pPr>
        <w:rPr>
          <w:rFonts w:hint="eastAsia"/>
          <w:color w:val="auto"/>
        </w:rPr>
      </w:pPr>
    </w:p>
    <w:p w14:paraId="7E785E1B">
      <w:pPr>
        <w:rPr>
          <w:rFonts w:hint="eastAsia"/>
          <w:color w:val="auto"/>
        </w:rPr>
      </w:pPr>
    </w:p>
    <w:p w14:paraId="4D29EE67">
      <w:pPr>
        <w:rPr>
          <w:rFonts w:hint="eastAsia"/>
          <w:color w:val="auto"/>
        </w:rPr>
      </w:pPr>
      <w:r>
        <w:rPr>
          <w:rFonts w:hint="eastAsia"/>
          <w:color w:val="auto"/>
        </w:rPr>
        <w:br w:type="page"/>
      </w:r>
    </w:p>
    <w:p w14:paraId="38C7888A">
      <w:pPr>
        <w:pStyle w:val="4"/>
        <w:keepNext w:val="0"/>
        <w:keepLines w:val="0"/>
        <w:spacing w:before="0" w:after="0" w:line="500" w:lineRule="exact"/>
        <w:jc w:val="center"/>
        <w:rPr>
          <w:rFonts w:ascii="仿宋" w:hAnsi="仿宋" w:eastAsia="仿宋"/>
          <w:color w:val="auto"/>
          <w:sz w:val="32"/>
          <w:highlight w:val="none"/>
        </w:rPr>
      </w:pPr>
      <w:bookmarkStart w:id="78" w:name="_Toc478"/>
      <w:bookmarkStart w:id="79" w:name="_Toc11915"/>
      <w:bookmarkStart w:id="80" w:name="_Toc26417"/>
      <w:bookmarkStart w:id="81" w:name="_Toc20010"/>
      <w:bookmarkStart w:id="82" w:name="_Toc14433"/>
      <w:bookmarkStart w:id="83" w:name="_Toc24749"/>
      <w:r>
        <w:rPr>
          <w:rFonts w:hint="eastAsia" w:ascii="仿宋" w:hAnsi="仿宋" w:eastAsia="仿宋"/>
          <w:color w:val="auto"/>
          <w:sz w:val="32"/>
          <w:highlight w:val="none"/>
        </w:rPr>
        <w:t>第一节  说  明</w:t>
      </w:r>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6EF12B43">
      <w:pPr>
        <w:pStyle w:val="5"/>
        <w:keepNext w:val="0"/>
        <w:keepLines w:val="0"/>
        <w:spacing w:before="0" w:after="0" w:line="500" w:lineRule="exact"/>
        <w:ind w:firstLine="643" w:firstLineChars="200"/>
        <w:rPr>
          <w:rFonts w:ascii="仿宋" w:hAnsi="仿宋" w:eastAsia="仿宋"/>
          <w:color w:val="auto"/>
          <w:sz w:val="32"/>
          <w:highlight w:val="none"/>
        </w:rPr>
      </w:pPr>
      <w:bookmarkStart w:id="84" w:name="_Toc8292"/>
      <w:bookmarkStart w:id="85" w:name="_Toc6813"/>
      <w:bookmarkStart w:id="86" w:name="_Toc15733"/>
      <w:bookmarkStart w:id="87" w:name="_Toc22325"/>
      <w:bookmarkStart w:id="88" w:name="_Toc5909"/>
      <w:bookmarkStart w:id="89" w:name="_Toc20028"/>
      <w:bookmarkStart w:id="90" w:name="_Toc3105"/>
      <w:bookmarkStart w:id="91" w:name="_Toc24427"/>
      <w:bookmarkStart w:id="92" w:name="_Toc17980"/>
      <w:bookmarkStart w:id="93" w:name="_Toc27900"/>
      <w:bookmarkStart w:id="94" w:name="_Toc191892300"/>
      <w:bookmarkStart w:id="95" w:name="_Toc27885"/>
      <w:bookmarkStart w:id="96" w:name="_Toc25547"/>
      <w:bookmarkStart w:id="97" w:name="_Toc30435"/>
      <w:bookmarkStart w:id="98" w:name="_Toc192925648"/>
      <w:bookmarkStart w:id="99" w:name="_Toc29975"/>
      <w:r>
        <w:rPr>
          <w:rFonts w:ascii="仿宋" w:hAnsi="仿宋" w:eastAsia="仿宋"/>
          <w:color w:val="auto"/>
          <w:sz w:val="32"/>
          <w:highlight w:val="none"/>
        </w:rPr>
        <w:t xml:space="preserve">1. </w:t>
      </w:r>
      <w:r>
        <w:rPr>
          <w:rFonts w:hint="eastAsia" w:ascii="仿宋" w:hAnsi="仿宋" w:eastAsia="仿宋"/>
          <w:color w:val="auto"/>
          <w:sz w:val="32"/>
          <w:highlight w:val="none"/>
        </w:rPr>
        <w:t>适用范围</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4D12F5E1">
      <w:pPr>
        <w:spacing w:line="276" w:lineRule="auto"/>
        <w:rPr>
          <w:rFonts w:ascii="仿宋" w:hAnsi="仿宋" w:eastAsia="仿宋"/>
          <w:color w:val="auto"/>
          <w:sz w:val="32"/>
          <w:szCs w:val="32"/>
          <w:highlight w:val="none"/>
        </w:rPr>
      </w:pPr>
      <w:r>
        <w:rPr>
          <w:rFonts w:ascii="仿宋" w:hAnsi="仿宋" w:eastAsia="仿宋"/>
          <w:color w:val="auto"/>
          <w:sz w:val="32"/>
          <w:szCs w:val="32"/>
          <w:highlight w:val="none"/>
        </w:rPr>
        <w:t>1.1</w:t>
      </w:r>
      <w:r>
        <w:rPr>
          <w:rFonts w:hint="eastAsia" w:ascii="仿宋" w:hAnsi="仿宋" w:eastAsia="仿宋"/>
          <w:color w:val="auto"/>
          <w:sz w:val="32"/>
          <w:szCs w:val="32"/>
          <w:highlight w:val="none"/>
        </w:rPr>
        <w:t>本招标文件仅适用于</w:t>
      </w:r>
      <w:r>
        <w:rPr>
          <w:rFonts w:hint="eastAsia" w:ascii="仿宋" w:hAnsi="仿宋" w:eastAsia="仿宋"/>
          <w:b/>
          <w:bCs/>
          <w:color w:val="auto"/>
          <w:sz w:val="32"/>
          <w:szCs w:val="32"/>
          <w:highlight w:val="none"/>
          <w:u w:val="single"/>
          <w:lang w:val="en-US" w:eastAsia="zh-CN"/>
        </w:rPr>
        <w:t>成都海上蓉屿项目第三方模拟验收服务（第二次）</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w:t>
      </w:r>
    </w:p>
    <w:p w14:paraId="0F2D992B">
      <w:pPr>
        <w:pStyle w:val="5"/>
        <w:keepNext w:val="0"/>
        <w:keepLines w:val="0"/>
        <w:spacing w:before="0" w:after="0" w:line="500" w:lineRule="exact"/>
        <w:ind w:firstLine="643" w:firstLineChars="200"/>
        <w:rPr>
          <w:rFonts w:ascii="仿宋" w:hAnsi="仿宋" w:eastAsia="仿宋"/>
          <w:color w:val="auto"/>
          <w:sz w:val="32"/>
          <w:highlight w:val="none"/>
        </w:rPr>
      </w:pPr>
      <w:bookmarkStart w:id="100" w:name="_Toc24980"/>
      <w:bookmarkStart w:id="101" w:name="_Toc7729"/>
      <w:bookmarkStart w:id="102" w:name="_Toc10252"/>
      <w:bookmarkStart w:id="103" w:name="_Toc10989"/>
      <w:bookmarkStart w:id="104" w:name="_Toc8055"/>
      <w:bookmarkStart w:id="105" w:name="_Toc12477"/>
      <w:bookmarkStart w:id="106" w:name="_Toc22778"/>
      <w:bookmarkStart w:id="107" w:name="_Toc11677"/>
      <w:bookmarkStart w:id="108" w:name="_Toc23558"/>
      <w:bookmarkStart w:id="109" w:name="_Toc17622"/>
      <w:bookmarkStart w:id="110" w:name="_Toc192925649"/>
      <w:bookmarkStart w:id="111" w:name="_Toc14935"/>
      <w:bookmarkStart w:id="112" w:name="_Toc191892301"/>
      <w:bookmarkStart w:id="113" w:name="_Toc29749"/>
      <w:bookmarkStart w:id="114" w:name="_Toc1976"/>
      <w:bookmarkStart w:id="115" w:name="_Toc8707"/>
      <w:r>
        <w:rPr>
          <w:rFonts w:ascii="仿宋" w:hAnsi="仿宋" w:eastAsia="仿宋"/>
          <w:color w:val="auto"/>
          <w:sz w:val="32"/>
          <w:highlight w:val="none"/>
        </w:rPr>
        <w:t xml:space="preserve">2. </w:t>
      </w:r>
      <w:r>
        <w:rPr>
          <w:rFonts w:hint="eastAsia" w:ascii="仿宋" w:hAnsi="仿宋" w:eastAsia="仿宋"/>
          <w:color w:val="auto"/>
          <w:sz w:val="32"/>
          <w:highlight w:val="none"/>
        </w:rPr>
        <w:t>定义</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620BCC15">
      <w:pPr>
        <w:spacing w:line="500" w:lineRule="exact"/>
        <w:ind w:firstLine="640" w:firstLineChars="200"/>
        <w:rPr>
          <w:rFonts w:ascii="仿宋" w:hAnsi="仿宋" w:eastAsia="仿宋"/>
          <w:b/>
          <w:color w:val="auto"/>
          <w:sz w:val="32"/>
          <w:szCs w:val="32"/>
          <w:highlight w:val="none"/>
        </w:rPr>
      </w:pPr>
      <w:r>
        <w:rPr>
          <w:rFonts w:ascii="仿宋" w:hAnsi="仿宋" w:eastAsia="仿宋"/>
          <w:color w:val="auto"/>
          <w:sz w:val="32"/>
          <w:szCs w:val="32"/>
          <w:highlight w:val="none"/>
        </w:rPr>
        <w:t>2.1</w:t>
      </w:r>
      <w:r>
        <w:rPr>
          <w:rFonts w:hint="eastAsia" w:ascii="仿宋" w:hAnsi="仿宋" w:eastAsia="仿宋"/>
          <w:color w:val="auto"/>
          <w:sz w:val="32"/>
          <w:szCs w:val="32"/>
          <w:highlight w:val="none"/>
        </w:rPr>
        <w:t xml:space="preserve"> “招标人”系指</w:t>
      </w:r>
      <w:r>
        <w:rPr>
          <w:rFonts w:hint="eastAsia" w:ascii="仿宋" w:hAnsi="仿宋" w:eastAsia="仿宋" w:cs="仿宋"/>
          <w:b/>
          <w:bCs/>
          <w:color w:val="auto"/>
          <w:kern w:val="0"/>
          <w:sz w:val="32"/>
          <w:szCs w:val="32"/>
          <w:highlight w:val="none"/>
          <w:lang w:val="en-US" w:eastAsia="zh-CN"/>
        </w:rPr>
        <w:t>厦门国贸物业服务有限公司。</w:t>
      </w:r>
    </w:p>
    <w:p w14:paraId="10CFBCCD">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w:t>
      </w:r>
      <w:r>
        <w:rPr>
          <w:rFonts w:ascii="仿宋" w:hAnsi="仿宋" w:eastAsia="仿宋"/>
          <w:color w:val="auto"/>
          <w:sz w:val="32"/>
          <w:szCs w:val="32"/>
          <w:highlight w:val="none"/>
        </w:rPr>
        <w:t>.</w:t>
      </w:r>
      <w:r>
        <w:rPr>
          <w:rFonts w:hint="eastAsia" w:ascii="仿宋" w:hAnsi="仿宋" w:eastAsia="仿宋"/>
          <w:color w:val="auto"/>
          <w:sz w:val="32"/>
          <w:szCs w:val="32"/>
          <w:highlight w:val="none"/>
        </w:rPr>
        <w:t>2“投标人”系指获取了本招标文件，且已经提交或者准备提交本次投标文件的制造商或供货商。</w:t>
      </w:r>
    </w:p>
    <w:p w14:paraId="33F4CF5E">
      <w:pPr>
        <w:pStyle w:val="5"/>
        <w:keepNext w:val="0"/>
        <w:keepLines w:val="0"/>
        <w:spacing w:before="0" w:after="0" w:line="500" w:lineRule="exact"/>
        <w:ind w:firstLine="643" w:firstLineChars="200"/>
        <w:rPr>
          <w:rFonts w:ascii="仿宋" w:hAnsi="仿宋" w:eastAsia="仿宋"/>
          <w:color w:val="auto"/>
          <w:sz w:val="32"/>
          <w:highlight w:val="none"/>
        </w:rPr>
      </w:pPr>
      <w:bookmarkStart w:id="116" w:name="_Toc7319"/>
      <w:bookmarkStart w:id="117" w:name="_Toc11374"/>
      <w:bookmarkStart w:id="118" w:name="_Toc23045"/>
      <w:bookmarkStart w:id="119" w:name="_Toc19626"/>
      <w:bookmarkStart w:id="120" w:name="_Toc192925650"/>
      <w:bookmarkStart w:id="121" w:name="_Toc14517"/>
      <w:bookmarkStart w:id="122" w:name="_Toc4429"/>
      <w:bookmarkStart w:id="123" w:name="_Toc32345"/>
      <w:bookmarkStart w:id="124" w:name="_Toc191892302"/>
      <w:bookmarkStart w:id="125" w:name="_Toc8318"/>
      <w:bookmarkStart w:id="126" w:name="_Toc26318"/>
      <w:bookmarkStart w:id="127" w:name="_Toc25736"/>
      <w:bookmarkStart w:id="128" w:name="_Toc26232"/>
      <w:bookmarkStart w:id="129" w:name="_Toc19657"/>
      <w:bookmarkStart w:id="130" w:name="_Toc28656"/>
      <w:bookmarkStart w:id="131" w:name="_Toc29534"/>
      <w:r>
        <w:rPr>
          <w:rFonts w:ascii="仿宋" w:hAnsi="仿宋" w:eastAsia="仿宋"/>
          <w:color w:val="auto"/>
          <w:sz w:val="32"/>
          <w:highlight w:val="none"/>
        </w:rPr>
        <w:t xml:space="preserve">3. </w:t>
      </w:r>
      <w:r>
        <w:rPr>
          <w:rFonts w:hint="eastAsia" w:ascii="仿宋" w:hAnsi="仿宋" w:eastAsia="仿宋"/>
          <w:color w:val="auto"/>
          <w:sz w:val="32"/>
          <w:highlight w:val="none"/>
        </w:rPr>
        <w:t>合格的投标人</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52040209">
      <w:pPr>
        <w:spacing w:line="5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3.1</w:t>
      </w:r>
      <w:r>
        <w:rPr>
          <w:rFonts w:hint="eastAsia" w:ascii="仿宋" w:hAnsi="仿宋" w:eastAsia="仿宋"/>
          <w:color w:val="auto"/>
          <w:sz w:val="32"/>
          <w:szCs w:val="32"/>
          <w:highlight w:val="none"/>
        </w:rPr>
        <w:t>凡有能力提供本招标文件所述货物及服务的，符合本招标文件规定资格要求（具体要求见 “投标资格要求与投标资格证明文件”），符合政府采购法第二十二条的规定的均可能成为合格的投标人。</w:t>
      </w:r>
    </w:p>
    <w:p w14:paraId="05FFD2F3">
      <w:pPr>
        <w:spacing w:line="5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3.2</w:t>
      </w:r>
      <w:r>
        <w:rPr>
          <w:rFonts w:hint="eastAsia" w:ascii="仿宋" w:hAnsi="仿宋" w:eastAsia="仿宋"/>
          <w:color w:val="auto"/>
          <w:sz w:val="32"/>
          <w:szCs w:val="32"/>
          <w:highlight w:val="none"/>
        </w:rPr>
        <w:t xml:space="preserve"> 投标人应遵守中国的有关法律、法规和规章的规定</w:t>
      </w:r>
      <w:r>
        <w:rPr>
          <w:rFonts w:hint="eastAsia" w:ascii="仿宋" w:hAnsi="仿宋" w:eastAsia="仿宋"/>
          <w:bCs/>
          <w:color w:val="auto"/>
          <w:sz w:val="32"/>
          <w:szCs w:val="32"/>
          <w:highlight w:val="none"/>
        </w:rPr>
        <w:t>。</w:t>
      </w:r>
    </w:p>
    <w:p w14:paraId="604D0168">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3.3 一个投标人对同一个合同包只能提交一个投标文件。如果投标人之间存在下列互为关联关系的情形之一的，不得同时参加本项目投标：</w:t>
      </w:r>
    </w:p>
    <w:p w14:paraId="6B2A9E19">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 法定代表人为同一人的两个及两个以上法人；</w:t>
      </w:r>
    </w:p>
    <w:p w14:paraId="68DBE5B2">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 母公司、直接或间接持股50％及以上的被投资公司;</w:t>
      </w:r>
    </w:p>
    <w:p w14:paraId="234E642B">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 均为同一家母公司直接或间接持股50％及以上的被投资公司。</w:t>
      </w:r>
    </w:p>
    <w:p w14:paraId="66B53DA6">
      <w:pPr>
        <w:spacing w:line="500" w:lineRule="exact"/>
        <w:ind w:firstLine="640" w:firstLineChars="200"/>
        <w:rPr>
          <w:color w:val="auto"/>
          <w:highlight w:val="none"/>
        </w:rPr>
      </w:pPr>
      <w:r>
        <w:rPr>
          <w:rFonts w:hint="eastAsia" w:ascii="仿宋" w:hAnsi="仿宋" w:eastAsia="仿宋"/>
          <w:color w:val="auto"/>
          <w:sz w:val="32"/>
          <w:szCs w:val="32"/>
          <w:highlight w:val="none"/>
        </w:rPr>
        <w:t>3.4 本项目不接受联合体形式投标。</w:t>
      </w:r>
    </w:p>
    <w:p w14:paraId="58B876C4">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3.5 投标代理人在同一个合同包中只能接受一个投标人的委托参加投标。</w:t>
      </w:r>
    </w:p>
    <w:p w14:paraId="6C14F956">
      <w:pPr>
        <w:pStyle w:val="5"/>
        <w:keepNext w:val="0"/>
        <w:keepLines w:val="0"/>
        <w:spacing w:before="0" w:after="0" w:line="500" w:lineRule="exact"/>
        <w:ind w:firstLine="643" w:firstLineChars="200"/>
        <w:rPr>
          <w:rFonts w:ascii="仿宋" w:hAnsi="仿宋" w:eastAsia="仿宋"/>
          <w:color w:val="auto"/>
          <w:sz w:val="32"/>
          <w:highlight w:val="none"/>
        </w:rPr>
      </w:pPr>
      <w:bookmarkStart w:id="132" w:name="_Toc3863"/>
      <w:bookmarkStart w:id="133" w:name="_Toc22543"/>
      <w:bookmarkStart w:id="134" w:name="_Toc29943"/>
      <w:bookmarkStart w:id="135" w:name="_Toc17219"/>
      <w:bookmarkStart w:id="136" w:name="_Toc192925651"/>
      <w:bookmarkStart w:id="137" w:name="_Toc6251"/>
      <w:bookmarkStart w:id="138" w:name="_Toc29173"/>
      <w:bookmarkStart w:id="139" w:name="_Toc13684"/>
      <w:bookmarkStart w:id="140" w:name="_Toc31471"/>
      <w:bookmarkStart w:id="141" w:name="_Toc30067"/>
      <w:bookmarkStart w:id="142" w:name="_Toc191892303"/>
      <w:bookmarkStart w:id="143" w:name="_Toc30129"/>
      <w:bookmarkStart w:id="144" w:name="_Toc21871"/>
      <w:bookmarkStart w:id="145" w:name="_Toc1769"/>
      <w:bookmarkStart w:id="146" w:name="_Toc31211"/>
      <w:bookmarkStart w:id="147" w:name="_Toc29281"/>
      <w:r>
        <w:rPr>
          <w:rFonts w:hint="eastAsia" w:ascii="仿宋" w:hAnsi="仿宋" w:eastAsia="仿宋"/>
          <w:color w:val="auto"/>
          <w:sz w:val="32"/>
          <w:highlight w:val="none"/>
        </w:rPr>
        <w:t>4</w:t>
      </w:r>
      <w:r>
        <w:rPr>
          <w:rFonts w:ascii="仿宋" w:hAnsi="仿宋" w:eastAsia="仿宋"/>
          <w:color w:val="auto"/>
          <w:sz w:val="32"/>
          <w:highlight w:val="none"/>
        </w:rPr>
        <w:t>.</w:t>
      </w:r>
      <w:r>
        <w:rPr>
          <w:rFonts w:hint="eastAsia" w:ascii="仿宋" w:hAnsi="仿宋" w:eastAsia="仿宋"/>
          <w:color w:val="auto"/>
          <w:sz w:val="32"/>
          <w:highlight w:val="none"/>
        </w:rPr>
        <w:t xml:space="preserve"> 投标费用</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17A851AE">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投标人自行承担其参加投标所涉及的一切费用。</w:t>
      </w:r>
    </w:p>
    <w:p w14:paraId="5D562B2B">
      <w:pPr>
        <w:spacing w:line="500" w:lineRule="exact"/>
        <w:rPr>
          <w:rFonts w:ascii="仿宋" w:hAnsi="仿宋" w:eastAsia="仿宋"/>
          <w:color w:val="auto"/>
          <w:sz w:val="32"/>
          <w:szCs w:val="32"/>
          <w:highlight w:val="none"/>
        </w:rPr>
      </w:pPr>
      <w:bookmarkStart w:id="148" w:name="_Toc191892304"/>
      <w:bookmarkStart w:id="149" w:name="_Toc192925652"/>
    </w:p>
    <w:p w14:paraId="74C1BFD5">
      <w:pPr>
        <w:pStyle w:val="9"/>
        <w:rPr>
          <w:rFonts w:ascii="仿宋" w:hAnsi="仿宋" w:eastAsia="仿宋"/>
          <w:color w:val="auto"/>
          <w:sz w:val="32"/>
          <w:szCs w:val="32"/>
          <w:highlight w:val="none"/>
        </w:rPr>
      </w:pPr>
    </w:p>
    <w:p w14:paraId="53F6F0E1">
      <w:pPr>
        <w:rPr>
          <w:color w:val="auto"/>
          <w:highlight w:val="none"/>
        </w:rPr>
      </w:pPr>
    </w:p>
    <w:p w14:paraId="63C00D91">
      <w:pPr>
        <w:pStyle w:val="4"/>
        <w:keepNext w:val="0"/>
        <w:keepLines w:val="0"/>
        <w:spacing w:before="0" w:after="0" w:line="500" w:lineRule="exact"/>
        <w:rPr>
          <w:rFonts w:ascii="仿宋" w:hAnsi="仿宋" w:eastAsia="仿宋"/>
          <w:color w:val="auto"/>
          <w:sz w:val="32"/>
          <w:highlight w:val="none"/>
        </w:rPr>
      </w:pPr>
      <w:bookmarkStart w:id="150" w:name="_Toc193"/>
      <w:bookmarkStart w:id="151" w:name="_Toc26172"/>
      <w:bookmarkStart w:id="152" w:name="_Toc20281"/>
      <w:bookmarkStart w:id="153" w:name="_Toc5848"/>
      <w:bookmarkStart w:id="154" w:name="_Toc285"/>
      <w:bookmarkStart w:id="155" w:name="_Toc26479"/>
      <w:bookmarkStart w:id="156" w:name="_Toc4799"/>
      <w:bookmarkStart w:id="157" w:name="_Toc11988"/>
      <w:bookmarkStart w:id="158" w:name="_Toc24111"/>
      <w:bookmarkStart w:id="159" w:name="_Toc14476"/>
      <w:bookmarkStart w:id="160" w:name="_Toc25039"/>
      <w:bookmarkStart w:id="161" w:name="_Toc26288"/>
      <w:bookmarkStart w:id="162" w:name="_Toc10135"/>
      <w:bookmarkStart w:id="163" w:name="_Toc19153"/>
      <w:r>
        <w:rPr>
          <w:rFonts w:hint="eastAsia" w:ascii="仿宋" w:hAnsi="仿宋" w:eastAsia="仿宋"/>
          <w:color w:val="auto"/>
          <w:sz w:val="32"/>
          <w:highlight w:val="none"/>
        </w:rPr>
        <w:t>第二节  招标文件说明</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4F7B38D7">
      <w:pPr>
        <w:pStyle w:val="5"/>
        <w:keepNext w:val="0"/>
        <w:keepLines w:val="0"/>
        <w:spacing w:before="0" w:after="0" w:line="500" w:lineRule="exact"/>
        <w:ind w:firstLine="643" w:firstLineChars="200"/>
        <w:rPr>
          <w:rFonts w:ascii="仿宋" w:hAnsi="仿宋" w:eastAsia="仿宋"/>
          <w:color w:val="auto"/>
          <w:sz w:val="32"/>
          <w:highlight w:val="none"/>
        </w:rPr>
      </w:pPr>
      <w:bookmarkStart w:id="164" w:name="_Toc13800"/>
      <w:bookmarkStart w:id="165" w:name="_Toc191892305"/>
      <w:bookmarkStart w:id="166" w:name="_Toc28681"/>
      <w:bookmarkStart w:id="167" w:name="_Toc22814"/>
      <w:bookmarkStart w:id="168" w:name="_Toc25332"/>
      <w:bookmarkStart w:id="169" w:name="_Toc415"/>
      <w:bookmarkStart w:id="170" w:name="_Toc19004"/>
      <w:bookmarkStart w:id="171" w:name="_Toc5560"/>
      <w:bookmarkStart w:id="172" w:name="_Toc12449"/>
      <w:bookmarkStart w:id="173" w:name="_Toc18391"/>
      <w:bookmarkStart w:id="174" w:name="_Toc26146"/>
      <w:bookmarkStart w:id="175" w:name="_Toc29372"/>
      <w:bookmarkStart w:id="176" w:name="_Toc24354"/>
      <w:bookmarkStart w:id="177" w:name="_Toc192925653"/>
      <w:bookmarkStart w:id="178" w:name="_Toc26123"/>
      <w:bookmarkStart w:id="179" w:name="_Toc3378"/>
      <w:r>
        <w:rPr>
          <w:rFonts w:hint="eastAsia" w:ascii="仿宋" w:hAnsi="仿宋" w:eastAsia="仿宋"/>
          <w:color w:val="auto"/>
          <w:sz w:val="32"/>
          <w:highlight w:val="none"/>
        </w:rPr>
        <w:t>5</w:t>
      </w:r>
      <w:r>
        <w:rPr>
          <w:rFonts w:ascii="仿宋" w:hAnsi="仿宋" w:eastAsia="仿宋"/>
          <w:color w:val="auto"/>
          <w:sz w:val="32"/>
          <w:highlight w:val="none"/>
        </w:rPr>
        <w:t xml:space="preserve">. </w:t>
      </w:r>
      <w:r>
        <w:rPr>
          <w:rFonts w:hint="eastAsia" w:ascii="仿宋" w:hAnsi="仿宋" w:eastAsia="仿宋"/>
          <w:color w:val="auto"/>
          <w:sz w:val="32"/>
          <w:highlight w:val="none"/>
        </w:rPr>
        <w:t>招标文件的组成</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00C828B1">
      <w:pPr>
        <w:ind w:firstLine="640" w:firstLineChars="200"/>
        <w:rPr>
          <w:rFonts w:ascii="仿宋" w:hAnsi="仿宋" w:eastAsia="仿宋"/>
          <w:b/>
          <w:color w:val="auto"/>
          <w:sz w:val="32"/>
          <w:highlight w:val="none"/>
        </w:rPr>
      </w:pPr>
      <w:bookmarkStart w:id="180" w:name="_Toc523325329"/>
      <w:bookmarkStart w:id="181" w:name="_Toc523325149"/>
      <w:r>
        <w:rPr>
          <w:rFonts w:hint="eastAsia" w:ascii="仿宋" w:hAnsi="仿宋" w:eastAsia="仿宋"/>
          <w:color w:val="auto"/>
          <w:sz w:val="32"/>
          <w:highlight w:val="none"/>
        </w:rPr>
        <w:t>5.1招标文件用以阐明所需</w:t>
      </w:r>
      <w:r>
        <w:rPr>
          <w:rFonts w:hint="eastAsia" w:ascii="仿宋" w:hAnsi="仿宋" w:eastAsia="仿宋"/>
          <w:color w:val="auto"/>
          <w:sz w:val="32"/>
          <w:highlight w:val="none"/>
          <w:lang w:val="en-US" w:eastAsia="zh-CN"/>
        </w:rPr>
        <w:t>物资</w:t>
      </w:r>
      <w:r>
        <w:rPr>
          <w:rFonts w:hint="eastAsia" w:ascii="仿宋" w:hAnsi="仿宋" w:eastAsia="仿宋"/>
          <w:color w:val="auto"/>
          <w:sz w:val="32"/>
          <w:highlight w:val="none"/>
        </w:rPr>
        <w:t>及服务招标程序和合同主要条款。招标文件由下述主要部分组成：</w:t>
      </w:r>
      <w:bookmarkEnd w:id="180"/>
      <w:bookmarkEnd w:id="181"/>
    </w:p>
    <w:p w14:paraId="55F0855A">
      <w:pPr>
        <w:ind w:firstLine="640" w:firstLineChars="200"/>
        <w:rPr>
          <w:rFonts w:ascii="仿宋" w:hAnsi="仿宋" w:eastAsia="仿宋"/>
          <w:b/>
          <w:color w:val="auto"/>
          <w:sz w:val="32"/>
          <w:highlight w:val="none"/>
        </w:rPr>
      </w:pPr>
      <w:bookmarkStart w:id="182" w:name="_Toc523325330"/>
      <w:bookmarkStart w:id="183" w:name="_Toc523325150"/>
      <w:r>
        <w:rPr>
          <w:rFonts w:hint="eastAsia" w:ascii="仿宋" w:hAnsi="仿宋" w:eastAsia="仿宋"/>
          <w:color w:val="auto"/>
          <w:sz w:val="32"/>
          <w:highlight w:val="none"/>
        </w:rPr>
        <w:t xml:space="preserve">⑴ </w:t>
      </w:r>
      <w:bookmarkEnd w:id="182"/>
      <w:bookmarkEnd w:id="183"/>
      <w:r>
        <w:rPr>
          <w:rFonts w:hint="eastAsia" w:ascii="仿宋" w:hAnsi="仿宋" w:eastAsia="仿宋"/>
          <w:color w:val="auto"/>
          <w:sz w:val="32"/>
          <w:highlight w:val="none"/>
        </w:rPr>
        <w:t>招标公告</w:t>
      </w:r>
    </w:p>
    <w:p w14:paraId="11263816">
      <w:pPr>
        <w:ind w:firstLine="640" w:firstLineChars="200"/>
        <w:rPr>
          <w:rFonts w:ascii="仿宋" w:hAnsi="仿宋" w:eastAsia="仿宋"/>
          <w:b/>
          <w:color w:val="auto"/>
          <w:sz w:val="32"/>
          <w:highlight w:val="none"/>
        </w:rPr>
      </w:pPr>
      <w:bookmarkStart w:id="184" w:name="_Toc523325151"/>
      <w:bookmarkStart w:id="185" w:name="_Toc523325331"/>
      <w:r>
        <w:rPr>
          <w:rFonts w:hint="eastAsia" w:ascii="仿宋" w:hAnsi="仿宋" w:eastAsia="仿宋"/>
          <w:color w:val="auto"/>
          <w:sz w:val="32"/>
          <w:highlight w:val="none"/>
        </w:rPr>
        <w:t>⑵ 投标人须知</w:t>
      </w:r>
      <w:bookmarkEnd w:id="184"/>
      <w:bookmarkEnd w:id="185"/>
    </w:p>
    <w:p w14:paraId="7775875E">
      <w:pPr>
        <w:ind w:firstLine="640" w:firstLineChars="200"/>
        <w:rPr>
          <w:rFonts w:ascii="仿宋" w:hAnsi="仿宋" w:eastAsia="仿宋"/>
          <w:b/>
          <w:color w:val="auto"/>
          <w:sz w:val="32"/>
          <w:highlight w:val="none"/>
        </w:rPr>
      </w:pPr>
      <w:bookmarkStart w:id="186" w:name="_Toc523325332"/>
      <w:bookmarkStart w:id="187" w:name="_Toc523325152"/>
      <w:r>
        <w:rPr>
          <w:rFonts w:hint="eastAsia" w:ascii="仿宋" w:hAnsi="仿宋" w:eastAsia="仿宋"/>
          <w:color w:val="auto"/>
          <w:sz w:val="32"/>
          <w:highlight w:val="none"/>
        </w:rPr>
        <w:t>⑶ 招标内容及要求</w:t>
      </w:r>
      <w:bookmarkEnd w:id="186"/>
      <w:bookmarkEnd w:id="187"/>
    </w:p>
    <w:p w14:paraId="207CD6FE">
      <w:pPr>
        <w:ind w:firstLine="640" w:firstLineChars="200"/>
        <w:rPr>
          <w:rFonts w:hint="eastAsia" w:eastAsia="仿宋"/>
          <w:color w:val="auto"/>
          <w:highlight w:val="none"/>
          <w:lang w:val="en-US" w:eastAsia="zh-CN"/>
        </w:rPr>
      </w:pPr>
      <w:bookmarkStart w:id="188" w:name="_Toc523325153"/>
      <w:bookmarkStart w:id="189" w:name="_Toc523325333"/>
      <w:r>
        <w:rPr>
          <w:rFonts w:hint="eastAsia" w:ascii="仿宋" w:hAnsi="仿宋" w:eastAsia="仿宋"/>
          <w:color w:val="auto"/>
          <w:sz w:val="32"/>
          <w:highlight w:val="none"/>
        </w:rPr>
        <w:t>⑷ 投标文件格</w:t>
      </w:r>
      <w:bookmarkEnd w:id="188"/>
      <w:bookmarkEnd w:id="189"/>
      <w:bookmarkStart w:id="190" w:name="_Toc191892306"/>
      <w:bookmarkStart w:id="191" w:name="_Toc430492126"/>
      <w:bookmarkStart w:id="192" w:name="_Toc430488851"/>
      <w:bookmarkStart w:id="193" w:name="_Toc430488644"/>
      <w:bookmarkStart w:id="194" w:name="_Toc430490612"/>
      <w:bookmarkStart w:id="195" w:name="_Toc415567497"/>
      <w:bookmarkStart w:id="196" w:name="_Toc430489119"/>
      <w:bookmarkStart w:id="197" w:name="_Toc192925654"/>
      <w:bookmarkStart w:id="198" w:name="_Toc430422413"/>
      <w:r>
        <w:rPr>
          <w:rFonts w:hint="eastAsia" w:ascii="仿宋" w:hAnsi="仿宋" w:eastAsia="仿宋"/>
          <w:color w:val="auto"/>
          <w:sz w:val="32"/>
          <w:highlight w:val="none"/>
          <w:lang w:val="en-US" w:eastAsia="zh-CN"/>
        </w:rPr>
        <w:t>式</w:t>
      </w:r>
    </w:p>
    <w:p w14:paraId="222342B4">
      <w:pPr>
        <w:pStyle w:val="5"/>
        <w:keepNext w:val="0"/>
        <w:keepLines w:val="0"/>
        <w:spacing w:before="0" w:after="0" w:line="500" w:lineRule="exact"/>
        <w:ind w:firstLine="643" w:firstLineChars="200"/>
        <w:rPr>
          <w:rFonts w:ascii="仿宋" w:hAnsi="仿宋" w:eastAsia="仿宋"/>
          <w:color w:val="auto"/>
          <w:sz w:val="32"/>
          <w:highlight w:val="none"/>
        </w:rPr>
      </w:pPr>
      <w:bookmarkStart w:id="199" w:name="_Toc5428"/>
      <w:bookmarkStart w:id="200" w:name="_Toc16623"/>
      <w:bookmarkStart w:id="201" w:name="_Toc2427"/>
      <w:bookmarkStart w:id="202" w:name="_Toc20194"/>
      <w:bookmarkStart w:id="203" w:name="_Toc6771"/>
      <w:bookmarkStart w:id="204" w:name="_Toc23954"/>
      <w:bookmarkStart w:id="205" w:name="_Toc2711"/>
      <w:bookmarkStart w:id="206" w:name="_Toc8355"/>
      <w:bookmarkStart w:id="207" w:name="_Toc23474"/>
      <w:bookmarkStart w:id="208" w:name="_Toc29128"/>
      <w:bookmarkStart w:id="209" w:name="_Toc24537"/>
      <w:bookmarkStart w:id="210" w:name="_Toc5661"/>
      <w:bookmarkStart w:id="211" w:name="_Toc11878"/>
      <w:bookmarkStart w:id="212" w:name="_Toc944"/>
      <w:bookmarkStart w:id="213" w:name="_Toc25952"/>
      <w:r>
        <w:rPr>
          <w:rFonts w:ascii="仿宋" w:hAnsi="仿宋" w:eastAsia="仿宋"/>
          <w:color w:val="auto"/>
          <w:sz w:val="32"/>
          <w:highlight w:val="none"/>
        </w:rPr>
        <w:t>6. 招标文件的澄清</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bookmarkEnd w:id="190"/>
    <w:bookmarkEnd w:id="191"/>
    <w:bookmarkEnd w:id="192"/>
    <w:bookmarkEnd w:id="193"/>
    <w:bookmarkEnd w:id="194"/>
    <w:bookmarkEnd w:id="195"/>
    <w:bookmarkEnd w:id="196"/>
    <w:bookmarkEnd w:id="197"/>
    <w:bookmarkEnd w:id="198"/>
    <w:p w14:paraId="26819230">
      <w:pPr>
        <w:spacing w:line="500" w:lineRule="exact"/>
        <w:ind w:firstLine="640" w:firstLineChars="200"/>
        <w:rPr>
          <w:rFonts w:ascii="仿宋" w:hAnsi="仿宋" w:eastAsia="仿宋"/>
          <w:color w:val="auto"/>
          <w:sz w:val="32"/>
          <w:szCs w:val="32"/>
          <w:highlight w:val="none"/>
        </w:rPr>
      </w:pPr>
      <w:bookmarkStart w:id="214" w:name="_Toc523325335"/>
      <w:bookmarkStart w:id="215" w:name="_Toc523325155"/>
      <w:bookmarkStart w:id="216" w:name="_Toc192925656"/>
      <w:bookmarkStart w:id="217" w:name="_Toc191892308"/>
      <w:r>
        <w:rPr>
          <w:rFonts w:hint="eastAsia" w:ascii="仿宋" w:hAnsi="仿宋" w:eastAsia="仿宋"/>
          <w:color w:val="auto"/>
          <w:sz w:val="32"/>
          <w:szCs w:val="32"/>
          <w:highlight w:val="none"/>
        </w:rPr>
        <w:t>6.1</w:t>
      </w:r>
      <w:bookmarkEnd w:id="214"/>
      <w:bookmarkEnd w:id="215"/>
      <w:bookmarkStart w:id="218" w:name="_Toc430492127"/>
      <w:bookmarkStart w:id="219" w:name="_Toc192925655"/>
      <w:bookmarkStart w:id="220" w:name="_Toc430488645"/>
      <w:bookmarkStart w:id="221" w:name="_Toc430489120"/>
      <w:bookmarkStart w:id="222" w:name="_Toc430490613"/>
      <w:bookmarkStart w:id="223" w:name="_Toc430488852"/>
      <w:bookmarkStart w:id="224" w:name="_Toc415567498"/>
      <w:bookmarkStart w:id="225" w:name="_Toc430422414"/>
      <w:bookmarkStart w:id="226" w:name="_Toc191892307"/>
      <w:r>
        <w:rPr>
          <w:rFonts w:hint="eastAsia" w:ascii="仿宋" w:hAnsi="仿宋" w:eastAsia="仿宋"/>
          <w:color w:val="auto"/>
          <w:sz w:val="32"/>
          <w:szCs w:val="32"/>
          <w:highlight w:val="none"/>
        </w:rPr>
        <w:t>投标人对招标文件如有疑问，可要求澄清。要求澄清应按招标公告或投标邀请中载明的地址以书面形式在投标截止时间3个日历日前通知招标人（不在前述期限内的，招标人可不予澄清）。招标人将视情况在投标截止时间前，将不标明查询来源的书面答复发给所有投标人，并在发布招标公告的网站上发布更正公告（如采用公开招标）。该澄清内容为招标文件的组成部分。</w:t>
      </w:r>
    </w:p>
    <w:p w14:paraId="64C68F8D">
      <w:pPr>
        <w:pStyle w:val="5"/>
        <w:keepNext w:val="0"/>
        <w:keepLines w:val="0"/>
        <w:spacing w:before="0" w:after="0" w:line="500" w:lineRule="exact"/>
        <w:ind w:firstLine="643" w:firstLineChars="200"/>
        <w:rPr>
          <w:rFonts w:ascii="仿宋" w:hAnsi="仿宋" w:eastAsia="仿宋"/>
          <w:color w:val="auto"/>
          <w:sz w:val="32"/>
          <w:highlight w:val="none"/>
        </w:rPr>
      </w:pPr>
      <w:bookmarkStart w:id="227" w:name="_Toc28090"/>
      <w:bookmarkStart w:id="228" w:name="_Toc2041"/>
      <w:bookmarkStart w:id="229" w:name="_Toc18484"/>
      <w:bookmarkStart w:id="230" w:name="_Toc7878"/>
      <w:bookmarkStart w:id="231" w:name="_Toc22311"/>
      <w:bookmarkStart w:id="232" w:name="_Toc14051"/>
      <w:bookmarkStart w:id="233" w:name="_Toc32121"/>
      <w:bookmarkStart w:id="234" w:name="_Toc9231"/>
      <w:bookmarkStart w:id="235" w:name="_Toc13435"/>
      <w:bookmarkStart w:id="236" w:name="_Toc24271"/>
      <w:bookmarkStart w:id="237" w:name="_Toc27915"/>
      <w:bookmarkStart w:id="238" w:name="_Toc3155"/>
      <w:bookmarkStart w:id="239" w:name="_Toc17358"/>
      <w:bookmarkStart w:id="240" w:name="_Toc20467"/>
      <w:bookmarkStart w:id="241" w:name="_Toc22347"/>
      <w:r>
        <w:rPr>
          <w:rFonts w:ascii="仿宋" w:hAnsi="仿宋" w:eastAsia="仿宋"/>
          <w:color w:val="auto"/>
          <w:sz w:val="32"/>
          <w:highlight w:val="none"/>
        </w:rPr>
        <w:t xml:space="preserve">7. </w:t>
      </w:r>
      <w:r>
        <w:rPr>
          <w:rFonts w:hint="eastAsia" w:ascii="仿宋" w:hAnsi="仿宋" w:eastAsia="仿宋"/>
          <w:color w:val="auto"/>
          <w:sz w:val="32"/>
          <w:highlight w:val="none"/>
        </w:rPr>
        <w:t>招标文件的修改</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363829B0">
      <w:pPr>
        <w:spacing w:line="500" w:lineRule="exact"/>
        <w:ind w:firstLine="640" w:firstLineChars="200"/>
        <w:rPr>
          <w:rFonts w:ascii="仿宋" w:hAnsi="仿宋" w:eastAsia="仿宋"/>
          <w:color w:val="auto"/>
          <w:sz w:val="32"/>
          <w:szCs w:val="32"/>
          <w:highlight w:val="none"/>
        </w:rPr>
      </w:pPr>
      <w:bookmarkStart w:id="242" w:name="_Toc523325337"/>
      <w:bookmarkStart w:id="243" w:name="_Toc523325157"/>
      <w:r>
        <w:rPr>
          <w:rFonts w:hint="eastAsia" w:ascii="仿宋" w:hAnsi="仿宋" w:eastAsia="仿宋"/>
          <w:color w:val="auto"/>
          <w:sz w:val="32"/>
          <w:szCs w:val="32"/>
          <w:highlight w:val="none"/>
        </w:rPr>
        <w:t>7.1至投标截止日期前5个日历日（如至原定截止时间不足5个日历日，则需延长开标时间），招标人可根据需要或依投标人要求澄清的问题而修改招标文件，在发布招标公告的网站上发布更正公告，并通知所有潜在投标人，潜在投标人在收到该通知后应立即以相同形式予以确认。该修改内容为招标文件的组成部分，对投标人具有约束力。但本招标文件第7.2条规定的推迟投标截止时间和开标时间情形不受本条约束。</w:t>
      </w:r>
      <w:bookmarkEnd w:id="242"/>
      <w:bookmarkEnd w:id="243"/>
    </w:p>
    <w:p w14:paraId="464727BB">
      <w:pPr>
        <w:spacing w:line="500" w:lineRule="exact"/>
        <w:ind w:firstLine="640" w:firstLineChars="200"/>
        <w:rPr>
          <w:rFonts w:ascii="仿宋" w:hAnsi="仿宋" w:eastAsia="仿宋"/>
          <w:color w:val="auto"/>
          <w:sz w:val="32"/>
          <w:szCs w:val="32"/>
          <w:highlight w:val="none"/>
        </w:rPr>
      </w:pPr>
      <w:bookmarkStart w:id="244" w:name="_Toc523325338"/>
      <w:bookmarkStart w:id="245" w:name="_Toc523325158"/>
      <w:r>
        <w:rPr>
          <w:rFonts w:hint="eastAsia" w:ascii="仿宋" w:hAnsi="仿宋" w:eastAsia="仿宋"/>
          <w:color w:val="auto"/>
          <w:sz w:val="32"/>
          <w:szCs w:val="32"/>
          <w:highlight w:val="none"/>
        </w:rPr>
        <w:t>7.2 为使投标人在准备投标文件时有合理的时间考虑招标文件的修改，招标人可酌情推迟投标截止时间和开标时间，但应当将变更时间通知所有潜在投标人，并在发布招标公告的网站上发布更正公告。该修改内容为招标文件的组成部分。在此情况下，招标人和投标人受投标截止期制约的所有权利和义务均应延长至新的截止日期。</w:t>
      </w:r>
      <w:bookmarkEnd w:id="244"/>
      <w:bookmarkEnd w:id="245"/>
    </w:p>
    <w:p w14:paraId="54BA74CB">
      <w:pPr>
        <w:pStyle w:val="4"/>
        <w:keepNext w:val="0"/>
        <w:keepLines w:val="0"/>
        <w:spacing w:before="0" w:after="0" w:line="500" w:lineRule="exact"/>
        <w:rPr>
          <w:rFonts w:ascii="仿宋" w:hAnsi="仿宋" w:eastAsia="仿宋"/>
          <w:color w:val="auto"/>
          <w:sz w:val="32"/>
          <w:highlight w:val="none"/>
        </w:rPr>
      </w:pPr>
      <w:bookmarkStart w:id="246" w:name="_Toc16353"/>
      <w:bookmarkStart w:id="247" w:name="_Toc3548"/>
      <w:bookmarkStart w:id="248" w:name="_Toc3212"/>
      <w:bookmarkStart w:id="249" w:name="_Toc2931"/>
      <w:bookmarkStart w:id="250" w:name="_Toc20627"/>
      <w:bookmarkStart w:id="251" w:name="_Toc15696"/>
      <w:bookmarkStart w:id="252" w:name="_Toc23689"/>
      <w:bookmarkStart w:id="253" w:name="_Toc26740"/>
      <w:bookmarkStart w:id="254" w:name="_Toc23519"/>
      <w:bookmarkStart w:id="255" w:name="_Toc28273"/>
      <w:bookmarkStart w:id="256" w:name="_Toc18729"/>
      <w:bookmarkStart w:id="257" w:name="_Toc11574"/>
      <w:bookmarkStart w:id="258" w:name="_Toc16894"/>
      <w:bookmarkStart w:id="259" w:name="_Toc23345"/>
      <w:r>
        <w:rPr>
          <w:rFonts w:hint="eastAsia" w:ascii="仿宋" w:hAnsi="仿宋" w:eastAsia="仿宋"/>
          <w:color w:val="auto"/>
          <w:sz w:val="32"/>
          <w:highlight w:val="none"/>
        </w:rPr>
        <w:t>第三节  投标文件的编写</w:t>
      </w:r>
      <w:bookmarkEnd w:id="216"/>
      <w:bookmarkEnd w:id="217"/>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3F6E0C49">
      <w:pPr>
        <w:pStyle w:val="5"/>
        <w:keepNext w:val="0"/>
        <w:keepLines w:val="0"/>
        <w:spacing w:before="0" w:after="0" w:line="500" w:lineRule="exact"/>
        <w:ind w:firstLine="643" w:firstLineChars="200"/>
        <w:rPr>
          <w:rFonts w:ascii="仿宋" w:hAnsi="仿宋" w:eastAsia="仿宋"/>
          <w:color w:val="auto"/>
          <w:sz w:val="32"/>
          <w:highlight w:val="none"/>
        </w:rPr>
      </w:pPr>
      <w:bookmarkStart w:id="260" w:name="_Toc31477"/>
      <w:bookmarkStart w:id="261" w:name="_Toc12581"/>
      <w:bookmarkStart w:id="262" w:name="_Toc8558"/>
      <w:bookmarkStart w:id="263" w:name="_Toc9360"/>
      <w:bookmarkStart w:id="264" w:name="_Toc30905"/>
      <w:bookmarkStart w:id="265" w:name="_Toc27086"/>
      <w:bookmarkStart w:id="266" w:name="_Toc29772"/>
      <w:bookmarkStart w:id="267" w:name="_Toc23956"/>
      <w:bookmarkStart w:id="268" w:name="_Toc9289"/>
      <w:bookmarkStart w:id="269" w:name="_Toc3575"/>
      <w:bookmarkStart w:id="270" w:name="_Toc21778"/>
      <w:bookmarkStart w:id="271" w:name="_Toc192925657"/>
      <w:bookmarkStart w:id="272" w:name="_Toc3934"/>
      <w:bookmarkStart w:id="273" w:name="_Toc19309"/>
      <w:bookmarkStart w:id="274" w:name="_Toc594"/>
      <w:bookmarkStart w:id="275" w:name="_Toc191892309"/>
      <w:r>
        <w:rPr>
          <w:rFonts w:hint="eastAsia" w:ascii="仿宋" w:hAnsi="仿宋" w:eastAsia="仿宋"/>
          <w:color w:val="auto"/>
          <w:sz w:val="32"/>
          <w:highlight w:val="none"/>
        </w:rPr>
        <w:t>8</w:t>
      </w:r>
      <w:r>
        <w:rPr>
          <w:rFonts w:ascii="仿宋" w:hAnsi="仿宋" w:eastAsia="仿宋"/>
          <w:color w:val="auto"/>
          <w:sz w:val="32"/>
          <w:highlight w:val="none"/>
        </w:rPr>
        <w:t xml:space="preserve">. </w:t>
      </w:r>
      <w:r>
        <w:rPr>
          <w:rFonts w:hint="eastAsia" w:ascii="仿宋" w:hAnsi="仿宋" w:eastAsia="仿宋"/>
          <w:color w:val="auto"/>
          <w:sz w:val="32"/>
          <w:highlight w:val="none"/>
        </w:rPr>
        <w:t>要求</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2032FEC7">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8.1 投标人应仔细阅读招标文件的所有内容，按照招标文件的要求提交投标文件。投标文件应对招标文件的要求做出实质性响应，并保证所提供的全部资料的真实性，否则其投标将被拒绝。</w:t>
      </w:r>
    </w:p>
    <w:p w14:paraId="0096A331">
      <w:pPr>
        <w:tabs>
          <w:tab w:val="left" w:pos="900"/>
        </w:tabs>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8.2除非有另外的规定，投标人可对招标项目一览表所列的全部合同包或部分合同包进行投标。招标人不接受有任何可选择性的报价，每一种服务只能有一个报价。</w:t>
      </w:r>
    </w:p>
    <w:p w14:paraId="024DE897">
      <w:pPr>
        <w:pStyle w:val="5"/>
        <w:keepNext w:val="0"/>
        <w:keepLines w:val="0"/>
        <w:spacing w:before="0" w:after="0" w:line="500" w:lineRule="exact"/>
        <w:ind w:firstLine="643" w:firstLineChars="200"/>
        <w:rPr>
          <w:rFonts w:ascii="仿宋" w:hAnsi="仿宋" w:eastAsia="仿宋"/>
          <w:color w:val="auto"/>
          <w:sz w:val="32"/>
          <w:highlight w:val="none"/>
        </w:rPr>
      </w:pPr>
      <w:bookmarkStart w:id="276" w:name="_Toc191892310"/>
      <w:bookmarkStart w:id="277" w:name="_Toc12504"/>
      <w:bookmarkStart w:id="278" w:name="_Toc20352"/>
      <w:bookmarkStart w:id="279" w:name="_Toc3998"/>
      <w:bookmarkStart w:id="280" w:name="_Toc5589"/>
      <w:bookmarkStart w:id="281" w:name="_Toc13158"/>
      <w:bookmarkStart w:id="282" w:name="_Toc21692"/>
      <w:bookmarkStart w:id="283" w:name="_Toc11006"/>
      <w:bookmarkStart w:id="284" w:name="_Toc4244"/>
      <w:bookmarkStart w:id="285" w:name="_Toc192925658"/>
      <w:bookmarkStart w:id="286" w:name="_Toc10201"/>
      <w:bookmarkStart w:id="287" w:name="_Toc20043"/>
      <w:bookmarkStart w:id="288" w:name="_Toc301"/>
      <w:bookmarkStart w:id="289" w:name="_Toc25515"/>
      <w:bookmarkStart w:id="290" w:name="_Toc30749"/>
      <w:bookmarkStart w:id="291" w:name="_Toc24878"/>
      <w:r>
        <w:rPr>
          <w:rFonts w:hint="eastAsia" w:ascii="仿宋" w:hAnsi="仿宋" w:eastAsia="仿宋"/>
          <w:color w:val="auto"/>
          <w:sz w:val="32"/>
          <w:highlight w:val="none"/>
        </w:rPr>
        <w:t>9</w:t>
      </w:r>
      <w:r>
        <w:rPr>
          <w:rFonts w:ascii="仿宋" w:hAnsi="仿宋" w:eastAsia="仿宋"/>
          <w:color w:val="auto"/>
          <w:sz w:val="32"/>
          <w:highlight w:val="none"/>
        </w:rPr>
        <w:t xml:space="preserve">. </w:t>
      </w:r>
      <w:r>
        <w:rPr>
          <w:rFonts w:hint="eastAsia" w:ascii="仿宋" w:hAnsi="仿宋" w:eastAsia="仿宋"/>
          <w:color w:val="auto"/>
          <w:sz w:val="32"/>
          <w:highlight w:val="none"/>
        </w:rPr>
        <w:t>投标文件语言</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599050D3">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9.1投标文件应用中文书写。投标文件中所附或所引用的原件不是中文时，应附中文译本。各种计量单位及符号应采用国际上统一使用的公制计量单位和符号。</w:t>
      </w:r>
    </w:p>
    <w:p w14:paraId="45C19AA7">
      <w:pPr>
        <w:pStyle w:val="5"/>
        <w:keepNext w:val="0"/>
        <w:keepLines w:val="0"/>
        <w:spacing w:before="0" w:after="0" w:line="500" w:lineRule="exact"/>
        <w:ind w:firstLine="643" w:firstLineChars="200"/>
        <w:rPr>
          <w:rFonts w:ascii="仿宋" w:hAnsi="仿宋" w:eastAsia="仿宋"/>
          <w:color w:val="auto"/>
          <w:sz w:val="32"/>
          <w:highlight w:val="none"/>
        </w:rPr>
      </w:pPr>
      <w:bookmarkStart w:id="292" w:name="_Toc3691"/>
      <w:bookmarkStart w:id="293" w:name="_Toc901"/>
      <w:bookmarkStart w:id="294" w:name="_Toc10643"/>
      <w:bookmarkStart w:id="295" w:name="_Toc4351"/>
      <w:bookmarkStart w:id="296" w:name="_Toc26190"/>
      <w:bookmarkStart w:id="297" w:name="_Toc17127"/>
      <w:bookmarkStart w:id="298" w:name="_Toc10438"/>
      <w:bookmarkStart w:id="299" w:name="_Toc191892311"/>
      <w:bookmarkStart w:id="300" w:name="_Toc29936"/>
      <w:bookmarkStart w:id="301" w:name="_Toc3395"/>
      <w:bookmarkStart w:id="302" w:name="_Toc22255"/>
      <w:bookmarkStart w:id="303" w:name="_Toc1288"/>
      <w:bookmarkStart w:id="304" w:name="_Toc30255"/>
      <w:bookmarkStart w:id="305" w:name="_Toc20876"/>
      <w:bookmarkStart w:id="306" w:name="_Toc16975"/>
      <w:bookmarkStart w:id="307" w:name="_Toc192925659"/>
      <w:r>
        <w:rPr>
          <w:rFonts w:hint="eastAsia" w:ascii="仿宋" w:hAnsi="仿宋" w:eastAsia="仿宋"/>
          <w:color w:val="auto"/>
          <w:sz w:val="32"/>
          <w:highlight w:val="none"/>
        </w:rPr>
        <w:t>10</w:t>
      </w:r>
      <w:r>
        <w:rPr>
          <w:rFonts w:ascii="仿宋" w:hAnsi="仿宋" w:eastAsia="仿宋"/>
          <w:color w:val="auto"/>
          <w:sz w:val="32"/>
          <w:highlight w:val="none"/>
        </w:rPr>
        <w:t xml:space="preserve">. </w:t>
      </w:r>
      <w:r>
        <w:rPr>
          <w:rFonts w:hint="eastAsia" w:ascii="仿宋" w:hAnsi="仿宋" w:eastAsia="仿宋"/>
          <w:color w:val="auto"/>
          <w:sz w:val="32"/>
          <w:highlight w:val="none"/>
        </w:rPr>
        <w:t>投标文件的组成</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4151695F">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10.1</w:t>
      </w:r>
      <w:r>
        <w:rPr>
          <w:rFonts w:hint="eastAsia" w:ascii="仿宋" w:hAnsi="仿宋" w:eastAsia="仿宋"/>
          <w:color w:val="auto"/>
          <w:sz w:val="32"/>
          <w:szCs w:val="32"/>
          <w:highlight w:val="none"/>
        </w:rPr>
        <w:t>投标文件应包括下列部分：</w:t>
      </w:r>
    </w:p>
    <w:p w14:paraId="0813DAF5">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投标书</w:t>
      </w:r>
    </w:p>
    <w:p w14:paraId="778B7782">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开标一览表</w:t>
      </w:r>
    </w:p>
    <w:p w14:paraId="4B03E3C4">
      <w:pPr>
        <w:spacing w:line="5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投标人业绩证明</w:t>
      </w:r>
    </w:p>
    <w:p w14:paraId="25D5E0F7">
      <w:pPr>
        <w:spacing w:line="5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拟派项目其他人员履历</w:t>
      </w:r>
    </w:p>
    <w:p w14:paraId="5ED425CE">
      <w:pPr>
        <w:spacing w:line="5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模拟验收服务承诺函</w:t>
      </w:r>
    </w:p>
    <w:p w14:paraId="285F3CBA">
      <w:pPr>
        <w:spacing w:line="5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法人代表授权书</w:t>
      </w:r>
    </w:p>
    <w:p w14:paraId="33BB20AB">
      <w:pPr>
        <w:spacing w:line="500" w:lineRule="exact"/>
        <w:ind w:firstLine="640" w:firstLineChars="2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7</w:t>
      </w:r>
      <w:r>
        <w:rPr>
          <w:rFonts w:hint="eastAsia" w:ascii="仿宋" w:hAnsi="仿宋" w:eastAsia="仿宋"/>
          <w:color w:val="auto"/>
          <w:sz w:val="32"/>
          <w:szCs w:val="32"/>
          <w:highlight w:val="none"/>
          <w:lang w:eastAsia="zh-CN"/>
        </w:rPr>
        <w:t>）</w:t>
      </w:r>
      <w:r>
        <w:rPr>
          <w:rFonts w:hint="default" w:ascii="仿宋" w:hAnsi="仿宋" w:eastAsia="仿宋"/>
          <w:color w:val="auto"/>
          <w:sz w:val="32"/>
          <w:szCs w:val="32"/>
          <w:highlight w:val="none"/>
          <w:lang w:val="en-US" w:eastAsia="zh-CN"/>
        </w:rPr>
        <w:t>法人营业执照</w:t>
      </w:r>
    </w:p>
    <w:p w14:paraId="75E37817">
      <w:pPr>
        <w:spacing w:line="500" w:lineRule="exact"/>
        <w:ind w:firstLine="640" w:firstLineChars="200"/>
        <w:rPr>
          <w:rFonts w:hint="default"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lang w:eastAsia="zh-CN"/>
        </w:rPr>
        <w:t>）</w:t>
      </w:r>
      <w:r>
        <w:rPr>
          <w:rFonts w:hint="default" w:ascii="仿宋" w:hAnsi="仿宋" w:eastAsia="仿宋"/>
          <w:color w:val="auto"/>
          <w:sz w:val="32"/>
          <w:szCs w:val="32"/>
          <w:highlight w:val="none"/>
        </w:rPr>
        <w:t>廉洁承诺书</w:t>
      </w:r>
      <w:r>
        <w:rPr>
          <w:rFonts w:hint="default" w:ascii="仿宋" w:hAnsi="仿宋" w:eastAsia="仿宋"/>
          <w:color w:val="auto"/>
          <w:sz w:val="32"/>
          <w:szCs w:val="32"/>
          <w:highlight w:val="none"/>
          <w:lang w:eastAsia="zh-CN"/>
        </w:rPr>
        <w:t>、</w:t>
      </w:r>
    </w:p>
    <w:p w14:paraId="7D8B70FC">
      <w:pPr>
        <w:spacing w:line="500" w:lineRule="exact"/>
        <w:ind w:firstLine="640" w:firstLineChars="2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9</w:t>
      </w:r>
      <w:r>
        <w:rPr>
          <w:rFonts w:hint="eastAsia" w:ascii="仿宋" w:hAnsi="仿宋" w:eastAsia="仿宋"/>
          <w:color w:val="auto"/>
          <w:sz w:val="32"/>
          <w:szCs w:val="32"/>
          <w:highlight w:val="none"/>
          <w:lang w:eastAsia="zh-CN"/>
        </w:rPr>
        <w:t>）</w:t>
      </w:r>
      <w:r>
        <w:rPr>
          <w:rFonts w:hint="eastAsia" w:ascii="仿宋" w:hAnsi="仿宋" w:eastAsia="仿宋"/>
          <w:b w:val="0"/>
          <w:bCs w:val="0"/>
          <w:color w:val="auto"/>
          <w:sz w:val="32"/>
          <w:szCs w:val="32"/>
          <w:highlight w:val="none"/>
        </w:rPr>
        <w:t>带“★”号条款逐条响应情况表</w:t>
      </w:r>
    </w:p>
    <w:p w14:paraId="11375523">
      <w:pPr>
        <w:spacing w:line="5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10</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 xml:space="preserve"> 投标人提交的其它资料</w:t>
      </w:r>
    </w:p>
    <w:p w14:paraId="61BE76ED">
      <w:pPr>
        <w:spacing w:line="5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10.2</w:t>
      </w:r>
      <w:r>
        <w:rPr>
          <w:rFonts w:hint="eastAsia" w:ascii="仿宋" w:hAnsi="仿宋" w:eastAsia="仿宋"/>
          <w:color w:val="auto"/>
          <w:sz w:val="32"/>
          <w:szCs w:val="32"/>
        </w:rPr>
        <w:t>投标人所作的一切有效补充、修改文件，均被视为投标文件不可分割的部分。</w:t>
      </w:r>
    </w:p>
    <w:p w14:paraId="41EDF9AD">
      <w:pPr>
        <w:pStyle w:val="24"/>
        <w:rPr>
          <w:color w:val="auto"/>
          <w:highlight w:val="none"/>
        </w:rPr>
      </w:pPr>
    </w:p>
    <w:p w14:paraId="19A01A96">
      <w:pPr>
        <w:pStyle w:val="5"/>
        <w:keepNext w:val="0"/>
        <w:keepLines w:val="0"/>
        <w:spacing w:before="0" w:after="0" w:line="500" w:lineRule="exact"/>
        <w:ind w:firstLine="643" w:firstLineChars="200"/>
        <w:rPr>
          <w:rFonts w:ascii="仿宋" w:hAnsi="仿宋" w:eastAsia="仿宋"/>
          <w:color w:val="auto"/>
          <w:sz w:val="32"/>
          <w:highlight w:val="none"/>
        </w:rPr>
      </w:pPr>
      <w:bookmarkStart w:id="308" w:name="_Toc28919"/>
      <w:bookmarkStart w:id="309" w:name="_Toc11498"/>
      <w:bookmarkStart w:id="310" w:name="_Toc27982"/>
      <w:bookmarkStart w:id="311" w:name="_Toc4863"/>
      <w:bookmarkStart w:id="312" w:name="_Toc191892312"/>
      <w:bookmarkStart w:id="313" w:name="_Toc20987"/>
      <w:bookmarkStart w:id="314" w:name="_Toc192925660"/>
      <w:bookmarkStart w:id="315" w:name="_Toc16973"/>
      <w:bookmarkStart w:id="316" w:name="_Toc32757"/>
      <w:bookmarkStart w:id="317" w:name="_Toc2894"/>
      <w:bookmarkStart w:id="318" w:name="_Toc2890"/>
      <w:bookmarkStart w:id="319" w:name="_Toc20665"/>
      <w:bookmarkStart w:id="320" w:name="_Toc3553"/>
      <w:bookmarkStart w:id="321" w:name="_Toc6477"/>
      <w:bookmarkStart w:id="322" w:name="_Toc6473"/>
      <w:bookmarkStart w:id="323" w:name="_Toc27164"/>
      <w:r>
        <w:rPr>
          <w:rFonts w:hint="eastAsia" w:ascii="仿宋" w:hAnsi="仿宋" w:eastAsia="仿宋"/>
          <w:color w:val="auto"/>
          <w:sz w:val="32"/>
          <w:highlight w:val="none"/>
        </w:rPr>
        <w:t>11</w:t>
      </w:r>
      <w:r>
        <w:rPr>
          <w:rFonts w:ascii="仿宋" w:hAnsi="仿宋" w:eastAsia="仿宋"/>
          <w:color w:val="auto"/>
          <w:sz w:val="32"/>
          <w:highlight w:val="none"/>
        </w:rPr>
        <w:t xml:space="preserve">. </w:t>
      </w:r>
      <w:r>
        <w:rPr>
          <w:rFonts w:hint="eastAsia" w:ascii="仿宋" w:hAnsi="仿宋" w:eastAsia="仿宋"/>
          <w:color w:val="auto"/>
          <w:sz w:val="32"/>
          <w:highlight w:val="none"/>
        </w:rPr>
        <w:t>投标有效期</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610B25DE">
      <w:pPr>
        <w:spacing w:line="500" w:lineRule="exact"/>
        <w:ind w:firstLine="641"/>
        <w:rPr>
          <w:rFonts w:hint="eastAsia" w:ascii="仿宋" w:hAnsi="仿宋" w:eastAsia="仿宋"/>
          <w:color w:val="auto"/>
          <w:sz w:val="32"/>
          <w:szCs w:val="32"/>
        </w:rPr>
      </w:pPr>
      <w:bookmarkStart w:id="324" w:name="_Toc15559"/>
      <w:bookmarkStart w:id="325" w:name="_Toc13454"/>
      <w:bookmarkStart w:id="326" w:name="_Toc11233"/>
      <w:bookmarkStart w:id="327" w:name="_Toc24409"/>
      <w:bookmarkStart w:id="328" w:name="_Toc23109"/>
      <w:bookmarkStart w:id="329" w:name="_Toc4352"/>
      <w:bookmarkStart w:id="330" w:name="_Toc23177"/>
      <w:bookmarkStart w:id="331" w:name="_Toc191892314"/>
      <w:bookmarkStart w:id="332" w:name="_Toc22222"/>
      <w:bookmarkStart w:id="333" w:name="_Toc192925662"/>
      <w:bookmarkStart w:id="334" w:name="_Toc30663"/>
      <w:r>
        <w:rPr>
          <w:rFonts w:hint="eastAsia" w:ascii="仿宋" w:hAnsi="仿宋" w:eastAsia="仿宋"/>
          <w:color w:val="auto"/>
          <w:sz w:val="32"/>
          <w:szCs w:val="32"/>
        </w:rPr>
        <w:t>11.1投标文件从“投标人须知前附表”所规定的投标截止期之后开始生效，在“投标人须知前附表”所规定的期限内保持有效。有效期不足将导致其投标文件被拒绝。</w:t>
      </w:r>
      <w:bookmarkEnd w:id="324"/>
    </w:p>
    <w:p w14:paraId="12812D51">
      <w:pPr>
        <w:spacing w:line="500" w:lineRule="exact"/>
        <w:ind w:firstLine="641"/>
        <w:rPr>
          <w:rFonts w:hint="eastAsia" w:ascii="仿宋" w:hAnsi="仿宋" w:eastAsia="仿宋"/>
          <w:color w:val="auto"/>
          <w:sz w:val="32"/>
          <w:szCs w:val="32"/>
        </w:rPr>
      </w:pPr>
      <w:bookmarkStart w:id="335" w:name="_Toc32468"/>
      <w:r>
        <w:rPr>
          <w:rFonts w:hint="eastAsia" w:ascii="仿宋" w:hAnsi="仿宋" w:eastAsia="仿宋"/>
          <w:color w:val="auto"/>
          <w:sz w:val="32"/>
          <w:szCs w:val="32"/>
        </w:rPr>
        <w:t>11.2在特殊情况下，招标人如在投标有效期满之前，书面要求投标人同意延长有效期，投标人应在招标人规定的期限内，以书面形式予以答复。投标人可以拒绝上述要求，其投标保证金将按规定予以退还。如果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bookmarkEnd w:id="335"/>
    </w:p>
    <w:p w14:paraId="64257F3E">
      <w:pPr>
        <w:pStyle w:val="5"/>
        <w:keepNext w:val="0"/>
        <w:keepLines w:val="0"/>
        <w:spacing w:before="0" w:after="0" w:line="500" w:lineRule="exact"/>
        <w:ind w:firstLine="643" w:firstLineChars="200"/>
        <w:rPr>
          <w:rFonts w:ascii="仿宋" w:hAnsi="仿宋" w:eastAsia="仿宋"/>
          <w:color w:val="auto"/>
          <w:sz w:val="32"/>
        </w:rPr>
      </w:pPr>
      <w:bookmarkStart w:id="336" w:name="_Toc30847"/>
      <w:bookmarkStart w:id="337" w:name="_Toc191892313"/>
      <w:bookmarkStart w:id="338" w:name="_Toc9256"/>
      <w:bookmarkStart w:id="339" w:name="_Toc25041"/>
      <w:bookmarkStart w:id="340" w:name="_Toc2866"/>
      <w:bookmarkStart w:id="341" w:name="_Toc13598"/>
      <w:bookmarkStart w:id="342" w:name="_Toc19604"/>
      <w:bookmarkStart w:id="343" w:name="_Toc29256"/>
      <w:bookmarkStart w:id="344" w:name="_Toc192925661"/>
      <w:r>
        <w:rPr>
          <w:rFonts w:hint="eastAsia" w:ascii="仿宋" w:hAnsi="仿宋" w:eastAsia="仿宋"/>
          <w:color w:val="auto"/>
          <w:sz w:val="32"/>
        </w:rPr>
        <w:t>12. 投标保证金</w:t>
      </w:r>
      <w:bookmarkEnd w:id="336"/>
      <w:bookmarkEnd w:id="337"/>
      <w:bookmarkEnd w:id="338"/>
      <w:bookmarkEnd w:id="339"/>
      <w:bookmarkEnd w:id="340"/>
      <w:bookmarkEnd w:id="341"/>
      <w:bookmarkEnd w:id="342"/>
      <w:bookmarkEnd w:id="343"/>
      <w:bookmarkEnd w:id="344"/>
    </w:p>
    <w:p w14:paraId="5A03D307">
      <w:pPr>
        <w:spacing w:line="50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12.1 投标保证金</w:t>
      </w:r>
    </w:p>
    <w:p w14:paraId="002AA792">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12.1.1投标保证金为投标文件的组成部分之一。</w:t>
      </w:r>
    </w:p>
    <w:p w14:paraId="0A5A812A">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12.1.2 投标人应在提交投标文件之前，向招标人缴交“投标人须知前附表”要求的投标保证金。</w:t>
      </w:r>
    </w:p>
    <w:p w14:paraId="216A4245">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12.1.3 投标保证金用于保护本次招标活动免受投标人的行为而引起的风险。</w:t>
      </w:r>
    </w:p>
    <w:p w14:paraId="0CF6BC38">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12.1.4 投标保证金以转账或电汇形式提交，必须于投标截止时间前到账。</w:t>
      </w:r>
    </w:p>
    <w:p w14:paraId="3F9F7B5E">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12.1.5 未按规定缴交投标保证金的投标，将被视为无效投标。</w:t>
      </w:r>
    </w:p>
    <w:p w14:paraId="41F34D72">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12.1.6中标通知书发出后，招标人</w:t>
      </w:r>
      <w:r>
        <w:rPr>
          <w:rFonts w:ascii="仿宋" w:hAnsi="仿宋" w:eastAsia="仿宋"/>
          <w:color w:val="auto"/>
          <w:sz w:val="32"/>
          <w:szCs w:val="32"/>
        </w:rPr>
        <w:t>将</w:t>
      </w:r>
      <w:r>
        <w:rPr>
          <w:rFonts w:hint="eastAsia" w:ascii="仿宋" w:hAnsi="仿宋" w:eastAsia="仿宋"/>
          <w:color w:val="auto"/>
          <w:sz w:val="32"/>
          <w:szCs w:val="32"/>
        </w:rPr>
        <w:t>在</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个工作日内予以原额无息退还未中标人的投标保证金。</w:t>
      </w:r>
    </w:p>
    <w:p w14:paraId="21757606">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12.1.7 发生</w:t>
      </w:r>
      <w:r>
        <w:rPr>
          <w:rFonts w:hint="eastAsia" w:ascii="仿宋" w:hAnsi="仿宋" w:eastAsia="仿宋"/>
          <w:b/>
          <w:color w:val="auto"/>
          <w:sz w:val="32"/>
          <w:szCs w:val="32"/>
        </w:rPr>
        <w:t>以下情况之一</w:t>
      </w:r>
      <w:r>
        <w:rPr>
          <w:rFonts w:hint="eastAsia" w:ascii="仿宋" w:hAnsi="仿宋" w:eastAsia="仿宋"/>
          <w:color w:val="auto"/>
          <w:sz w:val="32"/>
          <w:szCs w:val="32"/>
        </w:rPr>
        <w:t>的，投标保证金将</w:t>
      </w:r>
      <w:r>
        <w:rPr>
          <w:rFonts w:hint="eastAsia" w:ascii="仿宋" w:hAnsi="仿宋" w:eastAsia="仿宋"/>
          <w:b/>
          <w:color w:val="auto"/>
          <w:sz w:val="32"/>
          <w:szCs w:val="32"/>
        </w:rPr>
        <w:t>不予退还</w:t>
      </w:r>
      <w:r>
        <w:rPr>
          <w:rFonts w:hint="eastAsia" w:ascii="仿宋" w:hAnsi="仿宋" w:eastAsia="仿宋"/>
          <w:color w:val="auto"/>
          <w:sz w:val="32"/>
          <w:szCs w:val="32"/>
        </w:rPr>
        <w:t>：</w:t>
      </w:r>
    </w:p>
    <w:p w14:paraId="5351F56A">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⑴ 投标人在投标截止期后，投标有效期内撤回投标；</w:t>
      </w:r>
    </w:p>
    <w:p w14:paraId="6E29FCCD">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⑵ 中标人未能做到按本须知第22条规定签订合同；</w:t>
      </w:r>
    </w:p>
    <w:p w14:paraId="53332EE1">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⑶</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中标人未按本招标文件规定提交银行履约保函或履约保证金的；</w:t>
      </w:r>
    </w:p>
    <w:p w14:paraId="45E3C832">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⑷ 以他人名义投标或者以其他方式弄虚作假，骗取中标；</w:t>
      </w:r>
    </w:p>
    <w:p w14:paraId="6DE735D1">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⑸ 本招标文件中规定的其他没收投标保证金的情形。</w:t>
      </w:r>
    </w:p>
    <w:p w14:paraId="72E8C465">
      <w:pPr>
        <w:spacing w:line="500" w:lineRule="exact"/>
        <w:ind w:firstLine="640" w:firstLineChars="200"/>
        <w:rPr>
          <w:rFonts w:hint="eastAsia"/>
          <w:color w:val="auto"/>
        </w:rPr>
      </w:pPr>
      <w:r>
        <w:rPr>
          <w:rFonts w:hint="eastAsia" w:ascii="仿宋" w:hAnsi="仿宋" w:eastAsia="仿宋"/>
          <w:color w:val="auto"/>
          <w:sz w:val="32"/>
          <w:szCs w:val="32"/>
        </w:rPr>
        <w:t>上述不予退还投标保证金的情况，如给招标人造成损失的，投标人还应承担赔偿责任。</w:t>
      </w:r>
    </w:p>
    <w:bookmarkEnd w:id="325"/>
    <w:bookmarkEnd w:id="326"/>
    <w:bookmarkEnd w:id="327"/>
    <w:bookmarkEnd w:id="328"/>
    <w:bookmarkEnd w:id="329"/>
    <w:bookmarkEnd w:id="330"/>
    <w:bookmarkEnd w:id="331"/>
    <w:bookmarkEnd w:id="332"/>
    <w:bookmarkEnd w:id="333"/>
    <w:bookmarkEnd w:id="334"/>
    <w:p w14:paraId="11B8F7CC">
      <w:pPr>
        <w:spacing w:line="500" w:lineRule="exact"/>
        <w:ind w:firstLine="643" w:firstLineChars="200"/>
        <w:outlineLvl w:val="2"/>
        <w:rPr>
          <w:rFonts w:ascii="仿宋" w:hAnsi="仿宋" w:eastAsia="仿宋"/>
          <w:b/>
          <w:bCs/>
          <w:color w:val="auto"/>
          <w:sz w:val="32"/>
          <w:szCs w:val="32"/>
          <w:highlight w:val="none"/>
        </w:rPr>
      </w:pPr>
      <w:bookmarkStart w:id="345" w:name="_Toc19975"/>
      <w:bookmarkStart w:id="346" w:name="_Toc18968"/>
      <w:bookmarkStart w:id="347" w:name="_Toc9771"/>
      <w:bookmarkStart w:id="348" w:name="_Toc12650"/>
      <w:bookmarkStart w:id="349" w:name="_Toc22784"/>
      <w:r>
        <w:rPr>
          <w:rFonts w:hint="eastAsia" w:ascii="仿宋" w:hAnsi="仿宋" w:eastAsia="仿宋"/>
          <w:b/>
          <w:bCs/>
          <w:color w:val="auto"/>
          <w:sz w:val="32"/>
          <w:szCs w:val="32"/>
          <w:highlight w:val="none"/>
        </w:rPr>
        <w:t>13</w:t>
      </w:r>
      <w:r>
        <w:rPr>
          <w:rFonts w:ascii="仿宋" w:hAnsi="仿宋" w:eastAsia="仿宋"/>
          <w:b/>
          <w:bCs/>
          <w:color w:val="auto"/>
          <w:sz w:val="32"/>
          <w:szCs w:val="32"/>
          <w:highlight w:val="none"/>
        </w:rPr>
        <w:t xml:space="preserve">. </w:t>
      </w:r>
      <w:r>
        <w:rPr>
          <w:rFonts w:hint="eastAsia" w:ascii="仿宋" w:hAnsi="仿宋" w:eastAsia="仿宋"/>
          <w:b/>
          <w:bCs/>
          <w:color w:val="auto"/>
          <w:sz w:val="32"/>
          <w:szCs w:val="32"/>
          <w:highlight w:val="none"/>
        </w:rPr>
        <w:t>投标文件的格式</w:t>
      </w:r>
      <w:bookmarkEnd w:id="345"/>
      <w:bookmarkEnd w:id="346"/>
      <w:bookmarkEnd w:id="347"/>
      <w:bookmarkEnd w:id="348"/>
      <w:bookmarkEnd w:id="349"/>
    </w:p>
    <w:p w14:paraId="1CE56F56">
      <w:pPr>
        <w:spacing w:line="500" w:lineRule="exact"/>
        <w:ind w:firstLine="641"/>
        <w:rPr>
          <w:rFonts w:hint="eastAsia" w:ascii="仿宋" w:hAnsi="仿宋" w:eastAsia="仿宋"/>
          <w:color w:val="auto"/>
          <w:sz w:val="32"/>
          <w:szCs w:val="32"/>
        </w:rPr>
      </w:pPr>
      <w:r>
        <w:rPr>
          <w:rFonts w:hint="eastAsia" w:ascii="仿宋" w:hAnsi="仿宋" w:eastAsia="仿宋"/>
          <w:color w:val="auto"/>
          <w:sz w:val="32"/>
          <w:szCs w:val="32"/>
        </w:rPr>
        <w:t>13.1投标人须按照本招标文件规定，编制投标文件的正本一份，副本一份</w:t>
      </w:r>
      <w:r>
        <w:rPr>
          <w:rFonts w:hint="eastAsia" w:ascii="仿宋" w:hAnsi="仿宋" w:eastAsia="仿宋"/>
          <w:color w:val="auto"/>
          <w:sz w:val="32"/>
          <w:szCs w:val="32"/>
          <w:lang w:val="en-US" w:eastAsia="zh-CN"/>
        </w:rPr>
        <w:t>,</w:t>
      </w:r>
      <w:r>
        <w:rPr>
          <w:rFonts w:hint="eastAsia" w:ascii="仿宋" w:hAnsi="仿宋" w:eastAsia="仿宋"/>
          <w:color w:val="auto"/>
          <w:sz w:val="32"/>
          <w:szCs w:val="32"/>
        </w:rPr>
        <w:t>电子版一份</w:t>
      </w:r>
      <w:r>
        <w:rPr>
          <w:rFonts w:hint="eastAsia" w:ascii="仿宋" w:hAnsi="仿宋" w:eastAsia="仿宋"/>
          <w:color w:val="auto"/>
          <w:sz w:val="32"/>
          <w:szCs w:val="32"/>
          <w:lang w:val="en-US" w:eastAsia="zh-CN"/>
        </w:rPr>
        <w:t>(通过U盘介质提交）</w:t>
      </w:r>
      <w:r>
        <w:rPr>
          <w:rFonts w:hint="eastAsia" w:ascii="仿宋" w:hAnsi="仿宋" w:eastAsia="仿宋"/>
          <w:color w:val="auto"/>
          <w:sz w:val="32"/>
          <w:szCs w:val="32"/>
          <w:lang w:eastAsia="zh-CN"/>
        </w:rPr>
        <w:t>。</w:t>
      </w:r>
      <w:r>
        <w:rPr>
          <w:rFonts w:hint="eastAsia" w:ascii="仿宋" w:hAnsi="仿宋" w:eastAsia="仿宋"/>
          <w:color w:val="auto"/>
          <w:sz w:val="32"/>
          <w:szCs w:val="32"/>
        </w:rPr>
        <w:t>正本必须用A4幅面纸张打印装订，副本可用正本的完整复印件，电子版应为加盖公章的投标文件正本原件扫描件</w:t>
      </w:r>
      <w:r>
        <w:rPr>
          <w:rFonts w:hint="eastAsia" w:ascii="仿宋" w:hAnsi="仿宋" w:eastAsia="仿宋"/>
          <w:color w:val="auto"/>
          <w:sz w:val="32"/>
          <w:szCs w:val="32"/>
          <w:lang w:eastAsia="zh-CN"/>
        </w:rPr>
        <w:t>，</w:t>
      </w:r>
      <w:r>
        <w:rPr>
          <w:rFonts w:hint="eastAsia" w:ascii="仿宋" w:hAnsi="仿宋" w:eastAsia="仿宋"/>
          <w:color w:val="auto"/>
          <w:sz w:val="32"/>
          <w:szCs w:val="32"/>
        </w:rPr>
        <w:t>并在封面标明“正本”、“副本”</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电子版”</w:t>
      </w:r>
      <w:r>
        <w:rPr>
          <w:rFonts w:hint="eastAsia" w:ascii="仿宋" w:hAnsi="仿宋" w:eastAsia="仿宋"/>
          <w:color w:val="auto"/>
          <w:sz w:val="32"/>
          <w:szCs w:val="32"/>
        </w:rPr>
        <w:t>字样。正本</w:t>
      </w:r>
      <w:r>
        <w:rPr>
          <w:rFonts w:hint="eastAsia" w:ascii="仿宋" w:hAnsi="仿宋" w:eastAsia="仿宋"/>
          <w:color w:val="auto"/>
          <w:sz w:val="32"/>
          <w:szCs w:val="32"/>
          <w:lang w:eastAsia="zh-CN"/>
        </w:rPr>
        <w:t>、</w:t>
      </w:r>
      <w:r>
        <w:rPr>
          <w:rFonts w:hint="eastAsia" w:ascii="仿宋" w:hAnsi="仿宋" w:eastAsia="仿宋"/>
          <w:color w:val="auto"/>
          <w:sz w:val="32"/>
          <w:szCs w:val="32"/>
        </w:rPr>
        <w:t>副本</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电子版</w:t>
      </w:r>
      <w:r>
        <w:rPr>
          <w:rFonts w:hint="eastAsia" w:ascii="仿宋" w:hAnsi="仿宋" w:eastAsia="仿宋"/>
          <w:color w:val="auto"/>
          <w:sz w:val="32"/>
          <w:szCs w:val="32"/>
        </w:rPr>
        <w:t>如有不一致，则以正本为准。</w:t>
      </w:r>
    </w:p>
    <w:p w14:paraId="04C535E8">
      <w:pPr>
        <w:spacing w:line="500" w:lineRule="exact"/>
        <w:ind w:firstLine="641"/>
        <w:rPr>
          <w:rFonts w:hint="eastAsia" w:ascii="仿宋" w:hAnsi="仿宋" w:eastAsia="仿宋"/>
          <w:color w:val="auto"/>
          <w:sz w:val="32"/>
          <w:szCs w:val="32"/>
        </w:rPr>
      </w:pPr>
      <w:r>
        <w:rPr>
          <w:rFonts w:hint="eastAsia" w:ascii="仿宋" w:hAnsi="仿宋" w:eastAsia="仿宋"/>
          <w:color w:val="auto"/>
          <w:sz w:val="32"/>
          <w:szCs w:val="32"/>
        </w:rPr>
        <w:t>13.2投标文件应由投标人的法定代表人或者其授权代表签字并加盖公章，如由后者签字，应提供“法定代表人授权委托书”。</w:t>
      </w:r>
    </w:p>
    <w:p w14:paraId="5C674AFB">
      <w:pPr>
        <w:spacing w:line="500" w:lineRule="exact"/>
        <w:ind w:firstLine="641"/>
        <w:rPr>
          <w:rFonts w:hint="eastAsia" w:ascii="仿宋" w:hAnsi="仿宋" w:eastAsia="仿宋"/>
          <w:color w:val="auto"/>
          <w:sz w:val="32"/>
          <w:szCs w:val="32"/>
        </w:rPr>
      </w:pPr>
      <w:r>
        <w:rPr>
          <w:rFonts w:hint="eastAsia" w:ascii="仿宋" w:hAnsi="仿宋" w:eastAsia="仿宋"/>
          <w:color w:val="auto"/>
          <w:sz w:val="32"/>
          <w:szCs w:val="32"/>
        </w:rPr>
        <w:t>13.3 除非有另外的规定或许可外，投标使用货币均为人民币。</w:t>
      </w:r>
    </w:p>
    <w:p w14:paraId="5AA6C587">
      <w:pPr>
        <w:spacing w:line="500" w:lineRule="exact"/>
        <w:ind w:firstLine="641"/>
        <w:rPr>
          <w:rFonts w:hint="eastAsia" w:ascii="仿宋" w:hAnsi="仿宋" w:eastAsia="仿宋"/>
          <w:color w:val="auto"/>
          <w:sz w:val="32"/>
          <w:szCs w:val="32"/>
        </w:rPr>
      </w:pPr>
      <w:r>
        <w:rPr>
          <w:rFonts w:hint="eastAsia" w:ascii="仿宋" w:hAnsi="仿宋" w:eastAsia="仿宋"/>
          <w:color w:val="auto"/>
          <w:sz w:val="32"/>
          <w:szCs w:val="32"/>
        </w:rPr>
        <w:t>13.4投标人应提交证明其拟供货物符合招标文件要求的技术响应文件，该文件可以是文字资料、图纸和数据，并须提供货物主要技术性能的详细描述。</w:t>
      </w:r>
    </w:p>
    <w:p w14:paraId="69D3933C">
      <w:pPr>
        <w:spacing w:line="500" w:lineRule="exact"/>
        <w:ind w:firstLine="641"/>
        <w:rPr>
          <w:rFonts w:hint="eastAsia" w:ascii="仿宋" w:hAnsi="仿宋" w:eastAsia="仿宋"/>
          <w:color w:val="auto"/>
          <w:sz w:val="32"/>
          <w:szCs w:val="32"/>
        </w:rPr>
      </w:pPr>
      <w:r>
        <w:rPr>
          <w:rFonts w:hint="eastAsia" w:ascii="仿宋" w:hAnsi="仿宋" w:eastAsia="仿宋"/>
          <w:color w:val="auto"/>
          <w:sz w:val="32"/>
          <w:szCs w:val="32"/>
        </w:rPr>
        <w:t>13.5 投标文件的正本和全部副本均应使用不能擦去的墨料或墨水打印、书写或复印，并由法定代表人或其授权代表签署，盖投标人公章。</w:t>
      </w:r>
    </w:p>
    <w:p w14:paraId="62AFDEF4">
      <w:pPr>
        <w:spacing w:line="500" w:lineRule="exact"/>
        <w:ind w:firstLine="641"/>
        <w:rPr>
          <w:rFonts w:hint="eastAsia" w:ascii="仿宋" w:hAnsi="仿宋" w:eastAsia="仿宋"/>
          <w:color w:val="auto"/>
          <w:sz w:val="32"/>
          <w:szCs w:val="32"/>
        </w:rPr>
      </w:pPr>
      <w:r>
        <w:rPr>
          <w:rFonts w:hint="eastAsia" w:ascii="仿宋" w:hAnsi="仿宋" w:eastAsia="仿宋"/>
          <w:color w:val="auto"/>
          <w:sz w:val="32"/>
          <w:szCs w:val="32"/>
        </w:rPr>
        <w:t xml:space="preserve">13.6全套投标文件应无涂改和行间插字，除非这些改动是根据招标人的指示进行的，或者是为改正投标人造成的必须修改的错误而进行的。有改动时，修改处应由法定代表人或授权代表签字证明或加盖校正章。 </w:t>
      </w:r>
    </w:p>
    <w:p w14:paraId="60578C32">
      <w:pPr>
        <w:spacing w:line="500" w:lineRule="exact"/>
        <w:ind w:firstLine="641"/>
        <w:rPr>
          <w:rFonts w:hint="eastAsia" w:ascii="仿宋" w:hAnsi="仿宋" w:eastAsia="仿宋"/>
          <w:color w:val="auto"/>
          <w:sz w:val="32"/>
          <w:szCs w:val="32"/>
        </w:rPr>
      </w:pPr>
      <w:r>
        <w:rPr>
          <w:rFonts w:hint="eastAsia" w:ascii="仿宋" w:hAnsi="仿宋" w:eastAsia="仿宋"/>
          <w:color w:val="auto"/>
          <w:sz w:val="32"/>
          <w:szCs w:val="32"/>
        </w:rPr>
        <w:t>13.7未按本招标文件规定的格式填写投标文件或投标文件字迹模糊不清的投标可能导致不利于投标人的评标结果。</w:t>
      </w:r>
    </w:p>
    <w:p w14:paraId="7299702D">
      <w:pPr>
        <w:spacing w:line="500" w:lineRule="exact"/>
        <w:ind w:firstLine="641"/>
        <w:rPr>
          <w:rFonts w:hint="eastAsia" w:ascii="仿宋" w:hAnsi="仿宋" w:eastAsia="仿宋"/>
          <w:color w:val="auto"/>
          <w:sz w:val="32"/>
          <w:szCs w:val="32"/>
        </w:rPr>
      </w:pPr>
      <w:r>
        <w:rPr>
          <w:rFonts w:hint="eastAsia" w:ascii="仿宋" w:hAnsi="仿宋" w:eastAsia="仿宋"/>
          <w:color w:val="auto"/>
          <w:sz w:val="32"/>
          <w:szCs w:val="32"/>
        </w:rPr>
        <w:t>13.8 所有资格证明文件复印件，须加盖投标人公章。</w:t>
      </w:r>
    </w:p>
    <w:p w14:paraId="43A7F678">
      <w:pPr>
        <w:spacing w:line="500" w:lineRule="exact"/>
        <w:ind w:firstLine="641"/>
        <w:rPr>
          <w:rFonts w:hint="eastAsia" w:ascii="仿宋" w:hAnsi="仿宋" w:eastAsia="仿宋"/>
          <w:color w:val="auto"/>
          <w:sz w:val="32"/>
          <w:szCs w:val="32"/>
        </w:rPr>
      </w:pPr>
      <w:r>
        <w:rPr>
          <w:rFonts w:hint="eastAsia" w:ascii="仿宋" w:hAnsi="仿宋" w:eastAsia="仿宋"/>
          <w:color w:val="auto"/>
          <w:sz w:val="32"/>
          <w:szCs w:val="32"/>
        </w:rPr>
        <w:t>13.9 投标人应将投标文件按顺序装订成册、打印页码，并编列目录、资料清单，由于装订不规范或编排顺序混乱而导致投标文件被误读或漏读，投标人自行承担后果。</w:t>
      </w:r>
    </w:p>
    <w:p w14:paraId="057A5A32">
      <w:pPr>
        <w:rPr>
          <w:rFonts w:hint="eastAsia"/>
          <w:color w:val="auto"/>
        </w:rPr>
      </w:pPr>
      <w:bookmarkStart w:id="350" w:name="_Toc412"/>
      <w:bookmarkStart w:id="351" w:name="_Toc192925665"/>
      <w:bookmarkStart w:id="352" w:name="_Toc21814"/>
      <w:bookmarkStart w:id="353" w:name="_Toc26702"/>
      <w:bookmarkStart w:id="354" w:name="_Toc21228"/>
      <w:bookmarkStart w:id="355" w:name="_Toc191892317"/>
      <w:bookmarkStart w:id="356" w:name="_Toc6593"/>
      <w:bookmarkStart w:id="357" w:name="_Toc27297"/>
      <w:bookmarkStart w:id="358" w:name="_Toc11534"/>
      <w:bookmarkStart w:id="359" w:name="_Toc1489"/>
    </w:p>
    <w:p w14:paraId="750C9A9C">
      <w:pPr>
        <w:pStyle w:val="4"/>
        <w:keepNext w:val="0"/>
        <w:keepLines w:val="0"/>
        <w:spacing w:before="0" w:after="0" w:line="500" w:lineRule="exact"/>
        <w:jc w:val="center"/>
        <w:rPr>
          <w:rFonts w:ascii="仿宋" w:hAnsi="仿宋" w:eastAsia="仿宋"/>
          <w:color w:val="auto"/>
          <w:sz w:val="32"/>
        </w:rPr>
      </w:pPr>
      <w:bookmarkStart w:id="360" w:name="_Toc12697"/>
      <w:bookmarkStart w:id="361" w:name="_Toc14389"/>
      <w:bookmarkStart w:id="362" w:name="_Toc3327"/>
      <w:bookmarkStart w:id="363" w:name="_Toc18958"/>
      <w:bookmarkStart w:id="364" w:name="_Toc10778"/>
      <w:bookmarkStart w:id="365" w:name="_Toc10547"/>
      <w:r>
        <w:rPr>
          <w:rFonts w:hint="eastAsia" w:ascii="仿宋" w:hAnsi="仿宋" w:eastAsia="仿宋"/>
          <w:color w:val="auto"/>
          <w:sz w:val="32"/>
        </w:rPr>
        <w:t>第四节  投标文件的提交</w:t>
      </w:r>
      <w:bookmarkEnd w:id="360"/>
      <w:bookmarkEnd w:id="361"/>
      <w:bookmarkEnd w:id="362"/>
      <w:bookmarkEnd w:id="363"/>
      <w:bookmarkEnd w:id="364"/>
      <w:bookmarkEnd w:id="365"/>
    </w:p>
    <w:p w14:paraId="34551837">
      <w:pPr>
        <w:pStyle w:val="5"/>
        <w:keepNext w:val="0"/>
        <w:keepLines w:val="0"/>
        <w:spacing w:before="0" w:after="0" w:line="500" w:lineRule="exact"/>
        <w:ind w:firstLine="643" w:firstLineChars="200"/>
        <w:rPr>
          <w:rFonts w:ascii="仿宋" w:hAnsi="仿宋" w:eastAsia="仿宋"/>
          <w:color w:val="auto"/>
          <w:sz w:val="32"/>
        </w:rPr>
      </w:pPr>
      <w:bookmarkStart w:id="366" w:name="_Toc7623"/>
      <w:bookmarkStart w:id="367" w:name="_Toc22988"/>
      <w:bookmarkStart w:id="368" w:name="_Toc11048"/>
      <w:bookmarkStart w:id="369" w:name="_Toc9908"/>
      <w:bookmarkStart w:id="370" w:name="_Toc24613"/>
      <w:bookmarkStart w:id="371" w:name="_Toc16569"/>
      <w:r>
        <w:rPr>
          <w:rFonts w:hint="eastAsia" w:ascii="仿宋" w:hAnsi="仿宋" w:eastAsia="仿宋"/>
          <w:color w:val="auto"/>
          <w:sz w:val="32"/>
        </w:rPr>
        <w:t>14. 投标文件的密封、标记和递交</w:t>
      </w:r>
      <w:bookmarkEnd w:id="366"/>
      <w:bookmarkEnd w:id="367"/>
      <w:bookmarkEnd w:id="368"/>
      <w:bookmarkEnd w:id="369"/>
      <w:bookmarkEnd w:id="370"/>
      <w:bookmarkEnd w:id="371"/>
    </w:p>
    <w:p w14:paraId="2DBF3A03">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14.1 投标人应将</w:t>
      </w:r>
      <w:r>
        <w:rPr>
          <w:rFonts w:hint="eastAsia" w:ascii="仿宋" w:hAnsi="仿宋" w:eastAsia="仿宋"/>
          <w:b/>
          <w:bCs/>
          <w:color w:val="auto"/>
          <w:sz w:val="32"/>
          <w:szCs w:val="32"/>
        </w:rPr>
        <w:t>投标文件正本</w:t>
      </w:r>
      <w:r>
        <w:rPr>
          <w:rFonts w:hint="eastAsia" w:ascii="仿宋" w:hAnsi="仿宋" w:eastAsia="仿宋"/>
          <w:b/>
          <w:bCs/>
          <w:color w:val="auto"/>
          <w:sz w:val="32"/>
          <w:szCs w:val="32"/>
          <w:lang w:eastAsia="zh-CN"/>
        </w:rPr>
        <w:t>、</w:t>
      </w:r>
      <w:r>
        <w:rPr>
          <w:rFonts w:hint="eastAsia" w:ascii="仿宋" w:hAnsi="仿宋" w:eastAsia="仿宋"/>
          <w:b/>
          <w:bCs/>
          <w:color w:val="auto"/>
          <w:sz w:val="32"/>
          <w:szCs w:val="32"/>
        </w:rPr>
        <w:t>副本</w:t>
      </w:r>
      <w:r>
        <w:rPr>
          <w:rFonts w:hint="eastAsia" w:ascii="仿宋" w:hAnsi="仿宋" w:eastAsia="仿宋"/>
          <w:b/>
          <w:bCs/>
          <w:color w:val="auto"/>
          <w:sz w:val="32"/>
          <w:szCs w:val="32"/>
          <w:lang w:eastAsia="zh-CN"/>
        </w:rPr>
        <w:t>、</w:t>
      </w:r>
      <w:r>
        <w:rPr>
          <w:rFonts w:hint="eastAsia" w:ascii="仿宋" w:hAnsi="仿宋" w:eastAsia="仿宋"/>
          <w:b/>
          <w:bCs/>
          <w:color w:val="auto"/>
          <w:sz w:val="32"/>
          <w:szCs w:val="32"/>
          <w:lang w:val="en-US" w:eastAsia="zh-CN"/>
        </w:rPr>
        <w:t>电子版</w:t>
      </w:r>
      <w:r>
        <w:rPr>
          <w:rFonts w:hint="eastAsia" w:ascii="仿宋" w:hAnsi="仿宋" w:eastAsia="仿宋"/>
          <w:b/>
          <w:bCs/>
          <w:color w:val="auto"/>
          <w:sz w:val="32"/>
          <w:szCs w:val="32"/>
        </w:rPr>
        <w:t>分别用信封密封</w:t>
      </w:r>
      <w:r>
        <w:rPr>
          <w:rFonts w:hint="eastAsia" w:ascii="仿宋" w:hAnsi="仿宋" w:eastAsia="仿宋"/>
          <w:color w:val="auto"/>
          <w:sz w:val="32"/>
          <w:szCs w:val="32"/>
        </w:rPr>
        <w:t>，并标明招标编号、招标项目名称、投标人名称等及“正本”</w:t>
      </w:r>
      <w:r>
        <w:rPr>
          <w:rFonts w:hint="eastAsia" w:ascii="仿宋" w:hAnsi="仿宋" w:eastAsia="仿宋"/>
          <w:color w:val="auto"/>
          <w:sz w:val="32"/>
          <w:szCs w:val="32"/>
          <w:lang w:eastAsia="zh-CN"/>
        </w:rPr>
        <w:t>、</w:t>
      </w:r>
      <w:r>
        <w:rPr>
          <w:rFonts w:hint="eastAsia" w:ascii="仿宋" w:hAnsi="仿宋" w:eastAsia="仿宋"/>
          <w:color w:val="auto"/>
          <w:sz w:val="32"/>
          <w:szCs w:val="32"/>
        </w:rPr>
        <w:t>“副本”</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电子版”</w:t>
      </w:r>
      <w:r>
        <w:rPr>
          <w:rFonts w:hint="eastAsia" w:ascii="仿宋" w:hAnsi="仿宋" w:eastAsia="仿宋"/>
          <w:color w:val="auto"/>
          <w:sz w:val="32"/>
          <w:szCs w:val="32"/>
        </w:rPr>
        <w:t>字样。投标文件未密封将导致其投标被拒绝。</w:t>
      </w:r>
    </w:p>
    <w:p w14:paraId="7234DC6E">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 xml:space="preserve">14.2 </w:t>
      </w:r>
      <w:r>
        <w:rPr>
          <w:rFonts w:hint="eastAsia" w:ascii="仿宋" w:hAnsi="仿宋" w:eastAsia="仿宋"/>
          <w:b/>
          <w:bCs/>
          <w:color w:val="auto"/>
          <w:sz w:val="32"/>
          <w:szCs w:val="32"/>
        </w:rPr>
        <w:t>每一信封密封处应加盖投标人公章或由授权代表签字。</w:t>
      </w:r>
    </w:p>
    <w:p w14:paraId="76671AA6">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14.3投标人应将投标文件按照本须知第14.1条至第14.2条的规定进行密封和标记，按“投标人须知前附表”注明的地址和时间派专人送达接收人。</w:t>
      </w:r>
    </w:p>
    <w:p w14:paraId="1143DDD5">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14.4如果未按上述规定进行密封和标记，招标人将不承担由此造成的对投标文件的误投或提前拆封的责任。</w:t>
      </w:r>
    </w:p>
    <w:p w14:paraId="56F3F3E7">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14.5投标文件应在投标邀请中规定的截止时间前送达，迟到的投标文件为无效投标文件, 将被拒收。</w:t>
      </w:r>
    </w:p>
    <w:p w14:paraId="265DFB55">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14.6投标人在投标截止时间之前，允许对所提交的投标文件进行修改或者撤回，并书面通知招标人。修改的内容和撤回通知应当按本须知要求签署、盖章、密封，并作为投标文件的组成部分。</w:t>
      </w:r>
    </w:p>
    <w:p w14:paraId="470F76FC">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14.7投标人在投标截止时间后不得修改、撤回投标文件。投标人在投标截止时间后修改投标文件的，其投标将被拒绝。</w:t>
      </w:r>
    </w:p>
    <w:p w14:paraId="68C45ADB">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14.8投标截止时间结束后，参加投标的投标人不足三家的，本次招标程序终止。除采购任务取消情形外，招标人将依法重新组织招标或者采取竞争性谈判等其他方式采购。</w:t>
      </w:r>
    </w:p>
    <w:bookmarkEnd w:id="350"/>
    <w:bookmarkEnd w:id="351"/>
    <w:bookmarkEnd w:id="352"/>
    <w:bookmarkEnd w:id="353"/>
    <w:bookmarkEnd w:id="354"/>
    <w:bookmarkEnd w:id="355"/>
    <w:bookmarkEnd w:id="356"/>
    <w:bookmarkEnd w:id="357"/>
    <w:bookmarkEnd w:id="358"/>
    <w:bookmarkEnd w:id="359"/>
    <w:p w14:paraId="3A58B2E9">
      <w:pPr>
        <w:rPr>
          <w:rFonts w:hint="eastAsia"/>
          <w:color w:val="auto"/>
        </w:rPr>
      </w:pPr>
      <w:bookmarkStart w:id="372" w:name="_Toc5276"/>
      <w:bookmarkStart w:id="373" w:name="_Toc191892320"/>
      <w:bookmarkStart w:id="374" w:name="_Toc4333"/>
      <w:bookmarkStart w:id="375" w:name="_Toc18052"/>
      <w:bookmarkStart w:id="376" w:name="_Toc15494"/>
      <w:bookmarkStart w:id="377" w:name="_Toc192925668"/>
      <w:bookmarkStart w:id="378" w:name="_Toc25957"/>
      <w:bookmarkStart w:id="379" w:name="_Toc27209"/>
      <w:bookmarkStart w:id="380" w:name="_Toc10539"/>
      <w:bookmarkStart w:id="381" w:name="_Toc30400"/>
      <w:bookmarkStart w:id="382" w:name="_Toc16484"/>
    </w:p>
    <w:p w14:paraId="3F3A9E0D">
      <w:pPr>
        <w:pStyle w:val="4"/>
        <w:keepNext w:val="0"/>
        <w:keepLines w:val="0"/>
        <w:spacing w:before="0" w:after="0" w:line="500" w:lineRule="exact"/>
        <w:jc w:val="center"/>
        <w:rPr>
          <w:rFonts w:ascii="仿宋" w:hAnsi="仿宋" w:eastAsia="仿宋"/>
          <w:color w:val="auto"/>
          <w:sz w:val="32"/>
        </w:rPr>
      </w:pPr>
      <w:bookmarkStart w:id="383" w:name="_Toc16013"/>
      <w:bookmarkStart w:id="384" w:name="_Toc15982"/>
      <w:bookmarkStart w:id="385" w:name="_Toc16203"/>
      <w:bookmarkStart w:id="386" w:name="_Toc24219"/>
      <w:bookmarkStart w:id="387" w:name="_Toc3791"/>
      <w:bookmarkStart w:id="388" w:name="_Toc22715"/>
      <w:r>
        <w:rPr>
          <w:rFonts w:hint="eastAsia" w:ascii="仿宋" w:hAnsi="仿宋" w:eastAsia="仿宋"/>
          <w:color w:val="auto"/>
          <w:sz w:val="32"/>
        </w:rPr>
        <w:t>第五节</w:t>
      </w:r>
      <w:r>
        <w:rPr>
          <w:rFonts w:hint="eastAsia" w:ascii="仿宋" w:hAnsi="仿宋" w:eastAsia="仿宋"/>
          <w:color w:val="auto"/>
          <w:sz w:val="32"/>
          <w:lang w:val="en-US" w:eastAsia="zh-CN"/>
        </w:rPr>
        <w:t xml:space="preserve"> </w:t>
      </w:r>
      <w:r>
        <w:rPr>
          <w:rFonts w:hint="eastAsia" w:ascii="仿宋" w:hAnsi="仿宋" w:eastAsia="仿宋"/>
          <w:color w:val="auto"/>
          <w:sz w:val="32"/>
        </w:rPr>
        <w:t>投标文件的评估和比较</w:t>
      </w:r>
      <w:bookmarkEnd w:id="372"/>
      <w:bookmarkEnd w:id="383"/>
      <w:bookmarkEnd w:id="384"/>
      <w:bookmarkEnd w:id="385"/>
      <w:bookmarkEnd w:id="386"/>
      <w:bookmarkEnd w:id="387"/>
      <w:bookmarkEnd w:id="388"/>
    </w:p>
    <w:p w14:paraId="6FA17506">
      <w:pPr>
        <w:pStyle w:val="5"/>
        <w:keepNext w:val="0"/>
        <w:keepLines w:val="0"/>
        <w:spacing w:before="0" w:after="0" w:line="500" w:lineRule="exact"/>
        <w:ind w:firstLine="643" w:firstLineChars="200"/>
        <w:rPr>
          <w:rFonts w:ascii="仿宋" w:hAnsi="仿宋" w:eastAsia="仿宋"/>
          <w:color w:val="auto"/>
          <w:sz w:val="32"/>
        </w:rPr>
      </w:pPr>
      <w:bookmarkStart w:id="389" w:name="_Toc25301"/>
      <w:bookmarkStart w:id="390" w:name="_Toc14664"/>
      <w:bookmarkStart w:id="391" w:name="_Toc24284"/>
      <w:bookmarkStart w:id="392" w:name="_Toc25399"/>
      <w:bookmarkStart w:id="393" w:name="_Toc3752"/>
      <w:bookmarkStart w:id="394" w:name="_Toc192925666"/>
      <w:bookmarkStart w:id="395" w:name="_Toc31603"/>
      <w:bookmarkStart w:id="396" w:name="_Toc191892318"/>
      <w:bookmarkStart w:id="397" w:name="_Toc12380"/>
      <w:r>
        <w:rPr>
          <w:rFonts w:hint="eastAsia" w:ascii="仿宋" w:hAnsi="仿宋" w:eastAsia="仿宋"/>
          <w:color w:val="auto"/>
          <w:sz w:val="32"/>
        </w:rPr>
        <w:t>15．开标、评标时间</w:t>
      </w:r>
      <w:bookmarkEnd w:id="389"/>
      <w:bookmarkEnd w:id="390"/>
      <w:bookmarkEnd w:id="391"/>
      <w:bookmarkEnd w:id="392"/>
      <w:bookmarkEnd w:id="393"/>
      <w:bookmarkEnd w:id="394"/>
      <w:bookmarkEnd w:id="395"/>
      <w:bookmarkEnd w:id="396"/>
      <w:bookmarkEnd w:id="397"/>
    </w:p>
    <w:p w14:paraId="02EFBBA6">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15.1 在“投标人须知前附表”（有延期通知的以延期通知为准）中所规定的时间、地点开标。</w:t>
      </w:r>
    </w:p>
    <w:p w14:paraId="3534FE80">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15.2招标人负责组建评标委员会，评标委员会负责评标工作。</w:t>
      </w:r>
    </w:p>
    <w:p w14:paraId="2CCC66FB">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15.3本项目采用综合评分法评选方法评定，公司纪检人员进行监督。</w:t>
      </w:r>
    </w:p>
    <w:p w14:paraId="3ED7664A">
      <w:pPr>
        <w:pStyle w:val="5"/>
        <w:keepNext w:val="0"/>
        <w:keepLines w:val="0"/>
        <w:spacing w:before="0" w:after="0" w:line="500" w:lineRule="exact"/>
        <w:ind w:firstLine="643" w:firstLineChars="200"/>
        <w:rPr>
          <w:rFonts w:hint="eastAsia" w:ascii="仿宋" w:hAnsi="仿宋" w:eastAsia="仿宋"/>
          <w:color w:val="auto"/>
          <w:sz w:val="32"/>
        </w:rPr>
      </w:pPr>
      <w:bookmarkStart w:id="398" w:name="_Toc31623"/>
      <w:bookmarkStart w:id="399" w:name="_Toc13115"/>
      <w:bookmarkStart w:id="400" w:name="_Toc12842"/>
      <w:bookmarkStart w:id="401" w:name="_Toc5271"/>
      <w:bookmarkStart w:id="402" w:name="_Toc24289"/>
      <w:bookmarkStart w:id="403" w:name="_Toc20981"/>
      <w:bookmarkStart w:id="404" w:name="_Toc13617"/>
      <w:r>
        <w:rPr>
          <w:rFonts w:hint="eastAsia" w:ascii="仿宋" w:hAnsi="仿宋" w:eastAsia="仿宋"/>
          <w:color w:val="auto"/>
          <w:sz w:val="32"/>
        </w:rPr>
        <w:t>16．评标委员会</w:t>
      </w:r>
      <w:bookmarkEnd w:id="398"/>
      <w:bookmarkEnd w:id="399"/>
      <w:bookmarkEnd w:id="400"/>
      <w:bookmarkEnd w:id="401"/>
      <w:bookmarkEnd w:id="402"/>
      <w:bookmarkEnd w:id="403"/>
      <w:bookmarkEnd w:id="404"/>
    </w:p>
    <w:p w14:paraId="22FEE698">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16.1招标人根据招标货物和服务的特点依法组建评标委员会。评标委员会由技术、经济、法律方面的专业人员组成。在开标后的适当时间里，由评标委员会对投标文件进行审查、质疑、评估和比较，并做出授予合同的建议。</w:t>
      </w:r>
    </w:p>
    <w:bookmarkEnd w:id="373"/>
    <w:bookmarkEnd w:id="374"/>
    <w:bookmarkEnd w:id="375"/>
    <w:bookmarkEnd w:id="376"/>
    <w:bookmarkEnd w:id="377"/>
    <w:bookmarkEnd w:id="378"/>
    <w:bookmarkEnd w:id="379"/>
    <w:bookmarkEnd w:id="380"/>
    <w:bookmarkEnd w:id="381"/>
    <w:bookmarkEnd w:id="382"/>
    <w:p w14:paraId="0A8F064A">
      <w:pPr>
        <w:pStyle w:val="5"/>
        <w:keepNext w:val="0"/>
        <w:keepLines w:val="0"/>
        <w:spacing w:before="0" w:after="0" w:line="500" w:lineRule="exact"/>
        <w:ind w:firstLine="643" w:firstLineChars="200"/>
        <w:rPr>
          <w:rFonts w:ascii="仿宋" w:hAnsi="仿宋" w:eastAsia="仿宋"/>
          <w:color w:val="auto"/>
          <w:sz w:val="32"/>
        </w:rPr>
      </w:pPr>
      <w:bookmarkStart w:id="405" w:name="_Toc6627"/>
      <w:bookmarkStart w:id="406" w:name="_Toc26359"/>
      <w:bookmarkStart w:id="407" w:name="_Toc3536"/>
      <w:bookmarkStart w:id="408" w:name="_Toc22312"/>
      <w:bookmarkStart w:id="409" w:name="_Toc19762"/>
      <w:bookmarkStart w:id="410" w:name="_Toc32479"/>
      <w:bookmarkStart w:id="411" w:name="_Toc23302"/>
      <w:bookmarkStart w:id="412" w:name="_Toc17818"/>
      <w:bookmarkStart w:id="413" w:name="_Toc7117"/>
      <w:bookmarkStart w:id="414" w:name="_Toc21601"/>
      <w:bookmarkStart w:id="415" w:name="_Toc8126"/>
      <w:bookmarkStart w:id="416" w:name="_Toc19814"/>
      <w:bookmarkStart w:id="417" w:name="_Toc18713"/>
      <w:bookmarkStart w:id="418" w:name="_Toc6633"/>
      <w:bookmarkStart w:id="419" w:name="_Toc29937"/>
      <w:r>
        <w:rPr>
          <w:rFonts w:hint="eastAsia" w:ascii="仿宋" w:hAnsi="仿宋" w:eastAsia="仿宋"/>
          <w:color w:val="auto"/>
          <w:sz w:val="32"/>
        </w:rPr>
        <w:t>17</w:t>
      </w:r>
      <w:r>
        <w:rPr>
          <w:rFonts w:ascii="仿宋" w:hAnsi="仿宋" w:eastAsia="仿宋"/>
          <w:color w:val="auto"/>
          <w:sz w:val="32"/>
        </w:rPr>
        <w:t xml:space="preserve">. </w:t>
      </w:r>
      <w:r>
        <w:rPr>
          <w:rFonts w:hint="eastAsia" w:ascii="仿宋" w:hAnsi="仿宋" w:eastAsia="仿宋"/>
          <w:color w:val="auto"/>
          <w:sz w:val="32"/>
        </w:rPr>
        <w:t>投标文件的初审</w:t>
      </w:r>
      <w:bookmarkEnd w:id="405"/>
      <w:bookmarkEnd w:id="406"/>
      <w:bookmarkEnd w:id="407"/>
      <w:bookmarkEnd w:id="408"/>
      <w:bookmarkEnd w:id="409"/>
      <w:bookmarkEnd w:id="410"/>
      <w:bookmarkEnd w:id="411"/>
    </w:p>
    <w:p w14:paraId="7727041F">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对所有投标人的评估，都采用相同的程序和标准。评议过程将严格按照招标文件的要求和条件进行。</w:t>
      </w:r>
    </w:p>
    <w:p w14:paraId="41D67E37">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有关投标文件的审查、澄清、评估和比较以及推荐中标候选人的一切情况，都不得透露给任一投标人或与上述评标工作无关的人员。</w:t>
      </w:r>
    </w:p>
    <w:p w14:paraId="0C13C783">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投标人任何试图影响评委会对投标文件的评估、比较或者推荐候选人的行为，都将导致其投标被拒绝，并被没收投标保证金。</w:t>
      </w:r>
    </w:p>
    <w:p w14:paraId="06CD36CC">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17.1评标委员会将对投标文件进行审查，以确定投标文件是否完整、有无计算上的错误、是否提交了投标保证金、文件是否已正确签署。</w:t>
      </w:r>
    </w:p>
    <w:p w14:paraId="1775C360">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17.2 算术错误将按以下方法更正：</w:t>
      </w:r>
    </w:p>
    <w:p w14:paraId="26B73D6F">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 如投标文件中“开标一览表(报价表)”内容与投标文件中的明细表内容不一致的，以“开标一览表(报价表)”为准。</w:t>
      </w:r>
    </w:p>
    <w:p w14:paraId="6E2DC5E1">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 如投标文件的大写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1F423CF2">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如果投标人不接受按上述方法对投标文件中的算术错误进行更正，其投标将被拒绝并</w:t>
      </w:r>
      <w:r>
        <w:rPr>
          <w:rFonts w:hint="eastAsia" w:ascii="仿宋" w:hAnsi="仿宋" w:eastAsia="仿宋"/>
          <w:color w:val="auto"/>
          <w:sz w:val="32"/>
          <w:szCs w:val="32"/>
          <w:lang w:val="en-US" w:eastAsia="zh-CN"/>
        </w:rPr>
        <w:t>不退还</w:t>
      </w:r>
      <w:r>
        <w:rPr>
          <w:rFonts w:hint="eastAsia" w:ascii="仿宋" w:hAnsi="仿宋" w:eastAsia="仿宋"/>
          <w:color w:val="auto"/>
          <w:sz w:val="32"/>
          <w:szCs w:val="32"/>
        </w:rPr>
        <w:t>其投标保证金。</w:t>
      </w:r>
    </w:p>
    <w:p w14:paraId="053BA6BE">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 xml:space="preserve">17.3 资格性检查和符合性检查 </w:t>
      </w:r>
    </w:p>
    <w:p w14:paraId="71D0C90D">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17.3.</w:t>
      </w:r>
      <w:r>
        <w:rPr>
          <w:rFonts w:ascii="仿宋" w:hAnsi="仿宋" w:eastAsia="仿宋"/>
          <w:color w:val="auto"/>
          <w:sz w:val="32"/>
          <w:szCs w:val="32"/>
        </w:rPr>
        <w:t>1</w:t>
      </w:r>
      <w:r>
        <w:rPr>
          <w:rFonts w:hint="eastAsia" w:ascii="仿宋" w:hAnsi="仿宋" w:eastAsia="仿宋"/>
          <w:color w:val="auto"/>
          <w:sz w:val="32"/>
          <w:szCs w:val="32"/>
        </w:rPr>
        <w:t>资格性检查。依据法律法规和招标文件的规定，在对投标文件详细评估之前，评标委员会将依据投标人提交的投标文件，按“投标人须知前附表”所述的资格标准对投标人进行资格审查, 以确定其是否具备投标资格。如果投标人不具备投标资格，不满足招标文件所规定的资格标准，或者其提供的资格证明文件不全的,其投标将被拒绝。</w:t>
      </w:r>
    </w:p>
    <w:p w14:paraId="621058FA">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17.3.2符合性检查。依据招标文件的规定，评标委员会还将从投标文件的有效性、完整性和对招标文件的响应程度进行审查，以确定是否符合对招标文件的实质性要求做出响应。</w:t>
      </w:r>
    </w:p>
    <w:p w14:paraId="62E49B51">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实质性偏离是指：（</w:t>
      </w:r>
      <w:r>
        <w:rPr>
          <w:rFonts w:ascii="仿宋" w:hAnsi="仿宋" w:eastAsia="仿宋"/>
          <w:color w:val="auto"/>
          <w:sz w:val="32"/>
          <w:szCs w:val="32"/>
        </w:rPr>
        <w:t>1</w:t>
      </w:r>
      <w:r>
        <w:rPr>
          <w:rFonts w:hint="eastAsia" w:ascii="仿宋" w:hAnsi="仿宋" w:eastAsia="仿宋"/>
          <w:color w:val="auto"/>
          <w:sz w:val="32"/>
          <w:szCs w:val="32"/>
        </w:rPr>
        <w:t>）实质性影响合同的范围、质量和履行；（</w:t>
      </w:r>
      <w:r>
        <w:rPr>
          <w:rFonts w:ascii="仿宋" w:hAnsi="仿宋" w:eastAsia="仿宋"/>
          <w:color w:val="auto"/>
          <w:sz w:val="32"/>
          <w:szCs w:val="32"/>
        </w:rPr>
        <w:t>2</w:t>
      </w:r>
      <w:r>
        <w:rPr>
          <w:rFonts w:hint="eastAsia" w:ascii="仿宋" w:hAnsi="仿宋" w:eastAsia="仿宋"/>
          <w:color w:val="auto"/>
          <w:sz w:val="32"/>
          <w:szCs w:val="32"/>
        </w:rPr>
        <w:t>）实质性违背招标文件，限制了招标人的权利和中标人合同项下的义务；（</w:t>
      </w:r>
      <w:r>
        <w:rPr>
          <w:rFonts w:ascii="仿宋" w:hAnsi="仿宋" w:eastAsia="仿宋"/>
          <w:color w:val="auto"/>
          <w:sz w:val="32"/>
          <w:szCs w:val="32"/>
        </w:rPr>
        <w:t>3</w:t>
      </w:r>
      <w:r>
        <w:rPr>
          <w:rFonts w:hint="eastAsia" w:ascii="仿宋" w:hAnsi="仿宋" w:eastAsia="仿宋"/>
          <w:color w:val="auto"/>
          <w:sz w:val="32"/>
          <w:szCs w:val="32"/>
        </w:rPr>
        <w:t>）不公正地影响了其它作出实质性响应的投标人的竞争地位。</w:t>
      </w:r>
    </w:p>
    <w:p w14:paraId="1F1CCD54">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对没有实质性响应的投标文件将不进行评估，其投标将被拒绝。</w:t>
      </w:r>
    </w:p>
    <w:p w14:paraId="3826F883">
      <w:pPr>
        <w:spacing w:line="500" w:lineRule="exact"/>
        <w:ind w:firstLine="640" w:firstLineChars="200"/>
        <w:rPr>
          <w:rFonts w:ascii="仿宋" w:hAnsi="仿宋" w:eastAsia="仿宋"/>
          <w:b/>
          <w:color w:val="auto"/>
          <w:sz w:val="32"/>
          <w:szCs w:val="32"/>
        </w:rPr>
      </w:pPr>
      <w:r>
        <w:rPr>
          <w:rFonts w:hint="eastAsia" w:ascii="仿宋" w:hAnsi="仿宋" w:eastAsia="仿宋"/>
          <w:color w:val="auto"/>
          <w:sz w:val="32"/>
          <w:szCs w:val="32"/>
        </w:rPr>
        <w:t>凡有</w:t>
      </w:r>
      <w:r>
        <w:rPr>
          <w:rFonts w:hint="eastAsia" w:ascii="仿宋" w:hAnsi="仿宋" w:eastAsia="仿宋"/>
          <w:b/>
          <w:color w:val="auto"/>
          <w:sz w:val="32"/>
          <w:szCs w:val="32"/>
        </w:rPr>
        <w:t>下列情况之一</w:t>
      </w:r>
      <w:r>
        <w:rPr>
          <w:rFonts w:hint="eastAsia" w:ascii="仿宋" w:hAnsi="仿宋" w:eastAsia="仿宋"/>
          <w:color w:val="auto"/>
          <w:sz w:val="32"/>
          <w:szCs w:val="32"/>
        </w:rPr>
        <w:t>者，投标文件也将被视为</w:t>
      </w:r>
      <w:r>
        <w:rPr>
          <w:rFonts w:hint="eastAsia" w:ascii="仿宋" w:hAnsi="仿宋" w:eastAsia="仿宋"/>
          <w:b/>
          <w:color w:val="auto"/>
          <w:sz w:val="32"/>
          <w:szCs w:val="32"/>
        </w:rPr>
        <w:t>未实质性响应招标文件要求：</w:t>
      </w:r>
    </w:p>
    <w:p w14:paraId="1C8C92A1">
      <w:pPr>
        <w:spacing w:line="50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(1) 投标文件未按照本须知第14条的规定进行密封、标记的；</w:t>
      </w:r>
    </w:p>
    <w:p w14:paraId="6D9B4881">
      <w:pPr>
        <w:spacing w:line="50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(2) 未按规定由投标人的法定代表人或其授权代表签字，或未加盖投标人公章的；或签字人未提供法定代表人有效授权委托书原件的；</w:t>
      </w:r>
    </w:p>
    <w:p w14:paraId="2E3154BB">
      <w:pPr>
        <w:spacing w:line="50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(3) 未按规定提交投标保证金的；</w:t>
      </w:r>
    </w:p>
    <w:p w14:paraId="587CA008">
      <w:pPr>
        <w:spacing w:line="50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(4) 投标有效期不满足招标文件要求的；</w:t>
      </w:r>
    </w:p>
    <w:p w14:paraId="518D086B">
      <w:pPr>
        <w:spacing w:line="50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(5) 投标内容与招标内容及要求有重大偏离或保留的；</w:t>
      </w:r>
    </w:p>
    <w:p w14:paraId="67A0A345">
      <w:pPr>
        <w:spacing w:line="50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(6) 投标人提交的是可选择的报价；</w:t>
      </w:r>
    </w:p>
    <w:p w14:paraId="2BA380FC">
      <w:pPr>
        <w:spacing w:line="50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(7) 投标人未按规定对投标进行分项报价；</w:t>
      </w:r>
    </w:p>
    <w:p w14:paraId="1DA419A1">
      <w:pPr>
        <w:spacing w:line="50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(8) 一个投标人对同一个合同包不止投一个标的；</w:t>
      </w:r>
    </w:p>
    <w:p w14:paraId="770E0BC7">
      <w:pPr>
        <w:spacing w:line="50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(9) 投标文件组成不符合招标文件要求的；</w:t>
      </w:r>
    </w:p>
    <w:p w14:paraId="10C37A34">
      <w:pPr>
        <w:spacing w:line="50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(10) 投标文件中提供虚假或失实资料的；</w:t>
      </w:r>
    </w:p>
    <w:p w14:paraId="1C7D56C8">
      <w:pPr>
        <w:spacing w:line="50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(11) 不符合招标文件中规定的</w:t>
      </w:r>
      <w:r>
        <w:rPr>
          <w:rFonts w:hint="eastAsia" w:ascii="仿宋" w:hAnsi="仿宋" w:eastAsia="仿宋"/>
          <w:color w:val="auto"/>
          <w:sz w:val="28"/>
          <w:szCs w:val="28"/>
        </w:rPr>
        <w:t>★</w:t>
      </w:r>
      <w:r>
        <w:rPr>
          <w:rFonts w:hint="eastAsia" w:ascii="仿宋" w:hAnsi="仿宋" w:eastAsia="仿宋"/>
          <w:b/>
          <w:color w:val="auto"/>
          <w:sz w:val="32"/>
          <w:szCs w:val="32"/>
        </w:rPr>
        <w:t>号条款或其它实质性条款要求的。</w:t>
      </w:r>
    </w:p>
    <w:p w14:paraId="540F7A6C">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投标人存在</w:t>
      </w:r>
      <w:r>
        <w:rPr>
          <w:rFonts w:hint="eastAsia" w:ascii="仿宋" w:hAnsi="仿宋" w:eastAsia="仿宋"/>
          <w:b/>
          <w:bCs/>
          <w:color w:val="auto"/>
          <w:sz w:val="32"/>
          <w:szCs w:val="32"/>
        </w:rPr>
        <w:t>下列情形之一</w:t>
      </w:r>
      <w:r>
        <w:rPr>
          <w:rFonts w:hint="eastAsia" w:ascii="仿宋" w:hAnsi="仿宋" w:eastAsia="仿宋"/>
          <w:color w:val="auto"/>
          <w:sz w:val="32"/>
          <w:szCs w:val="32"/>
        </w:rPr>
        <w:t>的，将被认定为</w:t>
      </w:r>
      <w:r>
        <w:rPr>
          <w:rFonts w:hint="eastAsia" w:ascii="仿宋" w:hAnsi="仿宋" w:eastAsia="仿宋"/>
          <w:b/>
          <w:bCs/>
          <w:color w:val="auto"/>
          <w:sz w:val="32"/>
          <w:szCs w:val="32"/>
        </w:rPr>
        <w:t>串通投标行为并作无效投标处理</w:t>
      </w:r>
      <w:r>
        <w:rPr>
          <w:rFonts w:hint="eastAsia" w:ascii="仿宋" w:hAnsi="仿宋" w:eastAsia="仿宋"/>
          <w:color w:val="auto"/>
          <w:sz w:val="32"/>
          <w:szCs w:val="32"/>
        </w:rPr>
        <w:t>：</w:t>
      </w:r>
    </w:p>
    <w:p w14:paraId="7A6F1E20">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（1）投标人之间协商投标报价等投标文件的实质性内容；</w:t>
      </w:r>
    </w:p>
    <w:p w14:paraId="768D7AEB">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（2）投标人之间约定中标供应商；</w:t>
      </w:r>
    </w:p>
    <w:p w14:paraId="68DCD5D5">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（3）投标人之间约定部分投标人放弃投标或者中标；</w:t>
      </w:r>
    </w:p>
    <w:p w14:paraId="704153D4">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（4）属于同一集团、协会、商会等组织成员的投标人按照该组织要求协同投标；</w:t>
      </w:r>
    </w:p>
    <w:p w14:paraId="713C4C9D">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（5）投标人之间为谋取中标或者排斥特定投标人而采取的其他联合行动；</w:t>
      </w:r>
    </w:p>
    <w:p w14:paraId="021496C1">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（6）不同投标人的投标文件由同一单位或者个人编制；</w:t>
      </w:r>
    </w:p>
    <w:p w14:paraId="032F707E">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（7）不同投标人委托同一单位或者个人办理投标事宜；</w:t>
      </w:r>
    </w:p>
    <w:p w14:paraId="2A9D77F9">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（8）不同投标人的投标文件载明的项目管理成员为同一人；</w:t>
      </w:r>
    </w:p>
    <w:p w14:paraId="226E45C8">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（9）不同投标人的投标文件异常一致或者投标报价呈规律性差异；</w:t>
      </w:r>
    </w:p>
    <w:p w14:paraId="58D6C90D">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（10）不同投标人的投标文件相互混装；</w:t>
      </w:r>
    </w:p>
    <w:p w14:paraId="2622876E">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（11）不同投标人的投标保证金从同一单位或者个人的账户转出。</w:t>
      </w:r>
    </w:p>
    <w:p w14:paraId="79F9BAF5">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（12）不同投标人的投标文件错、漏之处一致或雷同，且不能合理解释的；</w:t>
      </w:r>
    </w:p>
    <w:p w14:paraId="021DC7B2">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（13）不同的投标人的法定代表人、委托代理人等由同一个单位缴纳社会保险的；</w:t>
      </w:r>
    </w:p>
    <w:p w14:paraId="319782E4">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（14）由同一人或分别由几个有利害关系的人携带两个以上（含两个）投标人的企业资料参与资格审查、领取招标资料，或代表两个以上（含两个）投标人参加招标答疑会、交纳或退还投标保证金、开标的；</w:t>
      </w:r>
    </w:p>
    <w:p w14:paraId="05DDE0EA">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（15）有关法律、法规或规章规定的其他串通投标行为。</w:t>
      </w:r>
    </w:p>
    <w:p w14:paraId="7808FE95">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评标委员会决定投标的响应性，只根据投标文件本身的内容，而不寻求其他的外部证据。</w:t>
      </w:r>
    </w:p>
    <w:p w14:paraId="3072EC95">
      <w:pPr>
        <w:pStyle w:val="5"/>
        <w:keepNext w:val="0"/>
        <w:keepLines w:val="0"/>
        <w:spacing w:before="0" w:after="0" w:line="500" w:lineRule="exact"/>
        <w:ind w:firstLine="643" w:firstLineChars="200"/>
        <w:rPr>
          <w:rFonts w:hint="eastAsia" w:ascii="仿宋" w:hAnsi="仿宋" w:eastAsia="仿宋"/>
          <w:color w:val="auto"/>
          <w:sz w:val="32"/>
          <w:highlight w:val="none"/>
        </w:rPr>
      </w:pPr>
      <w:bookmarkStart w:id="420" w:name="_Toc12917"/>
      <w:bookmarkStart w:id="421" w:name="_Toc4100"/>
      <w:bookmarkStart w:id="422" w:name="_Toc16419"/>
      <w:bookmarkStart w:id="423" w:name="_Toc6057"/>
      <w:bookmarkStart w:id="424" w:name="_Toc562"/>
      <w:bookmarkStart w:id="425" w:name="_Toc23150"/>
      <w:r>
        <w:rPr>
          <w:rFonts w:hint="eastAsia" w:ascii="仿宋" w:hAnsi="仿宋" w:eastAsia="仿宋"/>
          <w:color w:val="auto"/>
          <w:sz w:val="32"/>
          <w:highlight w:val="none"/>
          <w:lang w:val="en-US" w:eastAsia="zh-CN"/>
        </w:rPr>
        <w:t xml:space="preserve">18. </w:t>
      </w:r>
      <w:r>
        <w:rPr>
          <w:rFonts w:hint="eastAsia" w:ascii="仿宋" w:hAnsi="仿宋" w:eastAsia="仿宋"/>
          <w:color w:val="auto"/>
          <w:sz w:val="32"/>
          <w:highlight w:val="none"/>
        </w:rPr>
        <w:t>评标办法</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48B4F37A">
      <w:pPr>
        <w:widowControl w:val="0"/>
        <w:adjustRightInd/>
        <w:snapToGrid/>
        <w:spacing w:before="60" w:beforeLines="25" w:after="60" w:afterLines="25" w:line="500" w:lineRule="exact"/>
        <w:ind w:firstLine="640" w:firstLineChars="200"/>
        <w:rPr>
          <w:rFonts w:hint="eastAsia" w:ascii="仿宋" w:hAnsi="仿宋" w:eastAsia="仿宋" w:cs="华文细黑"/>
          <w:color w:val="auto"/>
          <w:sz w:val="32"/>
          <w:szCs w:val="32"/>
          <w:highlight w:val="none"/>
        </w:rPr>
      </w:pPr>
      <w:r>
        <w:rPr>
          <w:rFonts w:hint="eastAsia" w:ascii="仿宋" w:hAnsi="仿宋" w:eastAsia="仿宋" w:cs="华文细黑"/>
          <w:color w:val="auto"/>
          <w:sz w:val="32"/>
          <w:szCs w:val="32"/>
          <w:highlight w:val="none"/>
        </w:rPr>
        <w:t>本次招标采用综合评分法评标。</w:t>
      </w:r>
    </w:p>
    <w:p w14:paraId="4FAA4507">
      <w:pPr>
        <w:widowControl/>
        <w:adjustRightInd w:val="0"/>
        <w:snapToGrid w:val="0"/>
        <w:spacing w:before="60" w:beforeLines="25" w:after="60" w:afterLines="25" w:line="50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18.1.评标办法</w:t>
      </w:r>
    </w:p>
    <w:p w14:paraId="6F457B8F">
      <w:pPr>
        <w:pStyle w:val="6"/>
        <w:snapToGrid w:val="0"/>
        <w:spacing w:line="500" w:lineRule="exact"/>
        <w:ind w:left="0" w:firstLine="643" w:firstLineChars="200"/>
        <w:rPr>
          <w:rFonts w:ascii="仿宋" w:hAnsi="仿宋" w:eastAsia="仿宋" w:cs="华文细黑"/>
          <w:b/>
          <w:color w:val="auto"/>
          <w:sz w:val="32"/>
          <w:szCs w:val="32"/>
          <w:highlight w:val="none"/>
          <w:lang w:eastAsia="zh-CN"/>
        </w:rPr>
      </w:pPr>
      <w:r>
        <w:rPr>
          <w:rFonts w:hint="eastAsia" w:ascii="仿宋" w:hAnsi="仿宋" w:eastAsia="仿宋" w:cs="华文细黑"/>
          <w:b/>
          <w:color w:val="auto"/>
          <w:sz w:val="32"/>
          <w:szCs w:val="32"/>
          <w:highlight w:val="none"/>
          <w:lang w:eastAsia="zh-CN"/>
        </w:rPr>
        <w:t>1</w:t>
      </w:r>
      <w:r>
        <w:rPr>
          <w:rFonts w:hint="eastAsia" w:ascii="仿宋" w:hAnsi="仿宋" w:eastAsia="仿宋" w:cs="华文细黑"/>
          <w:b/>
          <w:color w:val="auto"/>
          <w:sz w:val="32"/>
          <w:szCs w:val="32"/>
          <w:highlight w:val="none"/>
          <w:lang w:val="en-US" w:eastAsia="zh-CN"/>
        </w:rPr>
        <w:t>8</w:t>
      </w:r>
      <w:r>
        <w:rPr>
          <w:rFonts w:hint="eastAsia" w:ascii="仿宋" w:hAnsi="仿宋" w:eastAsia="仿宋" w:cs="华文细黑"/>
          <w:b/>
          <w:color w:val="auto"/>
          <w:sz w:val="32"/>
          <w:szCs w:val="32"/>
          <w:highlight w:val="none"/>
          <w:lang w:eastAsia="zh-CN"/>
        </w:rPr>
        <w:t>.</w:t>
      </w:r>
      <w:r>
        <w:rPr>
          <w:rFonts w:hint="eastAsia" w:ascii="仿宋" w:hAnsi="仿宋" w:eastAsia="仿宋" w:cs="华文细黑"/>
          <w:b/>
          <w:color w:val="auto"/>
          <w:sz w:val="32"/>
          <w:szCs w:val="32"/>
          <w:highlight w:val="none"/>
          <w:lang w:val="en-US" w:eastAsia="zh-CN"/>
        </w:rPr>
        <w:t>1</w:t>
      </w:r>
      <w:r>
        <w:rPr>
          <w:rFonts w:hint="eastAsia" w:ascii="仿宋" w:hAnsi="仿宋" w:eastAsia="仿宋" w:cs="华文细黑"/>
          <w:b/>
          <w:color w:val="auto"/>
          <w:sz w:val="32"/>
          <w:szCs w:val="32"/>
          <w:highlight w:val="none"/>
          <w:lang w:eastAsia="zh-CN"/>
        </w:rPr>
        <w:t>具体的评标标准（评标办法）</w:t>
      </w:r>
    </w:p>
    <w:p w14:paraId="317C991D">
      <w:pPr>
        <w:spacing w:line="500" w:lineRule="exact"/>
        <w:ind w:firstLine="640" w:firstLineChars="200"/>
        <w:rPr>
          <w:rFonts w:ascii="仿宋" w:hAnsi="仿宋" w:eastAsia="仿宋" w:cs="华文细黑"/>
          <w:color w:val="auto"/>
          <w:sz w:val="32"/>
          <w:szCs w:val="32"/>
          <w:highlight w:val="none"/>
        </w:rPr>
      </w:pPr>
      <w:r>
        <w:rPr>
          <w:rFonts w:hint="eastAsia" w:ascii="仿宋" w:hAnsi="仿宋" w:eastAsia="仿宋" w:cs="华文细黑"/>
          <w:color w:val="auto"/>
          <w:sz w:val="32"/>
          <w:szCs w:val="32"/>
          <w:highlight w:val="none"/>
        </w:rPr>
        <w:t>1</w:t>
      </w:r>
      <w:r>
        <w:rPr>
          <w:rFonts w:hint="eastAsia" w:ascii="仿宋" w:hAnsi="仿宋" w:eastAsia="仿宋" w:cs="华文细黑"/>
          <w:color w:val="auto"/>
          <w:sz w:val="32"/>
          <w:szCs w:val="32"/>
          <w:highlight w:val="none"/>
          <w:lang w:val="en-US" w:eastAsia="zh-CN"/>
        </w:rPr>
        <w:t>8</w:t>
      </w:r>
      <w:r>
        <w:rPr>
          <w:rFonts w:hint="eastAsia" w:ascii="仿宋" w:hAnsi="仿宋" w:eastAsia="仿宋" w:cs="华文细黑"/>
          <w:color w:val="auto"/>
          <w:sz w:val="32"/>
          <w:szCs w:val="32"/>
          <w:highlight w:val="none"/>
        </w:rPr>
        <w:t>.</w:t>
      </w:r>
      <w:r>
        <w:rPr>
          <w:rFonts w:hint="eastAsia" w:ascii="仿宋" w:hAnsi="仿宋" w:eastAsia="仿宋" w:cs="华文细黑"/>
          <w:color w:val="auto"/>
          <w:sz w:val="32"/>
          <w:szCs w:val="32"/>
          <w:highlight w:val="none"/>
          <w:lang w:val="en-US" w:eastAsia="zh-CN"/>
        </w:rPr>
        <w:t>1</w:t>
      </w:r>
      <w:r>
        <w:rPr>
          <w:rFonts w:hint="eastAsia" w:ascii="仿宋" w:hAnsi="仿宋" w:eastAsia="仿宋" w:cs="华文细黑"/>
          <w:color w:val="auto"/>
          <w:sz w:val="32"/>
          <w:szCs w:val="32"/>
          <w:highlight w:val="none"/>
        </w:rPr>
        <w:t>.1初审合格（即资格性、符合性检查合格并按其他相关条款审查后）的投标人在三家以上（含三家）的，评标委员会将按以下评标方法与标准，对初审合格的投标文件进行商务和技术评估，综合比较与评价。</w:t>
      </w:r>
    </w:p>
    <w:p w14:paraId="096CCCAC">
      <w:pPr>
        <w:spacing w:line="500" w:lineRule="exact"/>
        <w:ind w:firstLine="472" w:firstLineChars="147"/>
        <w:rPr>
          <w:rStyle w:val="20"/>
          <w:rFonts w:ascii="仿宋" w:hAnsi="仿宋" w:eastAsia="仿宋" w:cs="华文细黑"/>
          <w:color w:val="auto"/>
          <w:sz w:val="32"/>
          <w:szCs w:val="32"/>
          <w:highlight w:val="none"/>
        </w:rPr>
      </w:pPr>
      <w:r>
        <w:rPr>
          <w:rStyle w:val="20"/>
          <w:rFonts w:hint="eastAsia" w:ascii="仿宋" w:hAnsi="仿宋" w:eastAsia="仿宋" w:cs="华文细黑"/>
          <w:color w:val="auto"/>
          <w:sz w:val="32"/>
          <w:szCs w:val="32"/>
          <w:highlight w:val="none"/>
        </w:rPr>
        <w:t>（1）技术分F1（</w:t>
      </w:r>
      <w:r>
        <w:rPr>
          <w:rFonts w:hint="eastAsia" w:ascii="仿宋" w:hAnsi="仿宋" w:eastAsia="仿宋" w:cs="华文细黑"/>
          <w:b/>
          <w:color w:val="auto"/>
          <w:sz w:val="32"/>
          <w:szCs w:val="32"/>
          <w:highlight w:val="none"/>
        </w:rPr>
        <w:t>满分</w:t>
      </w:r>
      <w:r>
        <w:rPr>
          <w:rFonts w:hint="eastAsia" w:ascii="仿宋" w:hAnsi="仿宋" w:eastAsia="仿宋" w:cs="华文细黑"/>
          <w:b/>
          <w:color w:val="auto"/>
          <w:sz w:val="32"/>
          <w:szCs w:val="32"/>
          <w:highlight w:val="none"/>
          <w:lang w:val="en-US" w:eastAsia="zh-CN"/>
        </w:rPr>
        <w:t>30</w:t>
      </w:r>
      <w:r>
        <w:rPr>
          <w:rFonts w:hint="eastAsia" w:ascii="仿宋" w:hAnsi="仿宋" w:eastAsia="仿宋" w:cs="华文细黑"/>
          <w:b/>
          <w:color w:val="auto"/>
          <w:sz w:val="32"/>
          <w:szCs w:val="32"/>
          <w:highlight w:val="none"/>
        </w:rPr>
        <w:t>分）</w:t>
      </w:r>
    </w:p>
    <w:tbl>
      <w:tblPr>
        <w:tblStyle w:val="17"/>
        <w:tblW w:w="92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453"/>
        <w:gridCol w:w="6027"/>
        <w:gridCol w:w="828"/>
      </w:tblGrid>
      <w:tr w14:paraId="425B82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79" w:type="dxa"/>
            <w:vAlign w:val="center"/>
          </w:tcPr>
          <w:p w14:paraId="48AEC995">
            <w:pPr>
              <w:pStyle w:val="26"/>
              <w:keepNext w:val="0"/>
              <w:keepLines w:val="0"/>
              <w:suppressLineNumbers w:val="0"/>
              <w:autoSpaceDE/>
              <w:autoSpaceDN/>
              <w:adjustRightInd/>
              <w:spacing w:before="0" w:beforeAutospacing="0" w:after="0" w:afterAutospacing="0" w:line="500" w:lineRule="exact"/>
              <w:ind w:left="0" w:right="0"/>
              <w:rPr>
                <w:rFonts w:hint="default" w:ascii="仿宋" w:hAnsi="仿宋" w:eastAsia="仿宋" w:cs="华文细黑"/>
                <w:bCs/>
                <w:color w:val="auto"/>
                <w:kern w:val="10"/>
                <w:sz w:val="28"/>
                <w:szCs w:val="28"/>
                <w:highlight w:val="none"/>
              </w:rPr>
            </w:pPr>
            <w:r>
              <w:rPr>
                <w:rFonts w:hint="eastAsia" w:ascii="仿宋" w:hAnsi="仿宋" w:eastAsia="仿宋" w:cs="华文细黑"/>
                <w:bCs/>
                <w:color w:val="auto"/>
                <w:kern w:val="10"/>
                <w:sz w:val="28"/>
                <w:szCs w:val="28"/>
                <w:highlight w:val="none"/>
              </w:rPr>
              <w:t>序号</w:t>
            </w:r>
          </w:p>
        </w:tc>
        <w:tc>
          <w:tcPr>
            <w:tcW w:w="1453" w:type="dxa"/>
            <w:vAlign w:val="center"/>
          </w:tcPr>
          <w:p w14:paraId="3F8FC715">
            <w:pPr>
              <w:pStyle w:val="26"/>
              <w:keepNext w:val="0"/>
              <w:keepLines w:val="0"/>
              <w:suppressLineNumbers w:val="0"/>
              <w:autoSpaceDE/>
              <w:autoSpaceDN/>
              <w:adjustRightInd/>
              <w:spacing w:before="0" w:beforeAutospacing="0" w:after="0" w:afterAutospacing="0" w:line="500" w:lineRule="exact"/>
              <w:ind w:left="0" w:right="0"/>
              <w:rPr>
                <w:rFonts w:hint="default" w:ascii="仿宋" w:hAnsi="仿宋" w:eastAsia="仿宋" w:cs="华文细黑"/>
                <w:bCs/>
                <w:color w:val="auto"/>
                <w:kern w:val="2"/>
                <w:sz w:val="28"/>
                <w:szCs w:val="28"/>
                <w:highlight w:val="none"/>
              </w:rPr>
            </w:pPr>
            <w:r>
              <w:rPr>
                <w:rFonts w:hint="eastAsia" w:ascii="仿宋" w:hAnsi="仿宋" w:eastAsia="仿宋" w:cs="华文细黑"/>
                <w:bCs/>
                <w:color w:val="auto"/>
                <w:kern w:val="2"/>
                <w:sz w:val="28"/>
                <w:szCs w:val="28"/>
                <w:highlight w:val="none"/>
              </w:rPr>
              <w:t>评分项目</w:t>
            </w:r>
          </w:p>
        </w:tc>
        <w:tc>
          <w:tcPr>
            <w:tcW w:w="6027" w:type="dxa"/>
            <w:vAlign w:val="center"/>
          </w:tcPr>
          <w:p w14:paraId="4210D21C">
            <w:pPr>
              <w:pStyle w:val="26"/>
              <w:keepNext w:val="0"/>
              <w:keepLines w:val="0"/>
              <w:suppressLineNumbers w:val="0"/>
              <w:autoSpaceDE/>
              <w:autoSpaceDN/>
              <w:adjustRightInd/>
              <w:spacing w:before="0" w:beforeAutospacing="0" w:after="0" w:afterAutospacing="0" w:line="500" w:lineRule="exact"/>
              <w:ind w:left="0" w:right="0"/>
              <w:rPr>
                <w:rFonts w:hint="default" w:ascii="仿宋" w:hAnsi="仿宋" w:eastAsia="仿宋" w:cs="华文细黑"/>
                <w:bCs/>
                <w:color w:val="auto"/>
                <w:kern w:val="2"/>
                <w:sz w:val="28"/>
                <w:szCs w:val="28"/>
                <w:highlight w:val="none"/>
              </w:rPr>
            </w:pPr>
            <w:r>
              <w:rPr>
                <w:rFonts w:hint="eastAsia" w:ascii="仿宋" w:hAnsi="仿宋" w:eastAsia="仿宋" w:cs="华文细黑"/>
                <w:bCs/>
                <w:color w:val="auto"/>
                <w:kern w:val="2"/>
                <w:sz w:val="28"/>
                <w:szCs w:val="28"/>
                <w:highlight w:val="none"/>
              </w:rPr>
              <w:t>评分界定</w:t>
            </w:r>
          </w:p>
        </w:tc>
        <w:tc>
          <w:tcPr>
            <w:tcW w:w="828" w:type="dxa"/>
            <w:vAlign w:val="center"/>
          </w:tcPr>
          <w:p w14:paraId="6A86D36E">
            <w:pPr>
              <w:pStyle w:val="26"/>
              <w:keepNext w:val="0"/>
              <w:keepLines w:val="0"/>
              <w:suppressLineNumbers w:val="0"/>
              <w:autoSpaceDE/>
              <w:autoSpaceDN/>
              <w:adjustRightInd/>
              <w:spacing w:before="0" w:beforeAutospacing="0" w:after="0" w:afterAutospacing="0" w:line="500" w:lineRule="exact"/>
              <w:ind w:left="0" w:right="0"/>
              <w:rPr>
                <w:rFonts w:hint="default" w:ascii="仿宋" w:hAnsi="仿宋" w:eastAsia="仿宋" w:cs="华文细黑"/>
                <w:bCs/>
                <w:color w:val="auto"/>
                <w:kern w:val="2"/>
                <w:sz w:val="28"/>
                <w:szCs w:val="28"/>
                <w:highlight w:val="none"/>
              </w:rPr>
            </w:pPr>
            <w:r>
              <w:rPr>
                <w:rFonts w:hint="eastAsia" w:ascii="仿宋" w:hAnsi="仿宋" w:eastAsia="仿宋" w:cs="华文细黑"/>
                <w:bCs/>
                <w:color w:val="auto"/>
                <w:kern w:val="2"/>
                <w:sz w:val="28"/>
                <w:szCs w:val="28"/>
                <w:highlight w:val="none"/>
              </w:rPr>
              <w:t>分值</w:t>
            </w:r>
          </w:p>
        </w:tc>
      </w:tr>
      <w:tr w14:paraId="2C6D32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79" w:type="dxa"/>
            <w:vAlign w:val="center"/>
          </w:tcPr>
          <w:p w14:paraId="18810141">
            <w:pPr>
              <w:keepNext w:val="0"/>
              <w:keepLines w:val="0"/>
              <w:suppressLineNumbers w:val="0"/>
              <w:adjustRightInd w:val="0"/>
              <w:snapToGrid w:val="0"/>
              <w:spacing w:before="0" w:beforeAutospacing="0" w:after="0" w:afterAutospacing="0" w:line="500" w:lineRule="exact"/>
              <w:ind w:left="0" w:right="0"/>
              <w:jc w:val="center"/>
              <w:rPr>
                <w:rFonts w:hint="default"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1</w:t>
            </w:r>
          </w:p>
        </w:tc>
        <w:tc>
          <w:tcPr>
            <w:tcW w:w="1453" w:type="dxa"/>
            <w:shd w:val="clear" w:color="auto" w:fill="auto"/>
            <w:vAlign w:val="center"/>
          </w:tcPr>
          <w:p w14:paraId="00A02AE9">
            <w:pPr>
              <w:keepNext w:val="0"/>
              <w:keepLines w:val="0"/>
              <w:suppressLineNumbers w:val="0"/>
              <w:spacing w:before="0" w:beforeAutospacing="0" w:after="0" w:afterAutospacing="0"/>
              <w:ind w:left="0" w:right="0"/>
              <w:jc w:val="left"/>
              <w:rPr>
                <w:rFonts w:hint="default" w:ascii="宋体" w:hAnsi="宋体" w:eastAsia="宋体" w:cs="宋体"/>
                <w:color w:val="auto"/>
                <w:kern w:val="2"/>
                <w:sz w:val="18"/>
                <w:szCs w:val="18"/>
                <w:highlight w:val="none"/>
                <w:lang w:val="en-US" w:eastAsia="zh-CN" w:bidi="ar-SA"/>
              </w:rPr>
            </w:pPr>
            <w:r>
              <w:rPr>
                <w:rFonts w:hint="eastAsia" w:ascii="仿宋" w:hAnsi="仿宋" w:eastAsia="仿宋" w:cs="华文细黑"/>
                <w:color w:val="auto"/>
                <w:sz w:val="28"/>
                <w:szCs w:val="28"/>
                <w:highlight w:val="none"/>
              </w:rPr>
              <w:t>拟派项目人员情况</w:t>
            </w:r>
          </w:p>
        </w:tc>
        <w:tc>
          <w:tcPr>
            <w:tcW w:w="6027" w:type="dxa"/>
            <w:vAlign w:val="center"/>
          </w:tcPr>
          <w:p w14:paraId="385C6BB6">
            <w:pPr>
              <w:keepNext/>
              <w:keepLines/>
              <w:suppressLineNumbers w:val="0"/>
              <w:spacing w:before="0" w:beforeAutospacing="0" w:after="0" w:afterAutospacing="0" w:line="440" w:lineRule="exact"/>
              <w:ind w:left="0" w:right="0" w:rightChars="0"/>
              <w:jc w:val="left"/>
              <w:rPr>
                <w:rFonts w:hint="eastAsia" w:ascii="仿宋" w:hAnsi="仿宋" w:eastAsia="仿宋" w:cs="华文细黑"/>
                <w:color w:val="auto"/>
                <w:sz w:val="28"/>
                <w:szCs w:val="28"/>
                <w:highlight w:val="none"/>
                <w:lang w:val="en-US" w:eastAsia="zh-CN"/>
              </w:rPr>
            </w:pPr>
            <w:r>
              <w:rPr>
                <w:rFonts w:hint="eastAsia" w:ascii="仿宋" w:hAnsi="仿宋" w:eastAsia="仿宋" w:cs="华文细黑"/>
                <w:color w:val="auto"/>
                <w:sz w:val="28"/>
                <w:szCs w:val="28"/>
                <w:highlight w:val="none"/>
                <w:lang w:eastAsia="zh-CN"/>
              </w:rPr>
              <w:t>根据</w:t>
            </w:r>
            <w:r>
              <w:rPr>
                <w:rFonts w:hint="eastAsia" w:ascii="仿宋" w:hAnsi="仿宋" w:eastAsia="仿宋" w:cs="华文细黑"/>
                <w:color w:val="auto"/>
                <w:sz w:val="28"/>
                <w:szCs w:val="28"/>
                <w:highlight w:val="none"/>
                <w:lang w:val="en-US" w:eastAsia="zh-CN"/>
              </w:rPr>
              <w:t>投标人拟派驻项目的人员情况、以往服务项目获得的荣誉情况进行评价：</w:t>
            </w:r>
          </w:p>
          <w:p w14:paraId="6BDF6368">
            <w:pPr>
              <w:keepNext/>
              <w:keepLines/>
              <w:suppressLineNumbers w:val="0"/>
              <w:spacing w:before="0" w:beforeAutospacing="0" w:after="0" w:afterAutospacing="0" w:line="440" w:lineRule="exact"/>
              <w:ind w:left="0" w:right="0" w:rightChars="0"/>
              <w:jc w:val="left"/>
              <w:rPr>
                <w:rFonts w:hint="eastAsia" w:ascii="仿宋" w:hAnsi="仿宋" w:eastAsia="仿宋" w:cs="华文细黑"/>
                <w:color w:val="auto"/>
                <w:sz w:val="28"/>
                <w:szCs w:val="28"/>
                <w:highlight w:val="none"/>
                <w:lang w:val="en-US" w:eastAsia="zh-CN"/>
              </w:rPr>
            </w:pPr>
            <w:r>
              <w:rPr>
                <w:rFonts w:hint="eastAsia" w:ascii="仿宋" w:hAnsi="仿宋" w:eastAsia="仿宋" w:cs="华文细黑"/>
                <w:color w:val="auto"/>
                <w:kern w:val="2"/>
                <w:sz w:val="28"/>
                <w:szCs w:val="28"/>
                <w:highlight w:val="none"/>
                <w:lang w:val="en-US" w:eastAsia="zh-CN" w:bidi="ar"/>
              </w:rPr>
              <w:t>①</w:t>
            </w:r>
            <w:r>
              <w:rPr>
                <w:rFonts w:hint="eastAsia" w:ascii="仿宋" w:hAnsi="仿宋" w:eastAsia="仿宋" w:cs="华文细黑"/>
                <w:color w:val="auto"/>
                <w:sz w:val="28"/>
                <w:szCs w:val="28"/>
                <w:highlight w:val="none"/>
                <w:lang w:val="en-US" w:eastAsia="zh-CN"/>
              </w:rPr>
              <w:t>拟派人员满足《第三章招标内容及要求》中“第一节项目需求”第2点规定的人员配置要求的得2分；满足人员配置要求的基础上，人员增加</w:t>
            </w:r>
            <w:r>
              <w:rPr>
                <w:rFonts w:hint="eastAsia" w:ascii="仿宋" w:hAnsi="仿宋" w:eastAsia="仿宋" w:cs="华文细黑"/>
                <w:color w:val="auto"/>
                <w:kern w:val="2"/>
                <w:sz w:val="28"/>
                <w:szCs w:val="28"/>
                <w:highlight w:val="none"/>
                <w:lang w:val="en-US" w:eastAsia="zh-CN" w:bidi="ar"/>
              </w:rPr>
              <w:t>1人及以上的得3分；不满足要求的不得分。</w:t>
            </w:r>
            <w:r>
              <w:rPr>
                <w:rFonts w:hint="eastAsia" w:ascii="仿宋" w:hAnsi="仿宋" w:eastAsia="仿宋" w:cs="华文细黑"/>
                <w:color w:val="auto"/>
                <w:sz w:val="28"/>
                <w:szCs w:val="28"/>
                <w:highlight w:val="none"/>
              </w:rPr>
              <w:t>（</w:t>
            </w:r>
            <w:r>
              <w:rPr>
                <w:rFonts w:hint="eastAsia" w:ascii="仿宋" w:hAnsi="仿宋" w:eastAsia="仿宋" w:cs="华文细黑"/>
                <w:color w:val="auto"/>
                <w:sz w:val="28"/>
                <w:szCs w:val="28"/>
                <w:highlight w:val="none"/>
                <w:lang w:val="en-US" w:eastAsia="zh-CN"/>
              </w:rPr>
              <w:t>满分3</w:t>
            </w:r>
            <w:r>
              <w:rPr>
                <w:rFonts w:hint="eastAsia" w:ascii="仿宋" w:hAnsi="仿宋" w:eastAsia="仿宋" w:cs="华文细黑"/>
                <w:color w:val="auto"/>
                <w:sz w:val="28"/>
                <w:szCs w:val="28"/>
                <w:highlight w:val="none"/>
              </w:rPr>
              <w:t>分）</w:t>
            </w:r>
          </w:p>
          <w:p w14:paraId="18C28174">
            <w:pPr>
              <w:keepNext/>
              <w:keepLines/>
              <w:suppressLineNumbers w:val="0"/>
              <w:spacing w:before="0" w:beforeAutospacing="0" w:after="0" w:afterAutospacing="0" w:line="440" w:lineRule="exact"/>
              <w:ind w:left="0" w:right="0" w:rightChars="0"/>
              <w:jc w:val="left"/>
              <w:rPr>
                <w:rFonts w:hint="default" w:ascii="仿宋" w:hAnsi="仿宋" w:eastAsia="仿宋" w:cs="华文细黑"/>
                <w:color w:val="auto"/>
                <w:sz w:val="28"/>
                <w:szCs w:val="28"/>
                <w:highlight w:val="none"/>
                <w:lang w:eastAsia="zh-CN"/>
              </w:rPr>
            </w:pPr>
            <w:r>
              <w:rPr>
                <w:rFonts w:hint="eastAsia" w:ascii="仿宋" w:hAnsi="仿宋" w:eastAsia="仿宋" w:cs="华文细黑"/>
                <w:color w:val="auto"/>
                <w:kern w:val="2"/>
                <w:sz w:val="28"/>
                <w:szCs w:val="28"/>
                <w:highlight w:val="none"/>
                <w:lang w:val="en-US" w:eastAsia="zh-CN" w:bidi="ar"/>
              </w:rPr>
              <w:t>②</w:t>
            </w:r>
            <w:r>
              <w:rPr>
                <w:rFonts w:hint="eastAsia" w:ascii="仿宋" w:hAnsi="仿宋" w:eastAsia="仿宋" w:cs="华文细黑"/>
                <w:color w:val="auto"/>
                <w:sz w:val="28"/>
                <w:szCs w:val="28"/>
                <w:highlight w:val="none"/>
                <w:lang w:val="en-US" w:eastAsia="zh-CN"/>
              </w:rPr>
              <w:t>拟派人员具有以往服务项目</w:t>
            </w:r>
            <w:r>
              <w:rPr>
                <w:rFonts w:hint="eastAsia" w:ascii="仿宋" w:hAnsi="仿宋" w:eastAsia="仿宋" w:cs="华文细黑"/>
                <w:color w:val="auto"/>
                <w:sz w:val="28"/>
                <w:szCs w:val="28"/>
                <w:highlight w:val="none"/>
              </w:rPr>
              <w:t>业主单位</w:t>
            </w:r>
            <w:r>
              <w:rPr>
                <w:rFonts w:hint="eastAsia" w:ascii="仿宋" w:hAnsi="仿宋" w:eastAsia="仿宋" w:cs="华文细黑"/>
                <w:color w:val="auto"/>
                <w:sz w:val="28"/>
                <w:szCs w:val="28"/>
                <w:highlight w:val="none"/>
                <w:lang w:val="en-US" w:eastAsia="zh-CN"/>
              </w:rPr>
              <w:t>颁发的</w:t>
            </w:r>
            <w:r>
              <w:rPr>
                <w:rFonts w:hint="eastAsia" w:ascii="仿宋" w:hAnsi="仿宋" w:eastAsia="仿宋" w:cs="华文细黑"/>
                <w:color w:val="auto"/>
                <w:sz w:val="28"/>
                <w:szCs w:val="28"/>
                <w:highlight w:val="none"/>
              </w:rPr>
              <w:t>荣誉</w:t>
            </w:r>
            <w:r>
              <w:rPr>
                <w:rFonts w:hint="eastAsia" w:ascii="仿宋" w:hAnsi="仿宋" w:eastAsia="仿宋" w:cs="华文细黑"/>
                <w:color w:val="auto"/>
                <w:sz w:val="28"/>
                <w:szCs w:val="28"/>
                <w:highlight w:val="none"/>
                <w:lang w:val="en-US" w:eastAsia="zh-CN"/>
              </w:rPr>
              <w:t>证书（如证书、锦旗等），</w:t>
            </w:r>
            <w:r>
              <w:rPr>
                <w:rFonts w:hint="eastAsia" w:ascii="仿宋" w:hAnsi="仿宋" w:eastAsia="仿宋" w:cs="华文细黑"/>
                <w:color w:val="auto"/>
                <w:sz w:val="28"/>
                <w:szCs w:val="28"/>
                <w:highlight w:val="none"/>
              </w:rPr>
              <w:t>提供</w:t>
            </w:r>
            <w:r>
              <w:rPr>
                <w:rFonts w:hint="eastAsia" w:ascii="仿宋" w:hAnsi="仿宋" w:eastAsia="仿宋" w:cs="华文细黑"/>
                <w:color w:val="auto"/>
                <w:sz w:val="28"/>
                <w:szCs w:val="28"/>
                <w:highlight w:val="none"/>
                <w:lang w:val="en-US" w:eastAsia="zh-CN"/>
              </w:rPr>
              <w:t>3份及以上的得2分，未提供或不满足的不得分。（满分2分）</w:t>
            </w:r>
          </w:p>
        </w:tc>
        <w:tc>
          <w:tcPr>
            <w:tcW w:w="828" w:type="dxa"/>
            <w:vAlign w:val="center"/>
          </w:tcPr>
          <w:p w14:paraId="43287B79">
            <w:pPr>
              <w:keepNext w:val="0"/>
              <w:keepLines w:val="0"/>
              <w:suppressLineNumbers w:val="0"/>
              <w:spacing w:before="0" w:beforeAutospacing="0" w:after="0" w:afterAutospacing="0" w:line="500" w:lineRule="exact"/>
              <w:ind w:left="0" w:right="0"/>
              <w:jc w:val="center"/>
              <w:rPr>
                <w:rFonts w:hint="default"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满分</w:t>
            </w:r>
          </w:p>
          <w:p w14:paraId="3A0D3519">
            <w:pPr>
              <w:keepNext w:val="0"/>
              <w:keepLines w:val="0"/>
              <w:suppressLineNumbers w:val="0"/>
              <w:adjustRightInd w:val="0"/>
              <w:snapToGrid w:val="0"/>
              <w:spacing w:before="0" w:beforeAutospacing="0" w:after="0" w:afterAutospacing="0" w:line="500" w:lineRule="exact"/>
              <w:ind w:left="0" w:right="0"/>
              <w:jc w:val="center"/>
              <w:rPr>
                <w:rFonts w:hint="default" w:ascii="仿宋" w:hAnsi="仿宋" w:eastAsia="仿宋" w:cs="华文细黑"/>
                <w:color w:val="auto"/>
                <w:sz w:val="28"/>
                <w:szCs w:val="28"/>
                <w:highlight w:val="none"/>
              </w:rPr>
            </w:pPr>
            <w:r>
              <w:rPr>
                <w:rFonts w:hint="eastAsia" w:ascii="仿宋" w:hAnsi="仿宋" w:eastAsia="仿宋" w:cs="华文细黑"/>
                <w:color w:val="auto"/>
                <w:sz w:val="28"/>
                <w:szCs w:val="28"/>
                <w:highlight w:val="none"/>
                <w:lang w:val="en-US" w:eastAsia="zh-CN"/>
              </w:rPr>
              <w:t>5</w:t>
            </w:r>
            <w:r>
              <w:rPr>
                <w:rFonts w:hint="eastAsia" w:ascii="仿宋" w:hAnsi="仿宋" w:eastAsia="仿宋" w:cs="华文细黑"/>
                <w:color w:val="auto"/>
                <w:sz w:val="28"/>
                <w:szCs w:val="28"/>
                <w:highlight w:val="none"/>
              </w:rPr>
              <w:t>分</w:t>
            </w:r>
          </w:p>
        </w:tc>
      </w:tr>
      <w:tr w14:paraId="12BAD9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79" w:type="dxa"/>
            <w:vAlign w:val="center"/>
          </w:tcPr>
          <w:p w14:paraId="23DFB42C">
            <w:pPr>
              <w:keepNext w:val="0"/>
              <w:keepLines w:val="0"/>
              <w:suppressLineNumbers w:val="0"/>
              <w:adjustRightInd w:val="0"/>
              <w:snapToGrid w:val="0"/>
              <w:spacing w:before="0" w:beforeAutospacing="0" w:after="0" w:afterAutospacing="0" w:line="500" w:lineRule="exact"/>
              <w:ind w:left="0" w:right="0"/>
              <w:jc w:val="center"/>
              <w:rPr>
                <w:rFonts w:hint="default" w:ascii="仿宋" w:hAnsi="仿宋" w:eastAsia="仿宋" w:cs="华文细黑"/>
                <w:color w:val="auto"/>
                <w:sz w:val="28"/>
                <w:szCs w:val="28"/>
                <w:highlight w:val="none"/>
                <w:lang w:eastAsia="zh-CN"/>
              </w:rPr>
            </w:pPr>
            <w:r>
              <w:rPr>
                <w:rFonts w:hint="eastAsia" w:ascii="仿宋" w:hAnsi="仿宋" w:eastAsia="仿宋" w:cs="华文细黑"/>
                <w:color w:val="auto"/>
                <w:sz w:val="28"/>
                <w:szCs w:val="28"/>
                <w:highlight w:val="none"/>
                <w:lang w:val="en-US" w:eastAsia="zh-CN"/>
              </w:rPr>
              <w:t>2</w:t>
            </w:r>
          </w:p>
        </w:tc>
        <w:tc>
          <w:tcPr>
            <w:tcW w:w="1453" w:type="dxa"/>
            <w:vAlign w:val="center"/>
          </w:tcPr>
          <w:p w14:paraId="1EA4CC8C">
            <w:pPr>
              <w:keepNext w:val="0"/>
              <w:keepLines w:val="0"/>
              <w:suppressLineNumbers w:val="0"/>
              <w:spacing w:before="0" w:beforeAutospacing="0" w:after="0" w:afterAutospacing="0" w:line="500" w:lineRule="exact"/>
              <w:ind w:left="0" w:right="31" w:rightChars="15"/>
              <w:jc w:val="center"/>
              <w:rPr>
                <w:rFonts w:hint="default"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现场实施管控方案</w:t>
            </w:r>
          </w:p>
        </w:tc>
        <w:tc>
          <w:tcPr>
            <w:tcW w:w="6027" w:type="dxa"/>
            <w:vAlign w:val="center"/>
          </w:tcPr>
          <w:p w14:paraId="1E2D51F7">
            <w:pPr>
              <w:keepNext w:val="0"/>
              <w:keepLines w:val="0"/>
              <w:suppressLineNumbers w:val="0"/>
              <w:spacing w:before="0" w:beforeAutospacing="0" w:after="0" w:afterAutospacing="0" w:line="500" w:lineRule="exact"/>
              <w:ind w:left="0" w:right="31" w:rightChars="15"/>
              <w:jc w:val="left"/>
              <w:rPr>
                <w:rFonts w:hint="default" w:ascii="仿宋" w:hAnsi="仿宋" w:eastAsia="仿宋" w:cs="华文细黑"/>
                <w:color w:val="auto"/>
                <w:sz w:val="28"/>
                <w:szCs w:val="28"/>
                <w:highlight w:val="none"/>
              </w:rPr>
            </w:pPr>
            <w:r>
              <w:rPr>
                <w:rFonts w:hint="eastAsia" w:ascii="仿宋" w:hAnsi="仿宋" w:eastAsia="仿宋" w:cs="华文细黑"/>
                <w:color w:val="auto"/>
                <w:kern w:val="2"/>
                <w:sz w:val="28"/>
                <w:szCs w:val="28"/>
                <w:highlight w:val="none"/>
                <w:lang w:val="en-US" w:eastAsia="zh-CN" w:bidi="ar"/>
              </w:rPr>
              <w:t>①</w:t>
            </w:r>
            <w:r>
              <w:rPr>
                <w:rFonts w:hint="eastAsia" w:ascii="仿宋" w:hAnsi="仿宋" w:eastAsia="仿宋" w:cs="华文细黑"/>
                <w:color w:val="auto"/>
                <w:sz w:val="28"/>
                <w:szCs w:val="28"/>
                <w:highlight w:val="none"/>
              </w:rPr>
              <w:t>现场管控方案是否切合项目实际情况，针对本项目特点编制了针对性的管控方案，根据“</w:t>
            </w:r>
            <w:r>
              <w:rPr>
                <w:rFonts w:hint="eastAsia" w:ascii="仿宋" w:hAnsi="仿宋" w:eastAsia="仿宋" w:cs="华文细黑"/>
                <w:color w:val="auto"/>
                <w:sz w:val="28"/>
                <w:szCs w:val="28"/>
                <w:highlight w:val="none"/>
                <w:lang w:val="en-US" w:eastAsia="zh-CN"/>
              </w:rPr>
              <w:t>第三章、招标内容及要求”第二点查验服务范围</w:t>
            </w:r>
            <w:r>
              <w:rPr>
                <w:rFonts w:hint="eastAsia" w:ascii="仿宋" w:hAnsi="仿宋" w:eastAsia="仿宋" w:cs="华文细黑"/>
                <w:color w:val="auto"/>
                <w:sz w:val="28"/>
                <w:szCs w:val="28"/>
                <w:highlight w:val="none"/>
              </w:rPr>
              <w:t>，编制出各</w:t>
            </w:r>
            <w:r>
              <w:rPr>
                <w:rFonts w:hint="eastAsia" w:ascii="仿宋" w:hAnsi="仿宋" w:eastAsia="仿宋" w:cs="华文细黑"/>
                <w:color w:val="auto"/>
                <w:sz w:val="28"/>
                <w:szCs w:val="28"/>
                <w:highlight w:val="none"/>
                <w:lang w:val="en-US" w:eastAsia="zh-CN"/>
              </w:rPr>
              <w:t>阶段/部品等查验</w:t>
            </w:r>
            <w:r>
              <w:rPr>
                <w:rFonts w:hint="eastAsia" w:ascii="仿宋" w:hAnsi="仿宋" w:eastAsia="仿宋" w:cs="华文细黑"/>
                <w:color w:val="auto"/>
                <w:sz w:val="28"/>
                <w:szCs w:val="28"/>
                <w:highlight w:val="none"/>
              </w:rPr>
              <w:t>管理方案</w:t>
            </w:r>
            <w:r>
              <w:rPr>
                <w:rFonts w:hint="eastAsia" w:ascii="仿宋" w:hAnsi="仿宋" w:eastAsia="仿宋" w:cs="华文细黑"/>
                <w:color w:val="auto"/>
                <w:sz w:val="28"/>
                <w:szCs w:val="28"/>
                <w:highlight w:val="none"/>
                <w:lang w:eastAsia="zh-CN"/>
              </w:rPr>
              <w:t>、</w:t>
            </w:r>
            <w:r>
              <w:rPr>
                <w:rFonts w:hint="eastAsia" w:ascii="仿宋" w:hAnsi="仿宋" w:eastAsia="仿宋" w:cs="华文细黑"/>
                <w:color w:val="auto"/>
                <w:sz w:val="28"/>
                <w:szCs w:val="28"/>
                <w:highlight w:val="none"/>
              </w:rPr>
              <w:t>为确保现场目标达成做出的保障措施（</w:t>
            </w:r>
            <w:r>
              <w:rPr>
                <w:rFonts w:hint="eastAsia" w:ascii="仿宋" w:hAnsi="仿宋" w:eastAsia="仿宋" w:cs="华文细黑"/>
                <w:color w:val="auto"/>
                <w:sz w:val="28"/>
                <w:szCs w:val="28"/>
                <w:highlight w:val="none"/>
                <w:lang w:val="en-US" w:eastAsia="zh-CN"/>
              </w:rPr>
              <w:t>满分5</w:t>
            </w:r>
            <w:r>
              <w:rPr>
                <w:rFonts w:hint="eastAsia" w:ascii="仿宋" w:hAnsi="仿宋" w:eastAsia="仿宋" w:cs="华文细黑"/>
                <w:color w:val="auto"/>
                <w:sz w:val="28"/>
                <w:szCs w:val="28"/>
                <w:highlight w:val="none"/>
              </w:rPr>
              <w:t>分）；</w:t>
            </w:r>
          </w:p>
          <w:p w14:paraId="2C34BF8E">
            <w:pPr>
              <w:keepNext w:val="0"/>
              <w:keepLines w:val="0"/>
              <w:suppressLineNumbers w:val="0"/>
              <w:spacing w:before="0" w:beforeAutospacing="0" w:after="0" w:afterAutospacing="0" w:line="500" w:lineRule="exact"/>
              <w:ind w:left="0" w:right="31" w:rightChars="15"/>
              <w:jc w:val="left"/>
              <w:rPr>
                <w:rFonts w:hint="default" w:ascii="仿宋" w:hAnsi="仿宋" w:eastAsia="仿宋" w:cs="华文细黑"/>
                <w:color w:val="auto"/>
                <w:sz w:val="28"/>
                <w:szCs w:val="28"/>
                <w:highlight w:val="none"/>
              </w:rPr>
            </w:pPr>
            <w:r>
              <w:rPr>
                <w:rFonts w:hint="eastAsia" w:ascii="仿宋" w:hAnsi="仿宋" w:eastAsia="仿宋" w:cs="华文细黑"/>
                <w:color w:val="auto"/>
                <w:kern w:val="2"/>
                <w:sz w:val="28"/>
                <w:szCs w:val="28"/>
                <w:highlight w:val="none"/>
                <w:lang w:val="en-US" w:eastAsia="zh-CN" w:bidi="ar"/>
              </w:rPr>
              <w:t>②</w:t>
            </w:r>
            <w:r>
              <w:rPr>
                <w:rFonts w:hint="eastAsia" w:ascii="仿宋" w:hAnsi="仿宋" w:eastAsia="仿宋" w:cs="华文细黑"/>
                <w:color w:val="auto"/>
                <w:sz w:val="28"/>
                <w:szCs w:val="28"/>
                <w:highlight w:val="none"/>
              </w:rPr>
              <w:t>公司对团队的培养和考核机制，应涵盖如何衔接服务好业主，帮扶好</w:t>
            </w:r>
            <w:r>
              <w:rPr>
                <w:rFonts w:hint="eastAsia" w:ascii="仿宋" w:hAnsi="仿宋" w:eastAsia="仿宋" w:cs="华文细黑"/>
                <w:color w:val="auto"/>
                <w:sz w:val="28"/>
                <w:szCs w:val="28"/>
                <w:highlight w:val="none"/>
                <w:lang w:val="en-US" w:eastAsia="zh-CN"/>
              </w:rPr>
              <w:t>甲方、</w:t>
            </w:r>
            <w:r>
              <w:rPr>
                <w:rFonts w:hint="eastAsia" w:ascii="仿宋" w:hAnsi="仿宋" w:eastAsia="仿宋" w:cs="华文细黑"/>
                <w:color w:val="auto"/>
                <w:sz w:val="28"/>
                <w:szCs w:val="28"/>
                <w:highlight w:val="none"/>
              </w:rPr>
              <w:t>监理、施工团队。（</w:t>
            </w:r>
            <w:r>
              <w:rPr>
                <w:rFonts w:hint="eastAsia" w:ascii="仿宋" w:hAnsi="仿宋" w:eastAsia="仿宋" w:cs="华文细黑"/>
                <w:color w:val="auto"/>
                <w:sz w:val="28"/>
                <w:szCs w:val="28"/>
                <w:highlight w:val="none"/>
                <w:lang w:val="en-US" w:eastAsia="zh-CN"/>
              </w:rPr>
              <w:t>满分5</w:t>
            </w:r>
            <w:r>
              <w:rPr>
                <w:rFonts w:hint="eastAsia" w:ascii="仿宋" w:hAnsi="仿宋" w:eastAsia="仿宋" w:cs="华文细黑"/>
                <w:color w:val="auto"/>
                <w:sz w:val="28"/>
                <w:szCs w:val="28"/>
                <w:highlight w:val="none"/>
              </w:rPr>
              <w:t>分）；</w:t>
            </w:r>
          </w:p>
          <w:p w14:paraId="647B67BD">
            <w:pPr>
              <w:keepNext w:val="0"/>
              <w:keepLines w:val="0"/>
              <w:suppressLineNumbers w:val="0"/>
              <w:spacing w:before="0" w:beforeAutospacing="0" w:after="0" w:afterAutospacing="0" w:line="500" w:lineRule="exact"/>
              <w:ind w:left="0" w:right="31" w:rightChars="15"/>
              <w:jc w:val="left"/>
              <w:rPr>
                <w:rFonts w:hint="default" w:ascii="仿宋" w:hAnsi="仿宋" w:eastAsia="仿宋" w:cs="华文细黑"/>
                <w:color w:val="auto"/>
                <w:sz w:val="28"/>
                <w:szCs w:val="28"/>
                <w:highlight w:val="none"/>
                <w:lang w:eastAsia="zh-CN"/>
              </w:rPr>
            </w:pPr>
            <w:r>
              <w:rPr>
                <w:rFonts w:hint="eastAsia" w:ascii="仿宋" w:hAnsi="仿宋" w:eastAsia="仿宋" w:cs="华文细黑"/>
                <w:color w:val="auto"/>
                <w:kern w:val="2"/>
                <w:sz w:val="28"/>
                <w:szCs w:val="28"/>
                <w:highlight w:val="none"/>
                <w:lang w:val="en-US" w:eastAsia="zh-CN" w:bidi="ar"/>
              </w:rPr>
              <w:t>③</w:t>
            </w:r>
            <w:r>
              <w:rPr>
                <w:rFonts w:hint="eastAsia" w:ascii="仿宋" w:hAnsi="仿宋" w:eastAsia="仿宋" w:cs="华文细黑"/>
                <w:color w:val="auto"/>
                <w:sz w:val="28"/>
                <w:szCs w:val="28"/>
                <w:highlight w:val="none"/>
              </w:rPr>
              <w:t>结合</w:t>
            </w:r>
            <w:r>
              <w:rPr>
                <w:rFonts w:hint="eastAsia" w:ascii="仿宋" w:hAnsi="仿宋" w:eastAsia="仿宋" w:cs="华文细黑"/>
                <w:color w:val="auto"/>
                <w:sz w:val="28"/>
                <w:szCs w:val="28"/>
                <w:highlight w:val="none"/>
                <w:lang w:val="en-US" w:eastAsia="zh-CN"/>
              </w:rPr>
              <w:t>自</w:t>
            </w:r>
            <w:r>
              <w:rPr>
                <w:rFonts w:hint="eastAsia" w:ascii="仿宋" w:hAnsi="仿宋" w:eastAsia="仿宋" w:cs="仿宋"/>
                <w:color w:val="auto"/>
                <w:kern w:val="2"/>
                <w:sz w:val="28"/>
                <w:szCs w:val="28"/>
                <w:highlight w:val="none"/>
                <w:lang w:val="en-US" w:eastAsia="zh-CN" w:bidi="ar"/>
              </w:rPr>
              <w:t>2022年至今</w:t>
            </w:r>
            <w:r>
              <w:rPr>
                <w:rFonts w:hint="eastAsia" w:ascii="仿宋" w:hAnsi="仿宋" w:eastAsia="仿宋" w:cs="华文细黑"/>
                <w:color w:val="auto"/>
                <w:sz w:val="28"/>
                <w:szCs w:val="28"/>
                <w:highlight w:val="none"/>
              </w:rPr>
              <w:t>完成的</w:t>
            </w:r>
            <w:r>
              <w:rPr>
                <w:rFonts w:hint="eastAsia" w:ascii="仿宋" w:hAnsi="仿宋" w:eastAsia="仿宋" w:cs="华文细黑"/>
                <w:color w:val="auto"/>
                <w:sz w:val="28"/>
                <w:szCs w:val="28"/>
                <w:highlight w:val="none"/>
                <w:lang w:val="en-US" w:eastAsia="zh-CN"/>
              </w:rPr>
              <w:t>3</w:t>
            </w:r>
            <w:r>
              <w:rPr>
                <w:rFonts w:hint="eastAsia" w:ascii="仿宋" w:hAnsi="仿宋" w:eastAsia="仿宋" w:cs="华文细黑"/>
                <w:color w:val="auto"/>
                <w:sz w:val="28"/>
                <w:szCs w:val="28"/>
                <w:highlight w:val="none"/>
              </w:rPr>
              <w:t>个项目，进行成果分享，并突出分享项目管控难点、痛点和过程解决方案及后续管控建议（</w:t>
            </w:r>
            <w:r>
              <w:rPr>
                <w:rFonts w:hint="eastAsia" w:ascii="仿宋" w:hAnsi="仿宋" w:eastAsia="仿宋" w:cs="华文细黑"/>
                <w:color w:val="auto"/>
                <w:sz w:val="28"/>
                <w:szCs w:val="28"/>
                <w:highlight w:val="none"/>
                <w:lang w:val="en-US" w:eastAsia="zh-CN"/>
              </w:rPr>
              <w:t>满分5</w:t>
            </w:r>
            <w:r>
              <w:rPr>
                <w:rFonts w:hint="eastAsia" w:ascii="仿宋" w:hAnsi="仿宋" w:eastAsia="仿宋" w:cs="华文细黑"/>
                <w:color w:val="auto"/>
                <w:sz w:val="28"/>
                <w:szCs w:val="28"/>
                <w:highlight w:val="none"/>
              </w:rPr>
              <w:t>分）</w:t>
            </w:r>
            <w:r>
              <w:rPr>
                <w:rFonts w:hint="eastAsia" w:ascii="仿宋" w:hAnsi="仿宋" w:eastAsia="仿宋" w:cs="华文细黑"/>
                <w:color w:val="auto"/>
                <w:sz w:val="28"/>
                <w:szCs w:val="28"/>
                <w:highlight w:val="none"/>
                <w:lang w:eastAsia="zh-CN"/>
              </w:rPr>
              <w:t>。</w:t>
            </w:r>
          </w:p>
          <w:p w14:paraId="43BCC03B">
            <w:pPr>
              <w:keepNext w:val="0"/>
              <w:keepLines w:val="0"/>
              <w:suppressLineNumbers w:val="0"/>
              <w:spacing w:before="0" w:beforeAutospacing="0" w:after="0" w:afterAutospacing="0" w:line="500" w:lineRule="exact"/>
              <w:ind w:left="0" w:right="31" w:rightChars="15"/>
              <w:jc w:val="center"/>
              <w:rPr>
                <w:rFonts w:hint="default"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优（</w:t>
            </w:r>
            <w:r>
              <w:rPr>
                <w:rFonts w:hint="eastAsia" w:ascii="仿宋" w:hAnsi="仿宋" w:eastAsia="仿宋" w:cs="华文细黑"/>
                <w:color w:val="auto"/>
                <w:sz w:val="28"/>
                <w:szCs w:val="28"/>
                <w:highlight w:val="none"/>
                <w:lang w:val="en-US" w:eastAsia="zh-CN"/>
              </w:rPr>
              <w:t>15-11</w:t>
            </w:r>
            <w:r>
              <w:rPr>
                <w:rFonts w:hint="eastAsia" w:ascii="仿宋" w:hAnsi="仿宋" w:eastAsia="仿宋" w:cs="华文细黑"/>
                <w:color w:val="auto"/>
                <w:sz w:val="28"/>
                <w:szCs w:val="28"/>
                <w:highlight w:val="none"/>
              </w:rPr>
              <w:t>分）、良（</w:t>
            </w:r>
            <w:r>
              <w:rPr>
                <w:rFonts w:hint="eastAsia" w:ascii="仿宋" w:hAnsi="仿宋" w:eastAsia="仿宋" w:cs="华文细黑"/>
                <w:color w:val="auto"/>
                <w:sz w:val="28"/>
                <w:szCs w:val="28"/>
                <w:highlight w:val="none"/>
                <w:lang w:val="en-US" w:eastAsia="zh-CN"/>
              </w:rPr>
              <w:t>10-6</w:t>
            </w:r>
            <w:r>
              <w:rPr>
                <w:rFonts w:hint="eastAsia" w:ascii="仿宋" w:hAnsi="仿宋" w:eastAsia="仿宋" w:cs="华文细黑"/>
                <w:color w:val="auto"/>
                <w:sz w:val="28"/>
                <w:szCs w:val="28"/>
                <w:highlight w:val="none"/>
              </w:rPr>
              <w:t>分）、一般（</w:t>
            </w:r>
            <w:r>
              <w:rPr>
                <w:rFonts w:hint="eastAsia" w:ascii="仿宋" w:hAnsi="仿宋" w:eastAsia="仿宋" w:cs="华文细黑"/>
                <w:color w:val="auto"/>
                <w:sz w:val="28"/>
                <w:szCs w:val="28"/>
                <w:highlight w:val="none"/>
                <w:lang w:val="en-US" w:eastAsia="zh-CN"/>
              </w:rPr>
              <w:t>5-0</w:t>
            </w:r>
            <w:r>
              <w:rPr>
                <w:rFonts w:hint="eastAsia" w:ascii="仿宋" w:hAnsi="仿宋" w:eastAsia="仿宋" w:cs="华文细黑"/>
                <w:color w:val="auto"/>
                <w:sz w:val="28"/>
                <w:szCs w:val="28"/>
                <w:highlight w:val="none"/>
              </w:rPr>
              <w:t>分）</w:t>
            </w:r>
          </w:p>
        </w:tc>
        <w:tc>
          <w:tcPr>
            <w:tcW w:w="828" w:type="dxa"/>
            <w:vAlign w:val="center"/>
          </w:tcPr>
          <w:p w14:paraId="22856C4E">
            <w:pPr>
              <w:keepNext w:val="0"/>
              <w:keepLines w:val="0"/>
              <w:suppressLineNumbers w:val="0"/>
              <w:spacing w:before="0" w:beforeAutospacing="0" w:after="0" w:afterAutospacing="0" w:line="500" w:lineRule="exact"/>
              <w:ind w:left="0" w:right="0"/>
              <w:jc w:val="center"/>
              <w:rPr>
                <w:rFonts w:hint="default"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满分</w:t>
            </w:r>
          </w:p>
          <w:p w14:paraId="3CA25820">
            <w:pPr>
              <w:keepNext w:val="0"/>
              <w:keepLines w:val="0"/>
              <w:suppressLineNumbers w:val="0"/>
              <w:spacing w:before="0" w:beforeAutospacing="0" w:after="0" w:afterAutospacing="0" w:line="500" w:lineRule="exact"/>
              <w:ind w:left="0" w:right="0"/>
              <w:jc w:val="center"/>
              <w:rPr>
                <w:rFonts w:hint="default" w:ascii="仿宋" w:hAnsi="仿宋" w:eastAsia="仿宋" w:cs="华文细黑"/>
                <w:color w:val="auto"/>
                <w:sz w:val="28"/>
                <w:szCs w:val="28"/>
                <w:highlight w:val="none"/>
              </w:rPr>
            </w:pPr>
            <w:r>
              <w:rPr>
                <w:rFonts w:hint="eastAsia" w:ascii="仿宋" w:hAnsi="仿宋" w:eastAsia="仿宋" w:cs="华文细黑"/>
                <w:color w:val="auto"/>
                <w:sz w:val="28"/>
                <w:szCs w:val="28"/>
                <w:highlight w:val="none"/>
                <w:lang w:val="en-US" w:eastAsia="zh-CN"/>
              </w:rPr>
              <w:t>15</w:t>
            </w:r>
            <w:r>
              <w:rPr>
                <w:rFonts w:hint="eastAsia" w:ascii="仿宋" w:hAnsi="仿宋" w:eastAsia="仿宋" w:cs="华文细黑"/>
                <w:color w:val="auto"/>
                <w:sz w:val="28"/>
                <w:szCs w:val="28"/>
                <w:highlight w:val="none"/>
              </w:rPr>
              <w:t>分</w:t>
            </w:r>
          </w:p>
        </w:tc>
      </w:tr>
      <w:tr w14:paraId="225EB6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79" w:type="dxa"/>
            <w:vAlign w:val="center"/>
          </w:tcPr>
          <w:p w14:paraId="5C85C171">
            <w:pPr>
              <w:keepNext w:val="0"/>
              <w:keepLines w:val="0"/>
              <w:suppressLineNumbers w:val="0"/>
              <w:adjustRightInd w:val="0"/>
              <w:snapToGrid w:val="0"/>
              <w:spacing w:before="0" w:beforeAutospacing="0" w:after="0" w:afterAutospacing="0" w:line="500" w:lineRule="exact"/>
              <w:ind w:left="0" w:right="0"/>
              <w:jc w:val="center"/>
              <w:rPr>
                <w:rFonts w:hint="default" w:ascii="仿宋" w:hAnsi="仿宋" w:eastAsia="仿宋" w:cs="华文细黑"/>
                <w:color w:val="auto"/>
                <w:sz w:val="28"/>
                <w:szCs w:val="28"/>
                <w:highlight w:val="none"/>
                <w:lang w:val="en-US" w:eastAsia="zh-CN"/>
              </w:rPr>
            </w:pPr>
            <w:r>
              <w:rPr>
                <w:rFonts w:hint="eastAsia" w:ascii="仿宋" w:hAnsi="仿宋" w:eastAsia="仿宋" w:cs="华文细黑"/>
                <w:color w:val="auto"/>
                <w:sz w:val="28"/>
                <w:szCs w:val="28"/>
                <w:highlight w:val="none"/>
                <w:lang w:val="en-US" w:eastAsia="zh-CN"/>
              </w:rPr>
              <w:t>3</w:t>
            </w:r>
          </w:p>
        </w:tc>
        <w:tc>
          <w:tcPr>
            <w:tcW w:w="1453" w:type="dxa"/>
            <w:vAlign w:val="center"/>
          </w:tcPr>
          <w:p w14:paraId="00DFB4F4">
            <w:pPr>
              <w:keepNext w:val="0"/>
              <w:keepLines w:val="0"/>
              <w:suppressLineNumbers w:val="0"/>
              <w:spacing w:before="0" w:beforeAutospacing="0" w:after="0" w:afterAutospacing="0" w:line="500" w:lineRule="exact"/>
              <w:ind w:left="0" w:right="31" w:rightChars="15"/>
              <w:jc w:val="center"/>
              <w:rPr>
                <w:rFonts w:hint="default" w:ascii="仿宋" w:hAnsi="仿宋" w:eastAsia="仿宋" w:cs="华文细黑"/>
                <w:color w:val="auto"/>
                <w:sz w:val="28"/>
                <w:szCs w:val="28"/>
                <w:highlight w:val="none"/>
                <w:lang w:val="en-US" w:eastAsia="zh-CN"/>
              </w:rPr>
            </w:pPr>
            <w:r>
              <w:rPr>
                <w:rFonts w:hint="eastAsia" w:ascii="仿宋" w:hAnsi="仿宋" w:eastAsia="仿宋" w:cs="华文细黑"/>
                <w:color w:val="auto"/>
                <w:sz w:val="28"/>
                <w:szCs w:val="28"/>
                <w:highlight w:val="none"/>
                <w:lang w:val="en-US" w:eastAsia="zh-CN"/>
              </w:rPr>
              <w:t>人员管理制度</w:t>
            </w:r>
          </w:p>
        </w:tc>
        <w:tc>
          <w:tcPr>
            <w:tcW w:w="6027" w:type="dxa"/>
            <w:vAlign w:val="center"/>
          </w:tcPr>
          <w:p w14:paraId="4AA3B34B">
            <w:pPr>
              <w:keepNext w:val="0"/>
              <w:keepLines w:val="0"/>
              <w:widowControl/>
              <w:suppressLineNumbers w:val="0"/>
              <w:spacing w:before="0" w:beforeAutospacing="0" w:after="0" w:afterAutospacing="0" w:line="500" w:lineRule="exact"/>
              <w:ind w:left="0" w:right="31" w:rightChars="15"/>
              <w:jc w:val="left"/>
              <w:rPr>
                <w:rFonts w:hint="default" w:ascii="仿宋" w:hAnsi="仿宋" w:eastAsia="仿宋" w:cs="华文细黑"/>
                <w:color w:val="auto"/>
                <w:sz w:val="28"/>
                <w:szCs w:val="28"/>
                <w:highlight w:val="none"/>
              </w:rPr>
            </w:pPr>
            <w:r>
              <w:rPr>
                <w:rFonts w:hint="eastAsia" w:ascii="仿宋" w:hAnsi="仿宋" w:eastAsia="仿宋" w:cs="华文细黑"/>
                <w:color w:val="auto"/>
                <w:kern w:val="2"/>
                <w:sz w:val="28"/>
                <w:szCs w:val="28"/>
                <w:highlight w:val="none"/>
                <w:lang w:val="en-US" w:eastAsia="zh-CN" w:bidi="ar"/>
              </w:rPr>
              <w:t>根据投标人对本项目制定的人员管理制度（包含：各岗位工作内容、职责、权限、制约和监督措施等内容）进行评价：①提供人员管理制度的得3分；②在满足①的基础上，制度全面详尽，合理可行，针对性强，有利于项目实施的得5分；③未提供制度或提供的制度不满足以上要求的不得分。</w:t>
            </w:r>
          </w:p>
        </w:tc>
        <w:tc>
          <w:tcPr>
            <w:tcW w:w="828" w:type="dxa"/>
            <w:vAlign w:val="center"/>
          </w:tcPr>
          <w:p w14:paraId="6503DCE8">
            <w:pPr>
              <w:keepNext w:val="0"/>
              <w:keepLines w:val="0"/>
              <w:suppressLineNumbers w:val="0"/>
              <w:spacing w:before="0" w:beforeAutospacing="0" w:after="0" w:afterAutospacing="0" w:line="500" w:lineRule="exact"/>
              <w:ind w:left="0" w:right="0"/>
              <w:jc w:val="center"/>
              <w:rPr>
                <w:rFonts w:hint="default"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满分</w:t>
            </w:r>
          </w:p>
          <w:p w14:paraId="7ED03C17">
            <w:pPr>
              <w:keepNext w:val="0"/>
              <w:keepLines w:val="0"/>
              <w:suppressLineNumbers w:val="0"/>
              <w:spacing w:before="0" w:beforeAutospacing="0" w:after="0" w:afterAutospacing="0" w:line="500" w:lineRule="exact"/>
              <w:ind w:left="0" w:right="0"/>
              <w:jc w:val="center"/>
              <w:rPr>
                <w:rFonts w:hint="default" w:ascii="仿宋" w:hAnsi="仿宋" w:eastAsia="仿宋" w:cs="华文细黑"/>
                <w:color w:val="auto"/>
                <w:sz w:val="28"/>
                <w:szCs w:val="28"/>
                <w:highlight w:val="none"/>
                <w:lang w:val="en-US" w:eastAsia="zh-CN"/>
              </w:rPr>
            </w:pPr>
            <w:r>
              <w:rPr>
                <w:rFonts w:hint="eastAsia" w:ascii="仿宋" w:hAnsi="仿宋" w:eastAsia="仿宋" w:cs="华文细黑"/>
                <w:color w:val="auto"/>
                <w:sz w:val="28"/>
                <w:szCs w:val="28"/>
                <w:highlight w:val="none"/>
                <w:lang w:val="en-US" w:eastAsia="zh-CN"/>
              </w:rPr>
              <w:t>5</w:t>
            </w:r>
            <w:r>
              <w:rPr>
                <w:rFonts w:hint="eastAsia" w:ascii="仿宋" w:hAnsi="仿宋" w:eastAsia="仿宋" w:cs="华文细黑"/>
                <w:color w:val="auto"/>
                <w:sz w:val="28"/>
                <w:szCs w:val="28"/>
                <w:highlight w:val="none"/>
              </w:rPr>
              <w:t>分</w:t>
            </w:r>
          </w:p>
        </w:tc>
      </w:tr>
      <w:tr w14:paraId="258FAE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79" w:type="dxa"/>
            <w:vAlign w:val="center"/>
          </w:tcPr>
          <w:p w14:paraId="24EF6C70">
            <w:pPr>
              <w:keepNext w:val="0"/>
              <w:keepLines w:val="0"/>
              <w:suppressLineNumbers w:val="0"/>
              <w:adjustRightInd w:val="0"/>
              <w:snapToGrid w:val="0"/>
              <w:spacing w:before="0" w:beforeAutospacing="0" w:after="0" w:afterAutospacing="0" w:line="500" w:lineRule="exact"/>
              <w:ind w:left="0" w:right="0"/>
              <w:jc w:val="center"/>
              <w:rPr>
                <w:rFonts w:hint="default" w:ascii="仿宋" w:hAnsi="仿宋" w:eastAsia="仿宋" w:cs="华文细黑"/>
                <w:color w:val="auto"/>
                <w:sz w:val="28"/>
                <w:szCs w:val="28"/>
                <w:highlight w:val="none"/>
                <w:lang w:val="en-US" w:eastAsia="zh-CN"/>
              </w:rPr>
            </w:pPr>
            <w:r>
              <w:rPr>
                <w:rFonts w:hint="eastAsia" w:ascii="仿宋" w:hAnsi="仿宋" w:eastAsia="仿宋" w:cs="华文细黑"/>
                <w:color w:val="auto"/>
                <w:sz w:val="28"/>
                <w:szCs w:val="28"/>
                <w:highlight w:val="none"/>
                <w:lang w:val="en-US" w:eastAsia="zh-CN"/>
              </w:rPr>
              <w:t>4</w:t>
            </w:r>
          </w:p>
        </w:tc>
        <w:tc>
          <w:tcPr>
            <w:tcW w:w="1453" w:type="dxa"/>
            <w:vAlign w:val="center"/>
          </w:tcPr>
          <w:p w14:paraId="6A6203D2">
            <w:pPr>
              <w:keepNext w:val="0"/>
              <w:keepLines w:val="0"/>
              <w:suppressLineNumbers w:val="0"/>
              <w:spacing w:before="0" w:beforeAutospacing="0" w:after="0" w:afterAutospacing="0" w:line="500" w:lineRule="exact"/>
              <w:ind w:left="0" w:right="31" w:rightChars="15"/>
              <w:jc w:val="center"/>
              <w:rPr>
                <w:rFonts w:hint="default" w:ascii="仿宋" w:hAnsi="仿宋" w:eastAsia="仿宋" w:cs="华文细黑"/>
                <w:color w:val="auto"/>
                <w:sz w:val="28"/>
                <w:szCs w:val="28"/>
                <w:highlight w:val="none"/>
                <w:lang w:val="en-US" w:eastAsia="zh-CN"/>
              </w:rPr>
            </w:pPr>
            <w:r>
              <w:rPr>
                <w:rFonts w:hint="eastAsia" w:ascii="仿宋" w:hAnsi="仿宋" w:eastAsia="仿宋" w:cs="华文细黑"/>
                <w:color w:val="auto"/>
                <w:sz w:val="28"/>
                <w:szCs w:val="28"/>
                <w:highlight w:val="none"/>
                <w:lang w:val="en-US" w:eastAsia="zh-CN"/>
              </w:rPr>
              <w:t>管理创新方案</w:t>
            </w:r>
          </w:p>
        </w:tc>
        <w:tc>
          <w:tcPr>
            <w:tcW w:w="6027" w:type="dxa"/>
            <w:vAlign w:val="center"/>
          </w:tcPr>
          <w:p w14:paraId="2C63ADC8">
            <w:pPr>
              <w:keepNext w:val="0"/>
              <w:keepLines w:val="0"/>
              <w:suppressLineNumbers w:val="0"/>
              <w:spacing w:before="0" w:beforeAutospacing="0" w:after="0" w:afterAutospacing="0" w:line="500" w:lineRule="exact"/>
              <w:ind w:left="0" w:right="31" w:rightChars="15"/>
              <w:jc w:val="left"/>
              <w:rPr>
                <w:rFonts w:hint="default" w:ascii="仿宋" w:hAnsi="仿宋" w:eastAsia="仿宋" w:cs="华文细黑"/>
                <w:color w:val="auto"/>
                <w:sz w:val="28"/>
                <w:szCs w:val="28"/>
                <w:highlight w:val="none"/>
              </w:rPr>
            </w:pPr>
            <w:r>
              <w:rPr>
                <w:rFonts w:hint="eastAsia" w:ascii="仿宋" w:hAnsi="仿宋" w:eastAsia="仿宋" w:cs="华文细黑"/>
                <w:color w:val="auto"/>
                <w:sz w:val="28"/>
                <w:szCs w:val="28"/>
                <w:highlight w:val="none"/>
                <w:lang w:val="en-US" w:eastAsia="zh-CN"/>
              </w:rPr>
              <w:t>根据投标人提供的管理</w:t>
            </w:r>
            <w:r>
              <w:rPr>
                <w:rFonts w:hint="eastAsia" w:ascii="仿宋" w:hAnsi="仿宋" w:eastAsia="仿宋" w:cs="华文细黑"/>
                <w:color w:val="auto"/>
                <w:sz w:val="28"/>
                <w:szCs w:val="28"/>
                <w:highlight w:val="none"/>
              </w:rPr>
              <w:t>创新</w:t>
            </w:r>
            <w:r>
              <w:rPr>
                <w:rFonts w:hint="eastAsia" w:ascii="仿宋" w:hAnsi="仿宋" w:eastAsia="仿宋" w:cs="华文细黑"/>
                <w:color w:val="auto"/>
                <w:sz w:val="28"/>
                <w:szCs w:val="28"/>
                <w:highlight w:val="none"/>
                <w:lang w:val="en-US" w:eastAsia="zh-CN"/>
              </w:rPr>
              <w:t>方案进行评价</w:t>
            </w:r>
            <w:r>
              <w:rPr>
                <w:rFonts w:hint="eastAsia" w:ascii="仿宋" w:hAnsi="仿宋" w:eastAsia="仿宋" w:cs="华文细黑"/>
                <w:color w:val="auto"/>
                <w:sz w:val="28"/>
                <w:szCs w:val="28"/>
                <w:highlight w:val="none"/>
              </w:rPr>
              <w:t>：投标人可根据甲方提出的时间和工作要求，结合自身以往工作经验和公司能力，在不突破控制价和满足甲方要求的条件下，编制更有针对性的时间和工作安排方案，例如调整甲方提出的工作时间，根据现场进度对不同阶段安排不同的管理人员，如何保障所提出的问题整改落地，如何做好有效的前控，规避不必要的返工问题等。</w:t>
            </w:r>
          </w:p>
          <w:p w14:paraId="14C2B068">
            <w:pPr>
              <w:keepNext w:val="0"/>
              <w:keepLines w:val="0"/>
              <w:suppressLineNumbers w:val="0"/>
              <w:spacing w:before="0" w:beforeAutospacing="0" w:after="0" w:afterAutospacing="0" w:line="500" w:lineRule="exact"/>
              <w:ind w:left="0" w:right="31" w:rightChars="15"/>
              <w:jc w:val="both"/>
              <w:rPr>
                <w:rFonts w:hint="default"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优（</w:t>
            </w:r>
            <w:r>
              <w:rPr>
                <w:rFonts w:hint="eastAsia" w:ascii="仿宋" w:hAnsi="仿宋" w:eastAsia="仿宋" w:cs="华文细黑"/>
                <w:color w:val="auto"/>
                <w:sz w:val="28"/>
                <w:szCs w:val="28"/>
                <w:highlight w:val="none"/>
                <w:lang w:val="en-US" w:eastAsia="zh-CN"/>
              </w:rPr>
              <w:t>5-4分</w:t>
            </w:r>
            <w:r>
              <w:rPr>
                <w:rFonts w:hint="eastAsia" w:ascii="仿宋" w:hAnsi="仿宋" w:eastAsia="仿宋" w:cs="华文细黑"/>
                <w:color w:val="auto"/>
                <w:sz w:val="28"/>
                <w:szCs w:val="28"/>
                <w:highlight w:val="none"/>
              </w:rPr>
              <w:t>）、良（</w:t>
            </w:r>
            <w:r>
              <w:rPr>
                <w:rFonts w:hint="eastAsia" w:ascii="仿宋" w:hAnsi="仿宋" w:eastAsia="仿宋" w:cs="华文细黑"/>
                <w:color w:val="auto"/>
                <w:sz w:val="28"/>
                <w:szCs w:val="28"/>
                <w:highlight w:val="none"/>
                <w:lang w:val="en-US" w:eastAsia="zh-CN"/>
              </w:rPr>
              <w:t>3-2</w:t>
            </w:r>
            <w:r>
              <w:rPr>
                <w:rFonts w:hint="eastAsia" w:ascii="仿宋" w:hAnsi="仿宋" w:eastAsia="仿宋" w:cs="华文细黑"/>
                <w:color w:val="auto"/>
                <w:sz w:val="28"/>
                <w:szCs w:val="28"/>
                <w:highlight w:val="none"/>
              </w:rPr>
              <w:t>分）、一般（</w:t>
            </w:r>
            <w:r>
              <w:rPr>
                <w:rFonts w:hint="eastAsia" w:ascii="仿宋" w:hAnsi="仿宋" w:eastAsia="仿宋" w:cs="华文细黑"/>
                <w:color w:val="auto"/>
                <w:sz w:val="28"/>
                <w:szCs w:val="28"/>
                <w:highlight w:val="none"/>
                <w:lang w:val="en-US" w:eastAsia="zh-CN"/>
              </w:rPr>
              <w:t>1-0</w:t>
            </w:r>
            <w:r>
              <w:rPr>
                <w:rFonts w:hint="eastAsia" w:ascii="仿宋" w:hAnsi="仿宋" w:eastAsia="仿宋" w:cs="华文细黑"/>
                <w:color w:val="auto"/>
                <w:sz w:val="28"/>
                <w:szCs w:val="28"/>
                <w:highlight w:val="none"/>
              </w:rPr>
              <w:t>分）</w:t>
            </w:r>
          </w:p>
        </w:tc>
        <w:tc>
          <w:tcPr>
            <w:tcW w:w="828" w:type="dxa"/>
            <w:vAlign w:val="center"/>
          </w:tcPr>
          <w:p w14:paraId="72881D33">
            <w:pPr>
              <w:keepNext w:val="0"/>
              <w:keepLines w:val="0"/>
              <w:suppressLineNumbers w:val="0"/>
              <w:spacing w:before="0" w:beforeAutospacing="0" w:after="0" w:afterAutospacing="0" w:line="500" w:lineRule="exact"/>
              <w:ind w:left="0" w:right="0"/>
              <w:jc w:val="center"/>
              <w:rPr>
                <w:rFonts w:hint="default"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满分</w:t>
            </w:r>
          </w:p>
          <w:p w14:paraId="273C1E9D">
            <w:pPr>
              <w:keepNext w:val="0"/>
              <w:keepLines w:val="0"/>
              <w:suppressLineNumbers w:val="0"/>
              <w:spacing w:before="0" w:beforeAutospacing="0" w:after="0" w:afterAutospacing="0" w:line="500" w:lineRule="exact"/>
              <w:ind w:left="0" w:right="0"/>
              <w:jc w:val="center"/>
              <w:rPr>
                <w:rFonts w:hint="default" w:ascii="仿宋" w:hAnsi="仿宋" w:eastAsia="仿宋" w:cs="华文细黑"/>
                <w:color w:val="auto"/>
                <w:sz w:val="28"/>
                <w:szCs w:val="28"/>
                <w:highlight w:val="none"/>
                <w:lang w:val="en-US" w:eastAsia="zh-CN"/>
              </w:rPr>
            </w:pPr>
            <w:r>
              <w:rPr>
                <w:rFonts w:hint="eastAsia" w:ascii="仿宋" w:hAnsi="仿宋" w:eastAsia="仿宋" w:cs="华文细黑"/>
                <w:color w:val="auto"/>
                <w:sz w:val="28"/>
                <w:szCs w:val="28"/>
                <w:highlight w:val="none"/>
                <w:lang w:val="en-US" w:eastAsia="zh-CN"/>
              </w:rPr>
              <w:t>5</w:t>
            </w:r>
            <w:r>
              <w:rPr>
                <w:rFonts w:hint="eastAsia" w:ascii="仿宋" w:hAnsi="仿宋" w:eastAsia="仿宋" w:cs="华文细黑"/>
                <w:color w:val="auto"/>
                <w:sz w:val="28"/>
                <w:szCs w:val="28"/>
                <w:highlight w:val="none"/>
              </w:rPr>
              <w:t>分</w:t>
            </w:r>
          </w:p>
        </w:tc>
      </w:tr>
    </w:tbl>
    <w:p w14:paraId="75FAD20C">
      <w:pPr>
        <w:spacing w:before="120" w:beforeLines="50" w:after="120" w:afterLines="50" w:line="500" w:lineRule="exact"/>
        <w:ind w:right="-78"/>
        <w:rPr>
          <w:rFonts w:ascii="仿宋" w:hAnsi="仿宋" w:eastAsia="仿宋" w:cs="华文细黑"/>
          <w:b/>
          <w:color w:val="auto"/>
          <w:sz w:val="32"/>
          <w:szCs w:val="32"/>
          <w:highlight w:val="none"/>
        </w:rPr>
      </w:pPr>
      <w:r>
        <w:rPr>
          <w:rFonts w:hint="eastAsia" w:ascii="仿宋" w:hAnsi="仿宋" w:eastAsia="仿宋" w:cs="华文细黑"/>
          <w:b/>
          <w:color w:val="auto"/>
          <w:sz w:val="32"/>
          <w:szCs w:val="32"/>
          <w:highlight w:val="none"/>
        </w:rPr>
        <w:t>（2）商务分F2（满分</w:t>
      </w:r>
      <w:r>
        <w:rPr>
          <w:rFonts w:hint="eastAsia" w:ascii="仿宋" w:hAnsi="仿宋" w:eastAsia="仿宋" w:cs="华文细黑"/>
          <w:b/>
          <w:color w:val="auto"/>
          <w:sz w:val="32"/>
          <w:szCs w:val="32"/>
          <w:highlight w:val="none"/>
          <w:lang w:val="en-US" w:eastAsia="zh-CN"/>
        </w:rPr>
        <w:t>30</w:t>
      </w:r>
      <w:r>
        <w:rPr>
          <w:rFonts w:hint="eastAsia" w:ascii="仿宋" w:hAnsi="仿宋" w:eastAsia="仿宋" w:cs="华文细黑"/>
          <w:b/>
          <w:color w:val="auto"/>
          <w:sz w:val="32"/>
          <w:szCs w:val="32"/>
          <w:highlight w:val="none"/>
        </w:rPr>
        <w:t>分）</w:t>
      </w:r>
    </w:p>
    <w:tbl>
      <w:tblPr>
        <w:tblStyle w:val="17"/>
        <w:tblW w:w="92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534"/>
        <w:gridCol w:w="5471"/>
        <w:gridCol w:w="1181"/>
      </w:tblGrid>
      <w:tr w14:paraId="5DD2D8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101" w:type="dxa"/>
            <w:vAlign w:val="center"/>
          </w:tcPr>
          <w:p w14:paraId="13E647D5">
            <w:pPr>
              <w:pStyle w:val="26"/>
              <w:keepNext w:val="0"/>
              <w:keepLines w:val="0"/>
              <w:suppressLineNumbers w:val="0"/>
              <w:autoSpaceDE/>
              <w:autoSpaceDN/>
              <w:adjustRightInd/>
              <w:spacing w:before="0" w:beforeAutospacing="0" w:after="0" w:afterAutospacing="0" w:line="500" w:lineRule="exact"/>
              <w:ind w:left="0" w:right="0"/>
              <w:rPr>
                <w:rFonts w:hint="default" w:ascii="仿宋" w:hAnsi="仿宋" w:eastAsia="仿宋" w:cs="华文细黑"/>
                <w:bCs/>
                <w:color w:val="auto"/>
                <w:kern w:val="10"/>
                <w:sz w:val="28"/>
                <w:szCs w:val="28"/>
                <w:highlight w:val="none"/>
              </w:rPr>
            </w:pPr>
            <w:r>
              <w:rPr>
                <w:rFonts w:hint="eastAsia" w:ascii="仿宋" w:hAnsi="仿宋" w:eastAsia="仿宋" w:cs="华文细黑"/>
                <w:bCs/>
                <w:color w:val="auto"/>
                <w:kern w:val="10"/>
                <w:sz w:val="28"/>
                <w:szCs w:val="28"/>
                <w:highlight w:val="none"/>
              </w:rPr>
              <w:t>序号</w:t>
            </w:r>
          </w:p>
        </w:tc>
        <w:tc>
          <w:tcPr>
            <w:tcW w:w="1534" w:type="dxa"/>
            <w:vAlign w:val="center"/>
          </w:tcPr>
          <w:p w14:paraId="486944BA">
            <w:pPr>
              <w:pStyle w:val="26"/>
              <w:keepNext w:val="0"/>
              <w:keepLines w:val="0"/>
              <w:suppressLineNumbers w:val="0"/>
              <w:autoSpaceDE/>
              <w:autoSpaceDN/>
              <w:adjustRightInd/>
              <w:spacing w:before="0" w:beforeAutospacing="0" w:after="0" w:afterAutospacing="0" w:line="500" w:lineRule="exact"/>
              <w:ind w:left="0" w:right="0"/>
              <w:rPr>
                <w:rFonts w:hint="default" w:ascii="仿宋" w:hAnsi="仿宋" w:eastAsia="仿宋" w:cs="华文细黑"/>
                <w:bCs/>
                <w:color w:val="auto"/>
                <w:kern w:val="2"/>
                <w:sz w:val="28"/>
                <w:szCs w:val="28"/>
                <w:highlight w:val="none"/>
              </w:rPr>
            </w:pPr>
            <w:r>
              <w:rPr>
                <w:rFonts w:hint="eastAsia" w:ascii="仿宋" w:hAnsi="仿宋" w:eastAsia="仿宋" w:cs="华文细黑"/>
                <w:bCs/>
                <w:color w:val="auto"/>
                <w:kern w:val="2"/>
                <w:sz w:val="28"/>
                <w:szCs w:val="28"/>
                <w:highlight w:val="none"/>
              </w:rPr>
              <w:t>评分项目</w:t>
            </w:r>
          </w:p>
        </w:tc>
        <w:tc>
          <w:tcPr>
            <w:tcW w:w="5471" w:type="dxa"/>
            <w:vAlign w:val="center"/>
          </w:tcPr>
          <w:p w14:paraId="44631367">
            <w:pPr>
              <w:pStyle w:val="26"/>
              <w:keepNext w:val="0"/>
              <w:keepLines w:val="0"/>
              <w:suppressLineNumbers w:val="0"/>
              <w:autoSpaceDE/>
              <w:autoSpaceDN/>
              <w:adjustRightInd/>
              <w:spacing w:before="0" w:beforeAutospacing="0" w:after="0" w:afterAutospacing="0" w:line="500" w:lineRule="exact"/>
              <w:ind w:left="0" w:right="0"/>
              <w:rPr>
                <w:rFonts w:hint="default" w:ascii="仿宋" w:hAnsi="仿宋" w:eastAsia="仿宋" w:cs="华文细黑"/>
                <w:bCs/>
                <w:color w:val="auto"/>
                <w:kern w:val="2"/>
                <w:sz w:val="28"/>
                <w:szCs w:val="28"/>
                <w:highlight w:val="none"/>
              </w:rPr>
            </w:pPr>
            <w:r>
              <w:rPr>
                <w:rFonts w:hint="eastAsia" w:ascii="仿宋" w:hAnsi="仿宋" w:eastAsia="仿宋" w:cs="华文细黑"/>
                <w:bCs/>
                <w:color w:val="auto"/>
                <w:kern w:val="2"/>
                <w:sz w:val="28"/>
                <w:szCs w:val="28"/>
                <w:highlight w:val="none"/>
              </w:rPr>
              <w:t>评分界定</w:t>
            </w:r>
          </w:p>
        </w:tc>
        <w:tc>
          <w:tcPr>
            <w:tcW w:w="1181" w:type="dxa"/>
            <w:vAlign w:val="center"/>
          </w:tcPr>
          <w:p w14:paraId="42EF9AA3">
            <w:pPr>
              <w:pStyle w:val="26"/>
              <w:keepNext w:val="0"/>
              <w:keepLines w:val="0"/>
              <w:suppressLineNumbers w:val="0"/>
              <w:autoSpaceDE/>
              <w:autoSpaceDN/>
              <w:adjustRightInd/>
              <w:spacing w:before="0" w:beforeAutospacing="0" w:after="0" w:afterAutospacing="0" w:line="500" w:lineRule="exact"/>
              <w:ind w:left="0" w:right="0"/>
              <w:rPr>
                <w:rFonts w:hint="default" w:ascii="仿宋" w:hAnsi="仿宋" w:eastAsia="仿宋" w:cs="华文细黑"/>
                <w:bCs/>
                <w:color w:val="auto"/>
                <w:kern w:val="2"/>
                <w:sz w:val="28"/>
                <w:szCs w:val="28"/>
                <w:highlight w:val="none"/>
              </w:rPr>
            </w:pPr>
            <w:r>
              <w:rPr>
                <w:rFonts w:hint="eastAsia" w:ascii="仿宋" w:hAnsi="仿宋" w:eastAsia="仿宋" w:cs="华文细黑"/>
                <w:bCs/>
                <w:color w:val="auto"/>
                <w:kern w:val="2"/>
                <w:sz w:val="28"/>
                <w:szCs w:val="28"/>
                <w:highlight w:val="none"/>
              </w:rPr>
              <w:t>分值</w:t>
            </w:r>
          </w:p>
        </w:tc>
      </w:tr>
      <w:tr w14:paraId="2745D7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1101" w:type="dxa"/>
            <w:vAlign w:val="center"/>
          </w:tcPr>
          <w:p w14:paraId="09DEE565">
            <w:pPr>
              <w:keepNext w:val="0"/>
              <w:keepLines w:val="0"/>
              <w:suppressLineNumbers w:val="0"/>
              <w:adjustRightInd w:val="0"/>
              <w:snapToGrid w:val="0"/>
              <w:spacing w:before="0" w:beforeAutospacing="0" w:after="0" w:afterAutospacing="0" w:line="500" w:lineRule="exact"/>
              <w:ind w:left="0" w:right="0"/>
              <w:jc w:val="center"/>
              <w:rPr>
                <w:rFonts w:hint="default"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1</w:t>
            </w:r>
          </w:p>
        </w:tc>
        <w:tc>
          <w:tcPr>
            <w:tcW w:w="1534" w:type="dxa"/>
            <w:vAlign w:val="center"/>
          </w:tcPr>
          <w:p w14:paraId="3ADD6673">
            <w:pPr>
              <w:keepNext w:val="0"/>
              <w:keepLines w:val="0"/>
              <w:suppressLineNumbers w:val="0"/>
              <w:spacing w:before="0" w:beforeAutospacing="0" w:after="0" w:afterAutospacing="0" w:line="500" w:lineRule="exact"/>
              <w:ind w:left="0" w:right="31" w:rightChars="15"/>
              <w:jc w:val="center"/>
              <w:rPr>
                <w:rFonts w:hint="default"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企业注册资金</w:t>
            </w:r>
          </w:p>
        </w:tc>
        <w:tc>
          <w:tcPr>
            <w:tcW w:w="5471" w:type="dxa"/>
            <w:vAlign w:val="center"/>
          </w:tcPr>
          <w:p w14:paraId="017596DA">
            <w:pPr>
              <w:keepNext w:val="0"/>
              <w:keepLines w:val="0"/>
              <w:widowControl/>
              <w:suppressLineNumbers w:val="0"/>
              <w:spacing w:before="0" w:beforeAutospacing="0" w:after="0" w:afterAutospacing="0" w:line="500" w:lineRule="exact"/>
              <w:ind w:left="0" w:right="31" w:rightChars="15"/>
              <w:jc w:val="left"/>
              <w:rPr>
                <w:rFonts w:hint="eastAsia" w:ascii="仿宋" w:hAnsi="仿宋" w:eastAsia="仿宋" w:cs="华文细黑"/>
                <w:color w:val="auto"/>
                <w:sz w:val="28"/>
                <w:szCs w:val="28"/>
                <w:highlight w:val="none"/>
                <w:lang w:bidi="ar"/>
              </w:rPr>
            </w:pPr>
            <w:r>
              <w:rPr>
                <w:rFonts w:hint="eastAsia" w:ascii="仿宋" w:hAnsi="仿宋" w:eastAsia="仿宋" w:cs="华文细黑"/>
                <w:color w:val="auto"/>
                <w:sz w:val="28"/>
                <w:szCs w:val="28"/>
                <w:highlight w:val="none"/>
                <w:lang w:bidi="ar"/>
              </w:rPr>
              <w:t>投标人注册资金为1000万元（含）以上，得5分；1000万元以下, 500万元（含）以上，得3分；500万元以下</w:t>
            </w:r>
            <w:r>
              <w:rPr>
                <w:rFonts w:hint="eastAsia" w:ascii="仿宋" w:hAnsi="仿宋" w:eastAsia="仿宋" w:cs="华文细黑"/>
                <w:color w:val="auto"/>
                <w:sz w:val="28"/>
                <w:szCs w:val="28"/>
                <w:highlight w:val="none"/>
                <w:lang w:eastAsia="zh-CN" w:bidi="ar"/>
              </w:rPr>
              <w:t>，</w:t>
            </w:r>
            <w:r>
              <w:rPr>
                <w:rFonts w:hint="eastAsia" w:ascii="仿宋" w:hAnsi="仿宋" w:eastAsia="仿宋" w:cs="华文细黑"/>
                <w:color w:val="auto"/>
                <w:sz w:val="28"/>
                <w:szCs w:val="28"/>
                <w:highlight w:val="none"/>
                <w:lang w:bidi="ar"/>
              </w:rPr>
              <w:t>100万</w:t>
            </w:r>
            <w:r>
              <w:rPr>
                <w:rFonts w:hint="eastAsia" w:ascii="仿宋" w:hAnsi="仿宋" w:eastAsia="仿宋" w:cs="华文细黑"/>
                <w:color w:val="auto"/>
                <w:sz w:val="28"/>
                <w:szCs w:val="28"/>
                <w:highlight w:val="none"/>
                <w:lang w:eastAsia="zh-CN" w:bidi="ar"/>
              </w:rPr>
              <w:t>（</w:t>
            </w:r>
            <w:r>
              <w:rPr>
                <w:rFonts w:hint="eastAsia" w:ascii="仿宋" w:hAnsi="仿宋" w:eastAsia="仿宋" w:cs="华文细黑"/>
                <w:color w:val="auto"/>
                <w:sz w:val="28"/>
                <w:szCs w:val="28"/>
                <w:highlight w:val="none"/>
                <w:lang w:val="en-US" w:eastAsia="zh-CN" w:bidi="ar"/>
              </w:rPr>
              <w:t>含）</w:t>
            </w:r>
            <w:r>
              <w:rPr>
                <w:rFonts w:hint="eastAsia" w:ascii="仿宋" w:hAnsi="仿宋" w:eastAsia="仿宋" w:cs="华文细黑"/>
                <w:color w:val="auto"/>
                <w:sz w:val="28"/>
                <w:szCs w:val="28"/>
                <w:highlight w:val="none"/>
                <w:lang w:bidi="ar"/>
              </w:rPr>
              <w:t>以上</w:t>
            </w:r>
            <w:r>
              <w:rPr>
                <w:rFonts w:hint="eastAsia" w:ascii="仿宋" w:hAnsi="仿宋" w:eastAsia="仿宋" w:cs="华文细黑"/>
                <w:color w:val="auto"/>
                <w:sz w:val="28"/>
                <w:szCs w:val="28"/>
                <w:highlight w:val="none"/>
                <w:lang w:eastAsia="zh-CN" w:bidi="ar"/>
              </w:rPr>
              <w:t>，</w:t>
            </w:r>
            <w:r>
              <w:rPr>
                <w:rFonts w:hint="eastAsia" w:ascii="仿宋" w:hAnsi="仿宋" w:eastAsia="仿宋" w:cs="华文细黑"/>
                <w:color w:val="auto"/>
                <w:sz w:val="28"/>
                <w:szCs w:val="28"/>
                <w:highlight w:val="none"/>
                <w:lang w:bidi="ar"/>
              </w:rPr>
              <w:t>得1分。</w:t>
            </w:r>
          </w:p>
        </w:tc>
        <w:tc>
          <w:tcPr>
            <w:tcW w:w="1181" w:type="dxa"/>
            <w:vAlign w:val="center"/>
          </w:tcPr>
          <w:p w14:paraId="7A4A403E">
            <w:pPr>
              <w:keepNext w:val="0"/>
              <w:keepLines w:val="0"/>
              <w:suppressLineNumbers w:val="0"/>
              <w:spacing w:before="0" w:beforeAutospacing="0" w:after="0" w:afterAutospacing="0" w:line="500" w:lineRule="exact"/>
              <w:ind w:left="0" w:right="0"/>
              <w:jc w:val="center"/>
              <w:rPr>
                <w:rFonts w:hint="default"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满分</w:t>
            </w:r>
          </w:p>
          <w:p w14:paraId="21306BE2">
            <w:pPr>
              <w:keepNext w:val="0"/>
              <w:keepLines w:val="0"/>
              <w:suppressLineNumbers w:val="0"/>
              <w:adjustRightInd w:val="0"/>
              <w:snapToGrid w:val="0"/>
              <w:spacing w:before="0" w:beforeAutospacing="0" w:after="0" w:afterAutospacing="0" w:line="500" w:lineRule="exact"/>
              <w:ind w:left="0" w:right="0"/>
              <w:jc w:val="center"/>
              <w:rPr>
                <w:rFonts w:hint="default" w:ascii="仿宋" w:hAnsi="仿宋" w:eastAsia="仿宋" w:cs="华文细黑"/>
                <w:color w:val="auto"/>
                <w:sz w:val="28"/>
                <w:szCs w:val="28"/>
                <w:highlight w:val="none"/>
              </w:rPr>
            </w:pPr>
            <w:r>
              <w:rPr>
                <w:rFonts w:hint="eastAsia" w:ascii="仿宋" w:hAnsi="仿宋" w:eastAsia="仿宋" w:cs="华文细黑"/>
                <w:color w:val="auto"/>
                <w:sz w:val="28"/>
                <w:szCs w:val="28"/>
                <w:highlight w:val="none"/>
                <w:lang w:val="en-US" w:eastAsia="zh-CN"/>
              </w:rPr>
              <w:t>5</w:t>
            </w:r>
            <w:r>
              <w:rPr>
                <w:rFonts w:hint="eastAsia" w:ascii="仿宋" w:hAnsi="仿宋" w:eastAsia="仿宋" w:cs="华文细黑"/>
                <w:color w:val="auto"/>
                <w:sz w:val="28"/>
                <w:szCs w:val="28"/>
                <w:highlight w:val="none"/>
              </w:rPr>
              <w:t>分</w:t>
            </w:r>
          </w:p>
        </w:tc>
      </w:tr>
      <w:tr w14:paraId="0A1F26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Align w:val="center"/>
          </w:tcPr>
          <w:p w14:paraId="699C4A9C">
            <w:pPr>
              <w:keepNext w:val="0"/>
              <w:keepLines w:val="0"/>
              <w:suppressLineNumbers w:val="0"/>
              <w:adjustRightInd w:val="0"/>
              <w:snapToGrid w:val="0"/>
              <w:spacing w:before="0" w:beforeAutospacing="0" w:after="0" w:afterAutospacing="0" w:line="500" w:lineRule="exact"/>
              <w:ind w:left="0" w:right="0"/>
              <w:jc w:val="center"/>
              <w:rPr>
                <w:rFonts w:hint="default" w:ascii="仿宋" w:hAnsi="仿宋" w:eastAsia="仿宋" w:cs="华文细黑"/>
                <w:color w:val="auto"/>
                <w:sz w:val="28"/>
                <w:szCs w:val="28"/>
                <w:highlight w:val="none"/>
                <w:lang w:eastAsia="zh-CN"/>
              </w:rPr>
            </w:pPr>
            <w:r>
              <w:rPr>
                <w:rFonts w:hint="eastAsia" w:ascii="仿宋" w:hAnsi="仿宋" w:eastAsia="仿宋" w:cs="华文细黑"/>
                <w:color w:val="auto"/>
                <w:sz w:val="28"/>
                <w:szCs w:val="28"/>
                <w:highlight w:val="none"/>
                <w:lang w:val="en-US" w:eastAsia="zh-CN"/>
              </w:rPr>
              <w:t>2</w:t>
            </w:r>
          </w:p>
        </w:tc>
        <w:tc>
          <w:tcPr>
            <w:tcW w:w="1534" w:type="dxa"/>
            <w:vAlign w:val="center"/>
          </w:tcPr>
          <w:p w14:paraId="47664D65">
            <w:pPr>
              <w:keepNext w:val="0"/>
              <w:keepLines w:val="0"/>
              <w:suppressLineNumbers w:val="0"/>
              <w:spacing w:before="0" w:beforeAutospacing="0" w:after="0" w:afterAutospacing="0" w:line="500" w:lineRule="exact"/>
              <w:ind w:left="0" w:right="31" w:rightChars="15"/>
              <w:jc w:val="center"/>
              <w:rPr>
                <w:rFonts w:hint="default" w:ascii="仿宋" w:hAnsi="仿宋" w:eastAsia="仿宋" w:cs="华文细黑"/>
                <w:color w:val="auto"/>
                <w:sz w:val="28"/>
                <w:szCs w:val="28"/>
                <w:highlight w:val="none"/>
                <w:lang w:val="en-US" w:eastAsia="zh-CN"/>
              </w:rPr>
            </w:pPr>
            <w:r>
              <w:rPr>
                <w:rFonts w:hint="eastAsia" w:ascii="仿宋" w:hAnsi="仿宋" w:eastAsia="仿宋" w:cs="华文细黑"/>
                <w:color w:val="auto"/>
                <w:sz w:val="28"/>
                <w:szCs w:val="28"/>
                <w:highlight w:val="none"/>
                <w:lang w:val="en-US" w:eastAsia="zh-CN"/>
              </w:rPr>
              <w:t>企业从业资质</w:t>
            </w:r>
          </w:p>
        </w:tc>
        <w:tc>
          <w:tcPr>
            <w:tcW w:w="5471" w:type="dxa"/>
            <w:vAlign w:val="center"/>
          </w:tcPr>
          <w:p w14:paraId="1E19226D">
            <w:pPr>
              <w:keepNext w:val="0"/>
              <w:keepLines w:val="0"/>
              <w:widowControl/>
              <w:suppressLineNumbers w:val="0"/>
              <w:spacing w:before="0" w:beforeAutospacing="0" w:after="0" w:afterAutospacing="0" w:line="500" w:lineRule="exact"/>
              <w:ind w:left="0" w:right="31" w:rightChars="15"/>
              <w:jc w:val="left"/>
              <w:rPr>
                <w:rFonts w:hint="eastAsia" w:ascii="仿宋" w:hAnsi="仿宋" w:eastAsia="仿宋" w:cs="华文细黑"/>
                <w:color w:val="auto"/>
                <w:sz w:val="28"/>
                <w:szCs w:val="28"/>
                <w:highlight w:val="none"/>
                <w:lang w:val="en-US" w:eastAsia="zh-CN" w:bidi="ar"/>
              </w:rPr>
            </w:pPr>
            <w:bookmarkStart w:id="426" w:name="OLE_LINK11"/>
            <w:r>
              <w:rPr>
                <w:rFonts w:hint="eastAsia" w:ascii="仿宋" w:hAnsi="仿宋" w:eastAsia="仿宋" w:cs="华文细黑"/>
                <w:color w:val="auto"/>
                <w:kern w:val="2"/>
                <w:sz w:val="28"/>
                <w:szCs w:val="28"/>
                <w:highlight w:val="none"/>
                <w:lang w:val="en-US" w:eastAsia="zh-CN" w:bidi="ar"/>
              </w:rPr>
              <w:t>根据投标人从事模拟查验、维保服务工作资历进行评价：至招标截止日期满5年（含）以上的，得10分；至招标截止日期满3年（含）以上且少于5年的，得5分；至招标截止日期满1年（含）以上且少于3年的，得2分；（投标人提供营业执照复印件加以佐证）</w:t>
            </w:r>
            <w:bookmarkEnd w:id="426"/>
            <w:r>
              <w:rPr>
                <w:rFonts w:hint="eastAsia" w:ascii="仿宋" w:hAnsi="仿宋" w:eastAsia="仿宋" w:cs="华文细黑"/>
                <w:color w:val="auto"/>
                <w:kern w:val="2"/>
                <w:sz w:val="28"/>
                <w:szCs w:val="28"/>
                <w:highlight w:val="none"/>
                <w:lang w:val="en-US" w:eastAsia="zh-CN" w:bidi="ar"/>
              </w:rPr>
              <w:t>。</w:t>
            </w:r>
          </w:p>
        </w:tc>
        <w:tc>
          <w:tcPr>
            <w:tcW w:w="1181" w:type="dxa"/>
            <w:vAlign w:val="center"/>
          </w:tcPr>
          <w:p w14:paraId="5C031338">
            <w:pPr>
              <w:keepNext w:val="0"/>
              <w:keepLines w:val="0"/>
              <w:suppressLineNumbers w:val="0"/>
              <w:spacing w:before="0" w:beforeAutospacing="0" w:after="0" w:afterAutospacing="0" w:line="500" w:lineRule="exact"/>
              <w:ind w:left="0" w:right="0"/>
              <w:jc w:val="center"/>
              <w:rPr>
                <w:rFonts w:hint="default"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满分</w:t>
            </w:r>
          </w:p>
          <w:p w14:paraId="27795F18">
            <w:pPr>
              <w:keepNext w:val="0"/>
              <w:keepLines w:val="0"/>
              <w:suppressLineNumbers w:val="0"/>
              <w:spacing w:before="0" w:beforeAutospacing="0" w:after="0" w:afterAutospacing="0" w:line="500" w:lineRule="exact"/>
              <w:ind w:left="0" w:right="0"/>
              <w:jc w:val="center"/>
              <w:rPr>
                <w:rFonts w:hint="default" w:ascii="仿宋" w:hAnsi="仿宋" w:eastAsia="仿宋" w:cs="华文细黑"/>
                <w:color w:val="auto"/>
                <w:sz w:val="28"/>
                <w:szCs w:val="28"/>
                <w:highlight w:val="none"/>
              </w:rPr>
            </w:pPr>
            <w:r>
              <w:rPr>
                <w:rFonts w:hint="eastAsia" w:ascii="仿宋" w:hAnsi="仿宋" w:eastAsia="仿宋" w:cs="华文细黑"/>
                <w:color w:val="auto"/>
                <w:sz w:val="28"/>
                <w:szCs w:val="28"/>
                <w:highlight w:val="none"/>
                <w:lang w:val="en-US" w:eastAsia="zh-CN"/>
              </w:rPr>
              <w:t>10</w:t>
            </w:r>
            <w:r>
              <w:rPr>
                <w:rFonts w:hint="eastAsia" w:ascii="仿宋" w:hAnsi="仿宋" w:eastAsia="仿宋" w:cs="华文细黑"/>
                <w:color w:val="auto"/>
                <w:sz w:val="28"/>
                <w:szCs w:val="28"/>
                <w:highlight w:val="none"/>
              </w:rPr>
              <w:t>分</w:t>
            </w:r>
          </w:p>
        </w:tc>
      </w:tr>
      <w:tr w14:paraId="243DDE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1101" w:type="dxa"/>
            <w:vAlign w:val="center"/>
          </w:tcPr>
          <w:p w14:paraId="0A4B56C8">
            <w:pPr>
              <w:keepNext w:val="0"/>
              <w:keepLines w:val="0"/>
              <w:suppressLineNumbers w:val="0"/>
              <w:adjustRightInd w:val="0"/>
              <w:snapToGrid w:val="0"/>
              <w:spacing w:before="0" w:beforeAutospacing="0" w:after="0" w:afterAutospacing="0" w:line="500" w:lineRule="exact"/>
              <w:ind w:left="0" w:right="0"/>
              <w:jc w:val="center"/>
              <w:rPr>
                <w:rFonts w:hint="default" w:ascii="仿宋" w:hAnsi="仿宋" w:eastAsia="仿宋" w:cs="华文细黑"/>
                <w:color w:val="auto"/>
                <w:sz w:val="28"/>
                <w:szCs w:val="28"/>
                <w:highlight w:val="none"/>
                <w:lang w:val="en-US" w:eastAsia="zh-CN"/>
              </w:rPr>
            </w:pPr>
            <w:r>
              <w:rPr>
                <w:rFonts w:hint="eastAsia" w:ascii="仿宋" w:hAnsi="仿宋" w:eastAsia="仿宋" w:cs="华文细黑"/>
                <w:color w:val="auto"/>
                <w:sz w:val="28"/>
                <w:szCs w:val="28"/>
                <w:highlight w:val="none"/>
                <w:lang w:val="en-US" w:eastAsia="zh-CN"/>
              </w:rPr>
              <w:t>3</w:t>
            </w:r>
          </w:p>
        </w:tc>
        <w:tc>
          <w:tcPr>
            <w:tcW w:w="1534" w:type="dxa"/>
            <w:vAlign w:val="center"/>
          </w:tcPr>
          <w:p w14:paraId="138E538D">
            <w:pPr>
              <w:keepNext w:val="0"/>
              <w:keepLines w:val="0"/>
              <w:suppressLineNumbers w:val="0"/>
              <w:spacing w:before="0" w:beforeAutospacing="0" w:after="0" w:afterAutospacing="0" w:line="500" w:lineRule="exact"/>
              <w:ind w:left="0" w:right="31" w:rightChars="15"/>
              <w:jc w:val="center"/>
              <w:rPr>
                <w:rFonts w:hint="default" w:ascii="仿宋" w:hAnsi="仿宋" w:eastAsia="仿宋" w:cs="华文细黑"/>
                <w:color w:val="auto"/>
                <w:sz w:val="28"/>
                <w:szCs w:val="28"/>
                <w:highlight w:val="none"/>
                <w:lang w:val="en-US" w:eastAsia="zh-CN"/>
              </w:rPr>
            </w:pPr>
            <w:r>
              <w:rPr>
                <w:rFonts w:hint="eastAsia" w:ascii="仿宋" w:hAnsi="仿宋" w:eastAsia="仿宋" w:cs="华文细黑"/>
                <w:color w:val="auto"/>
                <w:sz w:val="28"/>
                <w:szCs w:val="28"/>
                <w:highlight w:val="none"/>
                <w:lang w:val="en-US" w:eastAsia="zh-CN"/>
              </w:rPr>
              <w:t>企业业绩</w:t>
            </w:r>
          </w:p>
        </w:tc>
        <w:tc>
          <w:tcPr>
            <w:tcW w:w="5471" w:type="dxa"/>
            <w:vAlign w:val="center"/>
          </w:tcPr>
          <w:p w14:paraId="1F0CB552">
            <w:pPr>
              <w:keepNext w:val="0"/>
              <w:keepLines w:val="0"/>
              <w:widowControl/>
              <w:suppressLineNumbers w:val="0"/>
              <w:spacing w:before="0" w:beforeAutospacing="0" w:after="0" w:afterAutospacing="0" w:line="500" w:lineRule="exact"/>
              <w:ind w:left="0" w:right="31" w:rightChars="15"/>
              <w:jc w:val="left"/>
              <w:rPr>
                <w:rFonts w:hint="eastAsia" w:ascii="仿宋" w:hAnsi="仿宋" w:eastAsia="仿宋" w:cs="华文细黑"/>
                <w:color w:val="auto"/>
                <w:sz w:val="28"/>
                <w:szCs w:val="28"/>
                <w:highlight w:val="none"/>
                <w:lang w:val="en-US" w:eastAsia="zh-CN" w:bidi="ar"/>
              </w:rPr>
            </w:pPr>
            <w:r>
              <w:rPr>
                <w:rFonts w:hint="eastAsia" w:ascii="仿宋" w:hAnsi="仿宋" w:eastAsia="仿宋" w:cs="华文细黑"/>
                <w:color w:val="auto"/>
                <w:kern w:val="2"/>
                <w:sz w:val="28"/>
                <w:szCs w:val="28"/>
                <w:highlight w:val="none"/>
                <w:lang w:val="en-US" w:eastAsia="zh-CN" w:bidi="ar"/>
              </w:rPr>
              <w:t>根据投标人自2022年1月1日至今（以合同签订时间为准）服务业绩情况进行评价：</w:t>
            </w:r>
            <w:r>
              <w:rPr>
                <w:rFonts w:hint="eastAsia" w:ascii="仿宋" w:hAnsi="仿宋" w:eastAsia="仿宋" w:cs="华文细黑"/>
                <w:color w:val="auto"/>
                <w:sz w:val="28"/>
                <w:szCs w:val="28"/>
                <w:highlight w:val="none"/>
                <w:lang w:val="en-US" w:eastAsia="zh-CN" w:bidi="ar"/>
              </w:rPr>
              <w:t>服务过国贸地产成都区域的模拟验收及维保服务，得10分，服务过一线优质地产（以“</w:t>
            </w:r>
            <w:r>
              <w:rPr>
                <w:rFonts w:hint="eastAsia" w:ascii="仿宋" w:hAnsi="仿宋" w:eastAsia="仿宋" w:cs="华文细黑"/>
                <w:i w:val="0"/>
                <w:iCs w:val="0"/>
                <w:caps w:val="0"/>
                <w:color w:val="auto"/>
                <w:spacing w:val="0"/>
                <w:sz w:val="28"/>
                <w:szCs w:val="28"/>
                <w:highlight w:val="none"/>
                <w:shd w:val="clear" w:fill="auto"/>
                <w:lang w:bidi="ar"/>
              </w:rPr>
              <w:t>亿翰智库</w:t>
            </w:r>
            <w:r>
              <w:rPr>
                <w:rFonts w:hint="eastAsia" w:ascii="仿宋" w:hAnsi="仿宋" w:eastAsia="仿宋" w:cs="华文细黑"/>
                <w:i w:val="0"/>
                <w:iCs w:val="0"/>
                <w:caps w:val="0"/>
                <w:color w:val="auto"/>
                <w:spacing w:val="0"/>
                <w:sz w:val="28"/>
                <w:szCs w:val="28"/>
                <w:highlight w:val="none"/>
                <w:shd w:val="clear"/>
                <w:lang w:eastAsia="zh-CN" w:bidi="ar"/>
              </w:rPr>
              <w:t>”</w:t>
            </w:r>
            <w:r>
              <w:rPr>
                <w:rFonts w:hint="eastAsia" w:ascii="仿宋" w:hAnsi="仿宋" w:eastAsia="仿宋" w:cs="华文细黑"/>
                <w:i w:val="0"/>
                <w:iCs w:val="0"/>
                <w:caps w:val="0"/>
                <w:color w:val="auto"/>
                <w:spacing w:val="0"/>
                <w:sz w:val="28"/>
                <w:szCs w:val="28"/>
                <w:highlight w:val="none"/>
                <w:shd w:val="clear" w:fill="auto"/>
                <w:lang w:bidi="ar"/>
              </w:rPr>
              <w:t>发布</w:t>
            </w:r>
            <w:r>
              <w:rPr>
                <w:rFonts w:hint="eastAsia" w:ascii="仿宋" w:hAnsi="仿宋" w:eastAsia="仿宋" w:cs="华文细黑"/>
                <w:color w:val="auto"/>
                <w:sz w:val="28"/>
                <w:szCs w:val="28"/>
                <w:highlight w:val="none"/>
                <w:lang w:val="en-US" w:eastAsia="zh-CN" w:bidi="ar"/>
              </w:rPr>
              <w:t>2024年公布的中国房地产企业综合实力前50名单为准）的模拟验收及维保服务，得5分，服务过其他地产的模拟验收及维保服务，得3分。</w:t>
            </w:r>
            <w:r>
              <w:rPr>
                <w:rFonts w:hint="eastAsia" w:ascii="仿宋" w:hAnsi="仿宋" w:eastAsia="仿宋" w:cs="华文细黑"/>
                <w:color w:val="auto"/>
                <w:sz w:val="28"/>
                <w:szCs w:val="28"/>
                <w:highlight w:val="none"/>
                <w:lang w:bidi="ar"/>
              </w:rPr>
              <w:t>注：证明材料需提供业绩项目采购合同文本扫描件（至少应体现采购合同甲、乙双方名称，合同签订时间，服务期限等）。投标人针对本项提供的业绩，与</w:t>
            </w:r>
            <w:r>
              <w:rPr>
                <w:rFonts w:hint="eastAsia" w:ascii="仿宋" w:hAnsi="仿宋" w:eastAsia="仿宋" w:cs="华文细黑"/>
                <w:color w:val="auto"/>
                <w:sz w:val="28"/>
                <w:szCs w:val="28"/>
                <w:highlight w:val="none"/>
                <w:lang w:eastAsia="zh-CN" w:bidi="ar"/>
              </w:rPr>
              <w:t>“</w:t>
            </w:r>
            <w:r>
              <w:rPr>
                <w:rFonts w:hint="eastAsia" w:ascii="仿宋" w:hAnsi="仿宋" w:eastAsia="仿宋" w:cs="华文细黑"/>
                <w:color w:val="auto"/>
                <w:sz w:val="28"/>
                <w:szCs w:val="28"/>
                <w:highlight w:val="none"/>
                <w:lang w:val="en-US" w:eastAsia="zh-CN" w:bidi="ar"/>
              </w:rPr>
              <w:t>第三章招标内容及要求”中第二节第3点）带“★”号条款）</w:t>
            </w:r>
            <w:r>
              <w:rPr>
                <w:rFonts w:hint="eastAsia" w:ascii="仿宋" w:hAnsi="仿宋" w:eastAsia="仿宋" w:cs="华文细黑"/>
                <w:color w:val="auto"/>
                <w:sz w:val="28"/>
                <w:szCs w:val="28"/>
                <w:highlight w:val="none"/>
                <w:lang w:bidi="ar"/>
              </w:rPr>
              <w:t>要求提供的业绩为同一项目业绩的不得分。</w:t>
            </w:r>
          </w:p>
        </w:tc>
        <w:tc>
          <w:tcPr>
            <w:tcW w:w="1181" w:type="dxa"/>
            <w:vAlign w:val="center"/>
          </w:tcPr>
          <w:p w14:paraId="6240C11F">
            <w:pPr>
              <w:keepNext w:val="0"/>
              <w:keepLines w:val="0"/>
              <w:suppressLineNumbers w:val="0"/>
              <w:spacing w:before="0" w:beforeAutospacing="0" w:after="0" w:afterAutospacing="0" w:line="500" w:lineRule="exact"/>
              <w:ind w:left="0" w:right="0"/>
              <w:jc w:val="center"/>
              <w:rPr>
                <w:rFonts w:hint="default"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满分</w:t>
            </w:r>
          </w:p>
          <w:p w14:paraId="1D4AAAAC">
            <w:pPr>
              <w:keepNext w:val="0"/>
              <w:keepLines w:val="0"/>
              <w:suppressLineNumbers w:val="0"/>
              <w:spacing w:before="0" w:beforeAutospacing="0" w:after="0" w:afterAutospacing="0" w:line="500" w:lineRule="exact"/>
              <w:ind w:left="0" w:right="0"/>
              <w:jc w:val="center"/>
              <w:rPr>
                <w:rFonts w:hint="default" w:ascii="仿宋" w:hAnsi="仿宋" w:eastAsia="仿宋" w:cs="华文细黑"/>
                <w:color w:val="auto"/>
                <w:sz w:val="28"/>
                <w:szCs w:val="28"/>
                <w:highlight w:val="none"/>
                <w:lang w:val="en-US" w:eastAsia="zh-CN"/>
              </w:rPr>
            </w:pPr>
            <w:r>
              <w:rPr>
                <w:rFonts w:hint="eastAsia" w:ascii="仿宋" w:hAnsi="仿宋" w:eastAsia="仿宋" w:cs="华文细黑"/>
                <w:color w:val="auto"/>
                <w:sz w:val="28"/>
                <w:szCs w:val="28"/>
                <w:highlight w:val="none"/>
                <w:lang w:val="en-US" w:eastAsia="zh-CN"/>
              </w:rPr>
              <w:t>10</w:t>
            </w:r>
            <w:r>
              <w:rPr>
                <w:rFonts w:hint="eastAsia" w:ascii="仿宋" w:hAnsi="仿宋" w:eastAsia="仿宋" w:cs="华文细黑"/>
                <w:color w:val="auto"/>
                <w:sz w:val="28"/>
                <w:szCs w:val="28"/>
                <w:highlight w:val="none"/>
              </w:rPr>
              <w:t>分</w:t>
            </w:r>
          </w:p>
        </w:tc>
      </w:tr>
      <w:tr w14:paraId="5848EE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64" w:hRule="atLeast"/>
          <w:jc w:val="center"/>
        </w:trPr>
        <w:tc>
          <w:tcPr>
            <w:tcW w:w="1101" w:type="dxa"/>
            <w:vAlign w:val="center"/>
          </w:tcPr>
          <w:p w14:paraId="47398692">
            <w:pPr>
              <w:keepNext w:val="0"/>
              <w:keepLines w:val="0"/>
              <w:suppressLineNumbers w:val="0"/>
              <w:adjustRightInd w:val="0"/>
              <w:snapToGrid w:val="0"/>
              <w:spacing w:before="0" w:beforeAutospacing="0" w:after="0" w:afterAutospacing="0" w:line="500" w:lineRule="exact"/>
              <w:ind w:left="0" w:right="0"/>
              <w:jc w:val="center"/>
              <w:rPr>
                <w:rFonts w:hint="default" w:ascii="仿宋" w:hAnsi="仿宋" w:eastAsia="仿宋" w:cs="华文细黑"/>
                <w:color w:val="auto"/>
                <w:sz w:val="28"/>
                <w:szCs w:val="28"/>
                <w:highlight w:val="none"/>
                <w:lang w:val="en-US" w:eastAsia="zh-CN"/>
              </w:rPr>
            </w:pPr>
            <w:r>
              <w:rPr>
                <w:rFonts w:hint="eastAsia" w:ascii="仿宋" w:hAnsi="仿宋" w:eastAsia="仿宋" w:cs="华文细黑"/>
                <w:color w:val="auto"/>
                <w:sz w:val="28"/>
                <w:szCs w:val="28"/>
                <w:highlight w:val="none"/>
                <w:lang w:val="en-US" w:eastAsia="zh-CN"/>
              </w:rPr>
              <w:t>4</w:t>
            </w:r>
          </w:p>
        </w:tc>
        <w:tc>
          <w:tcPr>
            <w:tcW w:w="1534" w:type="dxa"/>
            <w:vAlign w:val="center"/>
          </w:tcPr>
          <w:p w14:paraId="63FB773F">
            <w:pPr>
              <w:keepNext w:val="0"/>
              <w:keepLines w:val="0"/>
              <w:suppressLineNumbers w:val="0"/>
              <w:spacing w:before="0" w:beforeAutospacing="0" w:after="0" w:afterAutospacing="0" w:line="240" w:lineRule="auto"/>
              <w:ind w:left="0" w:right="0" w:rightChars="0"/>
              <w:jc w:val="both"/>
              <w:rPr>
                <w:rFonts w:hint="default" w:ascii="仿宋" w:hAnsi="仿宋" w:eastAsia="仿宋" w:cs="华文细黑"/>
                <w:color w:val="auto"/>
                <w:sz w:val="28"/>
                <w:szCs w:val="28"/>
                <w:highlight w:val="none"/>
                <w:lang w:val="en-US" w:eastAsia="zh-CN"/>
              </w:rPr>
            </w:pPr>
            <w:bookmarkStart w:id="427" w:name="OLE_LINK12"/>
            <w:r>
              <w:rPr>
                <w:rFonts w:hint="eastAsia" w:ascii="仿宋" w:hAnsi="仿宋" w:eastAsia="仿宋" w:cs="仿宋"/>
                <w:color w:val="auto"/>
                <w:kern w:val="2"/>
                <w:sz w:val="28"/>
                <w:szCs w:val="28"/>
                <w:highlight w:val="none"/>
                <w:lang w:val="en-US" w:eastAsia="zh-CN" w:bidi="ar"/>
              </w:rPr>
              <w:t>保险购买承诺</w:t>
            </w:r>
            <w:bookmarkEnd w:id="427"/>
          </w:p>
        </w:tc>
        <w:tc>
          <w:tcPr>
            <w:tcW w:w="5471" w:type="dxa"/>
            <w:vAlign w:val="center"/>
          </w:tcPr>
          <w:p w14:paraId="6DE6D229">
            <w:pPr>
              <w:keepNext w:val="0"/>
              <w:keepLines w:val="0"/>
              <w:widowControl/>
              <w:suppressLineNumbers w:val="0"/>
              <w:spacing w:before="0" w:beforeAutospacing="0" w:after="0" w:afterAutospacing="0" w:line="500" w:lineRule="exact"/>
              <w:ind w:left="0" w:right="31" w:rightChars="15" w:firstLineChars="0"/>
              <w:jc w:val="left"/>
              <w:rPr>
                <w:rFonts w:hint="default" w:ascii="仿宋" w:hAnsi="仿宋" w:eastAsia="仿宋" w:cs="华文细黑"/>
                <w:color w:val="auto"/>
                <w:sz w:val="28"/>
                <w:szCs w:val="28"/>
                <w:highlight w:val="none"/>
                <w:lang w:val="en-US" w:eastAsia="zh-CN"/>
              </w:rPr>
            </w:pPr>
            <w:bookmarkStart w:id="428" w:name="OLE_LINK13"/>
            <w:r>
              <w:rPr>
                <w:rFonts w:hint="eastAsia" w:ascii="仿宋" w:hAnsi="仿宋" w:eastAsia="仿宋" w:cs="华文细黑"/>
                <w:color w:val="auto"/>
                <w:kern w:val="2"/>
                <w:sz w:val="28"/>
                <w:szCs w:val="28"/>
                <w:highlight w:val="none"/>
                <w:lang w:val="en-US" w:eastAsia="zh-CN" w:bidi="ar"/>
              </w:rPr>
              <w:t>投标人承诺“中标后，为本项目所有服务人员购买人身意外伤害保险且赔偿金额不低于人民币120万元/人，保险期须覆盖本项目服务期。若投标人未购上述保险从而造成无法理赔或理赔金额不足的，全部损失由投标人自行承担，同时招标人可要求限期整改，拒不或逾期整改，招标人有权终止合同，若由此造成招标人损失，投标人应予以赔偿。”得5分，须提供书面承诺函（格式自拟），</w:t>
            </w:r>
            <w:r>
              <w:rPr>
                <w:rFonts w:hint="eastAsia" w:ascii="仿宋" w:hAnsi="仿宋" w:eastAsia="仿宋" w:cs="仿宋"/>
                <w:color w:val="auto"/>
                <w:kern w:val="2"/>
                <w:sz w:val="28"/>
                <w:szCs w:val="28"/>
                <w:lang w:val="en-US" w:eastAsia="zh-CN" w:bidi="ar"/>
              </w:rPr>
              <w:t>未提供的不得分</w:t>
            </w:r>
            <w:bookmarkEnd w:id="428"/>
            <w:r>
              <w:rPr>
                <w:rFonts w:hint="eastAsia" w:ascii="仿宋" w:hAnsi="仿宋" w:eastAsia="仿宋" w:cs="仿宋"/>
                <w:color w:val="auto"/>
                <w:kern w:val="2"/>
                <w:sz w:val="28"/>
                <w:szCs w:val="28"/>
                <w:lang w:val="en-US" w:eastAsia="zh-CN" w:bidi="ar"/>
              </w:rPr>
              <w:t>。</w:t>
            </w:r>
          </w:p>
        </w:tc>
        <w:tc>
          <w:tcPr>
            <w:tcW w:w="1181" w:type="dxa"/>
            <w:vAlign w:val="center"/>
          </w:tcPr>
          <w:p w14:paraId="054BF32D">
            <w:pPr>
              <w:keepNext w:val="0"/>
              <w:keepLines w:val="0"/>
              <w:suppressLineNumbers w:val="0"/>
              <w:spacing w:before="0" w:beforeAutospacing="0" w:after="0" w:afterAutospacing="0" w:line="500" w:lineRule="exact"/>
              <w:ind w:left="0" w:right="0"/>
              <w:jc w:val="center"/>
              <w:rPr>
                <w:rFonts w:hint="default"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满分</w:t>
            </w:r>
          </w:p>
          <w:p w14:paraId="47613D74">
            <w:pPr>
              <w:keepNext w:val="0"/>
              <w:keepLines w:val="0"/>
              <w:suppressLineNumbers w:val="0"/>
              <w:spacing w:before="0" w:beforeAutospacing="0" w:after="0" w:afterAutospacing="0" w:line="500" w:lineRule="exact"/>
              <w:ind w:left="0" w:right="0"/>
              <w:jc w:val="center"/>
              <w:rPr>
                <w:rFonts w:hint="default" w:ascii="仿宋" w:hAnsi="仿宋" w:eastAsia="仿宋" w:cs="华文细黑"/>
                <w:color w:val="auto"/>
                <w:sz w:val="28"/>
                <w:szCs w:val="28"/>
                <w:highlight w:val="none"/>
                <w:lang w:val="en-US" w:eastAsia="zh-CN"/>
              </w:rPr>
            </w:pPr>
            <w:r>
              <w:rPr>
                <w:rFonts w:hint="eastAsia" w:ascii="仿宋" w:hAnsi="仿宋" w:eastAsia="仿宋" w:cs="华文细黑"/>
                <w:color w:val="auto"/>
                <w:sz w:val="28"/>
                <w:szCs w:val="28"/>
                <w:highlight w:val="none"/>
                <w:lang w:val="en-US" w:eastAsia="zh-CN"/>
              </w:rPr>
              <w:t>5</w:t>
            </w:r>
            <w:r>
              <w:rPr>
                <w:rFonts w:hint="eastAsia" w:ascii="仿宋" w:hAnsi="仿宋" w:eastAsia="仿宋" w:cs="华文细黑"/>
                <w:color w:val="auto"/>
                <w:sz w:val="28"/>
                <w:szCs w:val="28"/>
                <w:highlight w:val="none"/>
              </w:rPr>
              <w:t>分</w:t>
            </w:r>
          </w:p>
        </w:tc>
      </w:tr>
    </w:tbl>
    <w:p w14:paraId="1B3FFC1F">
      <w:pPr>
        <w:spacing w:before="120" w:beforeLines="50" w:line="500" w:lineRule="exact"/>
        <w:ind w:firstLine="314"/>
        <w:rPr>
          <w:rFonts w:ascii="仿宋" w:hAnsi="仿宋" w:eastAsia="仿宋" w:cs="华文细黑"/>
          <w:b/>
          <w:color w:val="auto"/>
          <w:sz w:val="32"/>
          <w:szCs w:val="32"/>
          <w:highlight w:val="none"/>
        </w:rPr>
      </w:pPr>
      <w:r>
        <w:rPr>
          <w:rFonts w:hint="eastAsia" w:ascii="仿宋" w:hAnsi="仿宋" w:eastAsia="仿宋" w:cs="华文细黑"/>
          <w:b/>
          <w:color w:val="auto"/>
          <w:sz w:val="32"/>
          <w:szCs w:val="32"/>
          <w:highlight w:val="none"/>
        </w:rPr>
        <w:t>（3）价格分F3（满分</w:t>
      </w:r>
      <w:r>
        <w:rPr>
          <w:rFonts w:hint="eastAsia" w:ascii="仿宋" w:hAnsi="仿宋" w:eastAsia="仿宋" w:cs="华文细黑"/>
          <w:b/>
          <w:color w:val="auto"/>
          <w:sz w:val="32"/>
          <w:szCs w:val="32"/>
          <w:highlight w:val="none"/>
          <w:lang w:val="en-US" w:eastAsia="zh-CN"/>
        </w:rPr>
        <w:t>40</w:t>
      </w:r>
      <w:r>
        <w:rPr>
          <w:rFonts w:hint="eastAsia" w:ascii="仿宋" w:hAnsi="仿宋" w:eastAsia="仿宋" w:cs="华文细黑"/>
          <w:b/>
          <w:color w:val="auto"/>
          <w:sz w:val="32"/>
          <w:szCs w:val="32"/>
          <w:highlight w:val="none"/>
        </w:rPr>
        <w:t>分）</w:t>
      </w:r>
    </w:p>
    <w:p w14:paraId="2EAFD9FB">
      <w:pPr>
        <w:spacing w:line="500" w:lineRule="exact"/>
        <w:ind w:firstLine="633" w:firstLineChars="198"/>
        <w:rPr>
          <w:rFonts w:ascii="仿宋" w:hAnsi="仿宋" w:eastAsia="仿宋" w:cs="华文细黑"/>
          <w:color w:val="auto"/>
          <w:sz w:val="32"/>
          <w:szCs w:val="32"/>
          <w:highlight w:val="none"/>
        </w:rPr>
      </w:pPr>
      <w:r>
        <w:rPr>
          <w:rFonts w:hint="eastAsia" w:ascii="仿宋" w:hAnsi="仿宋" w:eastAsia="仿宋" w:cs="华文细黑"/>
          <w:color w:val="auto"/>
          <w:sz w:val="32"/>
          <w:szCs w:val="32"/>
          <w:highlight w:val="none"/>
        </w:rPr>
        <w:t>评标基准价计算方法采用低价优先法，即满足招标文件要求且评标价最低的评标价作为评标基准价，其价格分为满分。其他投标人价格分按下列公式计算：</w:t>
      </w:r>
    </w:p>
    <w:p w14:paraId="1ED64262">
      <w:pPr>
        <w:spacing w:line="500" w:lineRule="exact"/>
        <w:ind w:firstLine="315" w:firstLineChars="98"/>
        <w:rPr>
          <w:rFonts w:hint="default" w:ascii="仿宋" w:hAnsi="仿宋" w:eastAsia="仿宋" w:cs="华文细黑"/>
          <w:b/>
          <w:color w:val="auto"/>
          <w:sz w:val="32"/>
          <w:szCs w:val="32"/>
          <w:highlight w:val="none"/>
          <w:lang w:val="en-US" w:eastAsia="zh-CN"/>
        </w:rPr>
      </w:pPr>
      <w:r>
        <w:rPr>
          <w:rFonts w:hint="eastAsia" w:ascii="仿宋" w:hAnsi="仿宋" w:eastAsia="仿宋" w:cs="华文细黑"/>
          <w:b/>
          <w:color w:val="auto"/>
          <w:sz w:val="32"/>
          <w:szCs w:val="32"/>
          <w:highlight w:val="none"/>
        </w:rPr>
        <w:t>价格分=评标基准价/投标人的评标价×</w:t>
      </w:r>
      <w:r>
        <w:rPr>
          <w:rFonts w:hint="eastAsia" w:ascii="仿宋" w:hAnsi="仿宋" w:eastAsia="仿宋" w:cs="华文细黑"/>
          <w:b/>
          <w:color w:val="auto"/>
          <w:sz w:val="32"/>
          <w:szCs w:val="32"/>
          <w:highlight w:val="none"/>
          <w:lang w:val="en-US" w:eastAsia="zh-CN"/>
        </w:rPr>
        <w:t>40</w:t>
      </w:r>
    </w:p>
    <w:p w14:paraId="4D7B8F4D">
      <w:pPr>
        <w:spacing w:line="500" w:lineRule="exact"/>
        <w:ind w:firstLine="313" w:firstLineChars="98"/>
        <w:rPr>
          <w:rFonts w:ascii="仿宋" w:hAnsi="仿宋" w:eastAsia="仿宋" w:cs="华文细黑"/>
          <w:color w:val="auto"/>
          <w:spacing w:val="-4"/>
          <w:sz w:val="32"/>
          <w:szCs w:val="32"/>
          <w:highlight w:val="none"/>
        </w:rPr>
      </w:pPr>
      <w:r>
        <w:rPr>
          <w:rFonts w:hint="eastAsia" w:ascii="仿宋" w:hAnsi="仿宋" w:eastAsia="仿宋" w:cs="华文细黑"/>
          <w:color w:val="auto"/>
          <w:sz w:val="32"/>
          <w:szCs w:val="32"/>
          <w:highlight w:val="none"/>
        </w:rPr>
        <w:t>注：如投标人的投标报价存在</w:t>
      </w:r>
      <w:r>
        <w:rPr>
          <w:rFonts w:hint="eastAsia" w:ascii="仿宋" w:hAnsi="仿宋" w:eastAsia="仿宋" w:cs="华文细黑"/>
          <w:color w:val="auto"/>
          <w:spacing w:val="-4"/>
          <w:sz w:val="32"/>
          <w:szCs w:val="32"/>
          <w:highlight w:val="none"/>
        </w:rPr>
        <w:t>漏（缺）项的，按</w:t>
      </w:r>
      <w:r>
        <w:rPr>
          <w:rFonts w:hint="eastAsia" w:ascii="仿宋" w:hAnsi="仿宋" w:eastAsia="仿宋" w:cs="华文细黑"/>
          <w:color w:val="auto"/>
          <w:spacing w:val="-4"/>
          <w:sz w:val="32"/>
          <w:szCs w:val="32"/>
          <w:highlight w:val="none"/>
          <w:lang w:val="en-US" w:eastAsia="zh-CN"/>
        </w:rPr>
        <w:t>投标无效</w:t>
      </w:r>
      <w:r>
        <w:rPr>
          <w:rFonts w:hint="eastAsia" w:ascii="仿宋" w:hAnsi="仿宋" w:eastAsia="仿宋" w:cs="华文细黑"/>
          <w:color w:val="auto"/>
          <w:spacing w:val="-4"/>
          <w:sz w:val="32"/>
          <w:szCs w:val="32"/>
          <w:highlight w:val="none"/>
        </w:rPr>
        <w:t>处理。</w:t>
      </w:r>
    </w:p>
    <w:p w14:paraId="260776B8">
      <w:pPr>
        <w:spacing w:line="500" w:lineRule="exact"/>
        <w:ind w:firstLine="321" w:firstLineChars="100"/>
        <w:rPr>
          <w:rFonts w:ascii="仿宋" w:hAnsi="仿宋" w:eastAsia="仿宋" w:cs="华文细黑"/>
          <w:b/>
          <w:color w:val="auto"/>
          <w:sz w:val="32"/>
          <w:szCs w:val="32"/>
          <w:highlight w:val="none"/>
        </w:rPr>
      </w:pPr>
      <w:r>
        <w:rPr>
          <w:rFonts w:hint="eastAsia" w:ascii="仿宋" w:hAnsi="仿宋" w:eastAsia="仿宋" w:cs="华文细黑"/>
          <w:b/>
          <w:color w:val="auto"/>
          <w:sz w:val="32"/>
          <w:szCs w:val="32"/>
          <w:highlight w:val="none"/>
        </w:rPr>
        <w:t xml:space="preserve">（4）各初审合格投标人综合得分= F1＋F2＋F3 </w:t>
      </w:r>
    </w:p>
    <w:p w14:paraId="42790D30">
      <w:pPr>
        <w:spacing w:line="500" w:lineRule="exact"/>
        <w:ind w:firstLine="320" w:firstLineChars="100"/>
        <w:rPr>
          <w:rFonts w:ascii="仿宋" w:hAnsi="仿宋" w:eastAsia="仿宋" w:cs="华文细黑"/>
          <w:color w:val="auto"/>
          <w:sz w:val="32"/>
          <w:szCs w:val="32"/>
          <w:highlight w:val="none"/>
        </w:rPr>
      </w:pPr>
      <w:r>
        <w:rPr>
          <w:rFonts w:hint="eastAsia" w:ascii="仿宋" w:hAnsi="仿宋" w:eastAsia="仿宋" w:cs="华文细黑"/>
          <w:color w:val="auto"/>
          <w:sz w:val="32"/>
          <w:szCs w:val="32"/>
          <w:highlight w:val="none"/>
        </w:rPr>
        <w:t>说明：计算技术汇总得分、商务汇总得分及价格分时，经四舍五入后保留三位小数，计算投标人综合得分时，经四舍五入后保留两位小数。</w:t>
      </w:r>
    </w:p>
    <w:p w14:paraId="25D0A6C5">
      <w:pPr>
        <w:spacing w:line="500" w:lineRule="exact"/>
        <w:ind w:firstLine="643" w:firstLineChars="200"/>
        <w:rPr>
          <w:rFonts w:ascii="仿宋" w:hAnsi="仿宋" w:eastAsia="仿宋" w:cs="华文细黑"/>
          <w:b/>
          <w:color w:val="auto"/>
          <w:sz w:val="32"/>
          <w:szCs w:val="32"/>
          <w:highlight w:val="none"/>
        </w:rPr>
      </w:pPr>
      <w:r>
        <w:rPr>
          <w:rFonts w:hint="eastAsia" w:ascii="仿宋" w:hAnsi="仿宋" w:eastAsia="仿宋" w:cs="华文细黑"/>
          <w:b/>
          <w:color w:val="auto"/>
          <w:sz w:val="32"/>
          <w:szCs w:val="32"/>
          <w:highlight w:val="none"/>
          <w:lang w:val="en-US" w:eastAsia="zh-CN"/>
        </w:rPr>
        <w:t>18</w:t>
      </w:r>
      <w:r>
        <w:rPr>
          <w:rFonts w:hint="eastAsia" w:ascii="仿宋" w:hAnsi="仿宋" w:eastAsia="仿宋" w:cs="华文细黑"/>
          <w:b/>
          <w:color w:val="auto"/>
          <w:sz w:val="32"/>
          <w:szCs w:val="32"/>
          <w:highlight w:val="none"/>
        </w:rPr>
        <w:t>.</w:t>
      </w:r>
      <w:r>
        <w:rPr>
          <w:rFonts w:hint="eastAsia" w:ascii="仿宋" w:hAnsi="仿宋" w:eastAsia="仿宋" w:cs="华文细黑"/>
          <w:b/>
          <w:color w:val="auto"/>
          <w:sz w:val="32"/>
          <w:szCs w:val="32"/>
          <w:highlight w:val="none"/>
          <w:lang w:val="en-US" w:eastAsia="zh-CN"/>
        </w:rPr>
        <w:t>2</w:t>
      </w:r>
      <w:r>
        <w:rPr>
          <w:rFonts w:hint="eastAsia" w:ascii="仿宋" w:hAnsi="仿宋" w:eastAsia="仿宋" w:cs="华文细黑"/>
          <w:b/>
          <w:color w:val="auto"/>
          <w:sz w:val="32"/>
          <w:szCs w:val="32"/>
          <w:highlight w:val="none"/>
        </w:rPr>
        <w:t>推荐中标候选人原则</w:t>
      </w:r>
    </w:p>
    <w:p w14:paraId="7910A400">
      <w:pPr>
        <w:spacing w:line="500" w:lineRule="exact"/>
        <w:ind w:firstLine="640" w:firstLineChars="200"/>
        <w:rPr>
          <w:rFonts w:ascii="仿宋" w:hAnsi="仿宋" w:eastAsia="仿宋" w:cs="华文细黑"/>
          <w:color w:val="auto"/>
          <w:sz w:val="32"/>
          <w:szCs w:val="32"/>
          <w:highlight w:val="none"/>
        </w:rPr>
      </w:pPr>
      <w:r>
        <w:rPr>
          <w:rFonts w:hint="eastAsia" w:ascii="仿宋" w:hAnsi="仿宋" w:eastAsia="仿宋" w:cs="华文细黑"/>
          <w:color w:val="auto"/>
          <w:sz w:val="32"/>
          <w:szCs w:val="32"/>
          <w:highlight w:val="none"/>
        </w:rPr>
        <w:t>1</w:t>
      </w:r>
      <w:r>
        <w:rPr>
          <w:rFonts w:hint="eastAsia" w:ascii="仿宋" w:hAnsi="仿宋" w:eastAsia="仿宋" w:cs="华文细黑"/>
          <w:color w:val="auto"/>
          <w:sz w:val="32"/>
          <w:szCs w:val="32"/>
          <w:highlight w:val="none"/>
          <w:lang w:val="en-US" w:eastAsia="zh-CN"/>
        </w:rPr>
        <w:t>8</w:t>
      </w:r>
      <w:r>
        <w:rPr>
          <w:rFonts w:hint="eastAsia" w:ascii="仿宋" w:hAnsi="仿宋" w:eastAsia="仿宋" w:cs="华文细黑"/>
          <w:color w:val="auto"/>
          <w:sz w:val="32"/>
          <w:szCs w:val="32"/>
          <w:highlight w:val="none"/>
        </w:rPr>
        <w:t>.</w:t>
      </w:r>
      <w:r>
        <w:rPr>
          <w:rFonts w:hint="eastAsia" w:ascii="仿宋" w:hAnsi="仿宋" w:eastAsia="仿宋" w:cs="华文细黑"/>
          <w:color w:val="auto"/>
          <w:sz w:val="32"/>
          <w:szCs w:val="32"/>
          <w:highlight w:val="none"/>
          <w:lang w:val="en-US" w:eastAsia="zh-CN"/>
        </w:rPr>
        <w:t>2</w:t>
      </w:r>
      <w:r>
        <w:rPr>
          <w:rFonts w:hint="eastAsia" w:ascii="仿宋" w:hAnsi="仿宋" w:eastAsia="仿宋" w:cs="华文细黑"/>
          <w:color w:val="auto"/>
          <w:sz w:val="32"/>
          <w:szCs w:val="32"/>
          <w:highlight w:val="none"/>
        </w:rPr>
        <w:t>.1排名及排名规则：评标委员会根据以下原则对初审合格的投标人进行排名：</w:t>
      </w:r>
    </w:p>
    <w:p w14:paraId="5ED0A0ED">
      <w:pPr>
        <w:spacing w:line="500" w:lineRule="exact"/>
        <w:ind w:firstLine="640" w:firstLineChars="200"/>
        <w:rPr>
          <w:rFonts w:ascii="仿宋" w:hAnsi="仿宋" w:eastAsia="仿宋" w:cs="华文细黑"/>
          <w:color w:val="auto"/>
          <w:sz w:val="32"/>
          <w:szCs w:val="32"/>
          <w:highlight w:val="none"/>
        </w:rPr>
      </w:pPr>
      <w:r>
        <w:rPr>
          <w:rFonts w:hint="eastAsia" w:ascii="仿宋" w:hAnsi="仿宋" w:eastAsia="仿宋" w:cs="华文细黑"/>
          <w:color w:val="auto"/>
          <w:sz w:val="32"/>
          <w:szCs w:val="32"/>
          <w:highlight w:val="none"/>
        </w:rPr>
        <w:t>（1）综合得分高者排名在前，即：综合得分最高者排名第一，综合得分次高者排名第二，以此类推。</w:t>
      </w:r>
    </w:p>
    <w:p w14:paraId="62C6DFED">
      <w:pPr>
        <w:spacing w:line="500" w:lineRule="exact"/>
        <w:ind w:firstLine="640" w:firstLineChars="200"/>
        <w:rPr>
          <w:rFonts w:ascii="仿宋" w:hAnsi="仿宋" w:eastAsia="仿宋" w:cs="华文细黑"/>
          <w:color w:val="auto"/>
          <w:sz w:val="32"/>
          <w:szCs w:val="32"/>
          <w:highlight w:val="none"/>
        </w:rPr>
      </w:pPr>
      <w:r>
        <w:rPr>
          <w:rFonts w:hint="eastAsia" w:ascii="仿宋" w:hAnsi="仿宋" w:eastAsia="仿宋" w:cs="华文细黑"/>
          <w:color w:val="auto"/>
          <w:sz w:val="32"/>
          <w:szCs w:val="32"/>
          <w:highlight w:val="none"/>
        </w:rPr>
        <w:t>（2）综合得分相同时，投标报价低者排名在前；</w:t>
      </w:r>
    </w:p>
    <w:p w14:paraId="4956132D">
      <w:pPr>
        <w:spacing w:line="500" w:lineRule="exact"/>
        <w:ind w:firstLine="640" w:firstLineChars="200"/>
        <w:rPr>
          <w:rFonts w:ascii="仿宋" w:hAnsi="仿宋" w:eastAsia="仿宋" w:cs="华文细黑"/>
          <w:color w:val="auto"/>
          <w:sz w:val="32"/>
          <w:szCs w:val="32"/>
          <w:highlight w:val="none"/>
        </w:rPr>
      </w:pPr>
      <w:r>
        <w:rPr>
          <w:rFonts w:hint="eastAsia" w:ascii="仿宋" w:hAnsi="仿宋" w:eastAsia="仿宋" w:cs="华文细黑"/>
          <w:color w:val="auto"/>
          <w:sz w:val="32"/>
          <w:szCs w:val="32"/>
          <w:highlight w:val="none"/>
        </w:rPr>
        <w:t>（3）综合得分相同且投标报价相同时，技术分得分高者（即F1得分高者）排名在前；</w:t>
      </w:r>
    </w:p>
    <w:p w14:paraId="7824323E">
      <w:pPr>
        <w:spacing w:line="500" w:lineRule="exact"/>
        <w:ind w:firstLine="640" w:firstLineChars="200"/>
        <w:rPr>
          <w:rFonts w:ascii="仿宋" w:hAnsi="仿宋" w:eastAsia="仿宋" w:cs="华文细黑"/>
          <w:color w:val="auto"/>
          <w:sz w:val="32"/>
          <w:szCs w:val="32"/>
          <w:highlight w:val="none"/>
        </w:rPr>
      </w:pPr>
      <w:r>
        <w:rPr>
          <w:rFonts w:hint="eastAsia" w:ascii="仿宋" w:hAnsi="仿宋" w:eastAsia="仿宋" w:cs="华文细黑"/>
          <w:color w:val="auto"/>
          <w:sz w:val="32"/>
          <w:szCs w:val="32"/>
          <w:highlight w:val="none"/>
        </w:rPr>
        <w:t>（4）以上办法都不能确定排名时，评标委员会根据有利于项目实施的原则确定排名。</w:t>
      </w:r>
    </w:p>
    <w:p w14:paraId="559F8CB5">
      <w:pPr>
        <w:spacing w:line="500" w:lineRule="exact"/>
        <w:ind w:firstLine="640" w:firstLineChars="200"/>
        <w:rPr>
          <w:rFonts w:ascii="仿宋" w:hAnsi="仿宋" w:eastAsia="仿宋" w:cs="华文细黑"/>
          <w:color w:val="auto"/>
          <w:sz w:val="32"/>
          <w:szCs w:val="32"/>
          <w:highlight w:val="none"/>
        </w:rPr>
      </w:pPr>
      <w:r>
        <w:rPr>
          <w:rFonts w:hint="eastAsia" w:ascii="仿宋" w:hAnsi="仿宋" w:eastAsia="仿宋" w:cs="华文细黑"/>
          <w:color w:val="auto"/>
          <w:sz w:val="32"/>
          <w:szCs w:val="32"/>
          <w:highlight w:val="none"/>
        </w:rPr>
        <w:t>1</w:t>
      </w:r>
      <w:r>
        <w:rPr>
          <w:rFonts w:hint="eastAsia" w:ascii="仿宋" w:hAnsi="仿宋" w:eastAsia="仿宋" w:cs="华文细黑"/>
          <w:color w:val="auto"/>
          <w:sz w:val="32"/>
          <w:szCs w:val="32"/>
          <w:highlight w:val="none"/>
          <w:lang w:val="en-US" w:eastAsia="zh-CN"/>
        </w:rPr>
        <w:t>8</w:t>
      </w:r>
      <w:r>
        <w:rPr>
          <w:rFonts w:hint="eastAsia" w:ascii="仿宋" w:hAnsi="仿宋" w:eastAsia="仿宋" w:cs="华文细黑"/>
          <w:color w:val="auto"/>
          <w:sz w:val="32"/>
          <w:szCs w:val="32"/>
          <w:highlight w:val="none"/>
        </w:rPr>
        <w:t>.</w:t>
      </w:r>
      <w:r>
        <w:rPr>
          <w:rFonts w:hint="eastAsia" w:ascii="仿宋" w:hAnsi="仿宋" w:eastAsia="仿宋" w:cs="华文细黑"/>
          <w:color w:val="auto"/>
          <w:sz w:val="32"/>
          <w:szCs w:val="32"/>
          <w:highlight w:val="none"/>
          <w:lang w:val="en-US" w:eastAsia="zh-CN"/>
        </w:rPr>
        <w:t>2</w:t>
      </w:r>
      <w:r>
        <w:rPr>
          <w:rFonts w:hint="eastAsia" w:ascii="仿宋" w:hAnsi="仿宋" w:eastAsia="仿宋" w:cs="华文细黑"/>
          <w:color w:val="auto"/>
          <w:sz w:val="32"/>
          <w:szCs w:val="32"/>
          <w:highlight w:val="none"/>
        </w:rPr>
        <w:t>.2推荐中标候选人：评标委员会将按比较与评价最优先原则，推荐出中标候选单位，其余的合格投标单位为备选供应商。</w:t>
      </w:r>
    </w:p>
    <w:p w14:paraId="27E9FA1F">
      <w:pPr>
        <w:ind w:firstLine="643" w:firstLineChars="200"/>
        <w:rPr>
          <w:rFonts w:ascii="仿宋" w:hAnsi="仿宋" w:eastAsia="仿宋"/>
          <w:b/>
          <w:color w:val="auto"/>
          <w:sz w:val="32"/>
          <w:highlight w:val="none"/>
        </w:rPr>
      </w:pPr>
    </w:p>
    <w:p w14:paraId="0B0A12D2">
      <w:pPr>
        <w:ind w:firstLine="643" w:firstLineChars="200"/>
        <w:rPr>
          <w:rFonts w:ascii="仿宋" w:hAnsi="仿宋" w:eastAsia="仿宋"/>
          <w:b/>
          <w:color w:val="auto"/>
          <w:sz w:val="32"/>
          <w:highlight w:val="none"/>
        </w:rPr>
      </w:pPr>
      <w:r>
        <w:rPr>
          <w:rFonts w:hint="eastAsia" w:ascii="仿宋" w:hAnsi="仿宋" w:eastAsia="仿宋"/>
          <w:b/>
          <w:color w:val="auto"/>
          <w:sz w:val="32"/>
          <w:highlight w:val="none"/>
        </w:rPr>
        <w:t>1</w:t>
      </w:r>
      <w:r>
        <w:rPr>
          <w:rFonts w:hint="eastAsia" w:ascii="仿宋" w:hAnsi="仿宋" w:eastAsia="仿宋"/>
          <w:b/>
          <w:color w:val="auto"/>
          <w:sz w:val="32"/>
          <w:highlight w:val="none"/>
          <w:lang w:val="en-US" w:eastAsia="zh-CN"/>
        </w:rPr>
        <w:t>8</w:t>
      </w:r>
      <w:r>
        <w:rPr>
          <w:rFonts w:hint="eastAsia" w:ascii="仿宋" w:hAnsi="仿宋" w:eastAsia="仿宋"/>
          <w:b/>
          <w:color w:val="auto"/>
          <w:sz w:val="32"/>
          <w:highlight w:val="none"/>
        </w:rPr>
        <w:t>.</w:t>
      </w:r>
      <w:r>
        <w:rPr>
          <w:rFonts w:hint="eastAsia" w:ascii="仿宋" w:hAnsi="仿宋" w:eastAsia="仿宋"/>
          <w:b/>
          <w:color w:val="auto"/>
          <w:sz w:val="32"/>
          <w:highlight w:val="none"/>
          <w:lang w:val="en-US" w:eastAsia="zh-CN"/>
        </w:rPr>
        <w:t>3</w:t>
      </w:r>
      <w:r>
        <w:rPr>
          <w:rFonts w:hint="eastAsia" w:ascii="仿宋" w:hAnsi="仿宋" w:eastAsia="仿宋"/>
          <w:b/>
          <w:color w:val="auto"/>
          <w:sz w:val="32"/>
          <w:highlight w:val="none"/>
        </w:rPr>
        <w:t>.定标准则</w:t>
      </w:r>
    </w:p>
    <w:p w14:paraId="19952A2C">
      <w:pPr>
        <w:adjustRightInd w:val="0"/>
        <w:snapToGrid w:val="0"/>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w:t>
      </w: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3</w:t>
      </w:r>
      <w:r>
        <w:rPr>
          <w:rFonts w:ascii="仿宋" w:hAnsi="仿宋" w:eastAsia="仿宋"/>
          <w:color w:val="auto"/>
          <w:sz w:val="32"/>
          <w:szCs w:val="32"/>
          <w:highlight w:val="none"/>
        </w:rPr>
        <w:t>.</w:t>
      </w:r>
      <w:r>
        <w:rPr>
          <w:rFonts w:hint="eastAsia" w:ascii="仿宋" w:hAnsi="仿宋" w:eastAsia="仿宋"/>
          <w:color w:val="auto"/>
          <w:sz w:val="32"/>
          <w:szCs w:val="32"/>
          <w:highlight w:val="none"/>
        </w:rPr>
        <w:t>1招标人将按照评标报告中推荐的中标候选人顺序确定拟中标人。</w:t>
      </w:r>
    </w:p>
    <w:p w14:paraId="32F67E21">
      <w:pPr>
        <w:adjustRightInd w:val="0"/>
        <w:snapToGrid w:val="0"/>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w:t>
      </w: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3</w:t>
      </w:r>
      <w:r>
        <w:rPr>
          <w:rFonts w:ascii="仿宋" w:hAnsi="仿宋" w:eastAsia="仿宋"/>
          <w:color w:val="auto"/>
          <w:sz w:val="32"/>
          <w:szCs w:val="32"/>
          <w:highlight w:val="none"/>
        </w:rPr>
        <w:t>.</w:t>
      </w:r>
      <w:r>
        <w:rPr>
          <w:rFonts w:hint="eastAsia" w:ascii="仿宋" w:hAnsi="仿宋" w:eastAsia="仿宋"/>
          <w:color w:val="auto"/>
          <w:sz w:val="32"/>
          <w:szCs w:val="32"/>
          <w:highlight w:val="none"/>
        </w:rPr>
        <w:t>2招标人将审查拟中标人的投标人资格、信誉、生产条件、产品技术状态、性能以及其它投标人认为有必要了解的问题。</w:t>
      </w:r>
    </w:p>
    <w:p w14:paraId="7B1FC8F9">
      <w:pPr>
        <w:adjustRightInd w:val="0"/>
        <w:snapToGrid w:val="0"/>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w:t>
      </w: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3</w:t>
      </w:r>
      <w:r>
        <w:rPr>
          <w:rFonts w:ascii="仿宋" w:hAnsi="仿宋" w:eastAsia="仿宋"/>
          <w:color w:val="auto"/>
          <w:sz w:val="32"/>
          <w:szCs w:val="32"/>
          <w:highlight w:val="none"/>
        </w:rPr>
        <w:t>.</w:t>
      </w:r>
      <w:r>
        <w:rPr>
          <w:rFonts w:hint="eastAsia" w:ascii="仿宋" w:hAnsi="仿宋" w:eastAsia="仿宋"/>
          <w:color w:val="auto"/>
          <w:sz w:val="32"/>
          <w:szCs w:val="32"/>
          <w:highlight w:val="none"/>
        </w:rPr>
        <w:t>3如果确定拟中标人无能力履行合同，其投标将被拒绝，招标人将对下一个可能中标的投标人做类似审查。</w:t>
      </w:r>
    </w:p>
    <w:p w14:paraId="16952F63">
      <w:pPr>
        <w:adjustRightInd w:val="0"/>
        <w:snapToGrid w:val="0"/>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w:t>
      </w: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.4接受审查的拟中标人必须如实回答询问或接受招标人的考察，并提供所需的有关资料。</w:t>
      </w:r>
    </w:p>
    <w:p w14:paraId="7D0CE231">
      <w:pPr>
        <w:adjustRightInd w:val="0"/>
        <w:snapToGrid w:val="0"/>
        <w:spacing w:line="5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w:t>
      </w: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3</w:t>
      </w:r>
      <w:r>
        <w:rPr>
          <w:rFonts w:ascii="仿宋" w:hAnsi="仿宋" w:eastAsia="仿宋"/>
          <w:color w:val="auto"/>
          <w:sz w:val="32"/>
          <w:szCs w:val="32"/>
          <w:highlight w:val="none"/>
        </w:rPr>
        <w:t>.</w:t>
      </w:r>
      <w:r>
        <w:rPr>
          <w:rFonts w:hint="eastAsia" w:ascii="仿宋" w:hAnsi="仿宋" w:eastAsia="仿宋"/>
          <w:color w:val="auto"/>
          <w:sz w:val="32"/>
          <w:szCs w:val="32"/>
          <w:highlight w:val="none"/>
        </w:rPr>
        <w:t>5中标通知书生效后，如果已中标的投标人不能按投标文件中承诺的条件履行签约行为，招标人有权在评标委员会推荐的中标候选人名单中按顺序选择新的合同授予人。</w:t>
      </w:r>
    </w:p>
    <w:p w14:paraId="24DAFF7A">
      <w:pPr>
        <w:adjustRightInd w:val="0"/>
        <w:snapToGrid w:val="0"/>
        <w:spacing w:line="5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w:t>
      </w: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3</w:t>
      </w:r>
      <w:r>
        <w:rPr>
          <w:rFonts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招标人有权在任何时间终止本项目的招标程序，投标人应承担项目终止的所有风险，招标人对此不承担任何责任并且无需向投标人作出任何解释。</w:t>
      </w:r>
    </w:p>
    <w:p w14:paraId="14478053">
      <w:pPr>
        <w:pStyle w:val="5"/>
        <w:keepNext w:val="0"/>
        <w:keepLines w:val="0"/>
        <w:spacing w:before="0" w:after="0" w:line="500" w:lineRule="exact"/>
        <w:ind w:firstLine="643" w:firstLineChars="200"/>
        <w:rPr>
          <w:rFonts w:ascii="仿宋" w:hAnsi="仿宋" w:eastAsia="仿宋"/>
          <w:color w:val="auto"/>
          <w:sz w:val="32"/>
          <w:highlight w:val="none"/>
        </w:rPr>
      </w:pPr>
      <w:bookmarkStart w:id="429" w:name="_Toc14215"/>
      <w:bookmarkStart w:id="430" w:name="_Toc6465"/>
      <w:bookmarkStart w:id="431" w:name="_Toc1721"/>
      <w:bookmarkStart w:id="432" w:name="_Toc23557"/>
      <w:bookmarkStart w:id="433" w:name="_Toc3652"/>
      <w:bookmarkStart w:id="434" w:name="_Toc192925669"/>
      <w:bookmarkStart w:id="435" w:name="_Toc19440"/>
      <w:bookmarkStart w:id="436" w:name="_Toc5456"/>
      <w:bookmarkStart w:id="437" w:name="_Toc29853"/>
      <w:bookmarkStart w:id="438" w:name="_Toc9465"/>
      <w:bookmarkStart w:id="439" w:name="_Toc32217"/>
      <w:bookmarkStart w:id="440" w:name="_Toc13816"/>
      <w:bookmarkStart w:id="441" w:name="_Toc30998"/>
      <w:bookmarkStart w:id="442" w:name="_Toc191892321"/>
      <w:bookmarkStart w:id="443" w:name="_Toc11316"/>
      <w:bookmarkStart w:id="444" w:name="_Toc31250"/>
      <w:r>
        <w:rPr>
          <w:rFonts w:hint="eastAsia" w:ascii="仿宋" w:hAnsi="仿宋" w:eastAsia="仿宋"/>
          <w:color w:val="auto"/>
          <w:sz w:val="32"/>
          <w:highlight w:val="none"/>
        </w:rPr>
        <w:t>1</w:t>
      </w:r>
      <w:r>
        <w:rPr>
          <w:rFonts w:hint="eastAsia" w:ascii="仿宋" w:hAnsi="仿宋" w:eastAsia="仿宋"/>
          <w:color w:val="auto"/>
          <w:sz w:val="32"/>
          <w:highlight w:val="none"/>
          <w:lang w:val="en-US" w:eastAsia="zh-CN"/>
        </w:rPr>
        <w:t>9</w:t>
      </w:r>
      <w:r>
        <w:rPr>
          <w:rFonts w:hint="eastAsia" w:ascii="仿宋" w:hAnsi="仿宋" w:eastAsia="仿宋"/>
          <w:color w:val="auto"/>
          <w:sz w:val="32"/>
          <w:highlight w:val="none"/>
        </w:rPr>
        <w:t>. 投标文件的澄清</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5A805ACF">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w:t>
      </w:r>
      <w:r>
        <w:rPr>
          <w:rFonts w:hint="eastAsia" w:ascii="仿宋" w:hAnsi="仿宋" w:eastAsia="仿宋"/>
          <w:color w:val="auto"/>
          <w:sz w:val="32"/>
          <w:szCs w:val="32"/>
          <w:highlight w:val="none"/>
          <w:lang w:val="en-US" w:eastAsia="zh-CN"/>
        </w:rPr>
        <w:t>9</w:t>
      </w:r>
      <w:r>
        <w:rPr>
          <w:rFonts w:hint="eastAsia" w:ascii="仿宋" w:hAnsi="仿宋" w:eastAsia="仿宋"/>
          <w:color w:val="auto"/>
          <w:sz w:val="32"/>
          <w:szCs w:val="32"/>
          <w:highlight w:val="none"/>
        </w:rPr>
        <w:t>.1 对投标文件中含义不明确、同类问题表述不一致或者有明显文字和计算错误的内容，评标委员会将以书面形式，要求投标人作出必要的澄清、说明或者纠正。投标人的澄清、说明或者纠正，应当在评标委员会规定的时间内以书面形式作出，由其法定代表人或者授权代表签字，并不得超出投标文件的范围或者改变投标文件的实质性内容。</w:t>
      </w:r>
    </w:p>
    <w:p w14:paraId="14999D9A">
      <w:pPr>
        <w:pStyle w:val="5"/>
        <w:keepNext w:val="0"/>
        <w:keepLines w:val="0"/>
        <w:spacing w:before="0" w:after="0" w:line="500" w:lineRule="exact"/>
        <w:ind w:firstLine="643" w:firstLineChars="200"/>
        <w:rPr>
          <w:rFonts w:ascii="仿宋" w:hAnsi="仿宋" w:eastAsia="仿宋"/>
          <w:color w:val="auto"/>
          <w:sz w:val="32"/>
        </w:rPr>
      </w:pPr>
      <w:bookmarkStart w:id="445" w:name="_Toc26646"/>
      <w:bookmarkStart w:id="446" w:name="_Toc191892322"/>
      <w:bookmarkStart w:id="447" w:name="_Toc12071"/>
      <w:bookmarkStart w:id="448" w:name="_Toc32450"/>
      <w:bookmarkStart w:id="449" w:name="_Toc7762"/>
      <w:bookmarkStart w:id="450" w:name="_Toc558"/>
      <w:bookmarkStart w:id="451" w:name="_Toc192925670"/>
      <w:bookmarkStart w:id="452" w:name="_Toc26117"/>
      <w:bookmarkStart w:id="453" w:name="_Toc22910"/>
      <w:bookmarkStart w:id="454" w:name="_Toc24449"/>
      <w:bookmarkStart w:id="455" w:name="_Toc191892323"/>
      <w:bookmarkStart w:id="456" w:name="_Toc19832"/>
      <w:bookmarkStart w:id="457" w:name="_Toc11403"/>
      <w:bookmarkStart w:id="458" w:name="_Toc15417"/>
      <w:bookmarkStart w:id="459" w:name="_Toc192925671"/>
      <w:bookmarkStart w:id="460" w:name="_Toc26086"/>
      <w:bookmarkStart w:id="461" w:name="_Toc26616"/>
      <w:bookmarkStart w:id="462" w:name="_Toc20852"/>
      <w:bookmarkStart w:id="463" w:name="_Toc27394"/>
      <w:r>
        <w:rPr>
          <w:rFonts w:hint="eastAsia" w:ascii="仿宋" w:hAnsi="仿宋" w:eastAsia="仿宋"/>
          <w:color w:val="auto"/>
          <w:sz w:val="32"/>
        </w:rPr>
        <w:t>20. 比较与评价</w:t>
      </w:r>
      <w:bookmarkEnd w:id="445"/>
      <w:bookmarkEnd w:id="446"/>
      <w:bookmarkEnd w:id="447"/>
      <w:bookmarkEnd w:id="448"/>
      <w:bookmarkEnd w:id="449"/>
      <w:bookmarkEnd w:id="450"/>
      <w:bookmarkEnd w:id="451"/>
      <w:bookmarkEnd w:id="452"/>
      <w:bookmarkEnd w:id="453"/>
    </w:p>
    <w:p w14:paraId="037DB215">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 xml:space="preserve">20.1 评标委员会将根据评标方法与标准，对资格性检查和符合性检查合格的投标文件，进行商务和技术评估，综合比较与评价。  </w:t>
      </w:r>
    </w:p>
    <w:p w14:paraId="01A5F31E">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20.2 对漏（缺）报项的处理：招标文件中要求列入报价的费用（含配置、功能），漏（缺）报的视同已含在投标总价中。但在评标时取有效投标人该项最高报价加入漏（缺）报人的评标价进行评标。对多报项及赠送项的价格，评标时不予核减，全部进入评标价评议。</w:t>
      </w:r>
    </w:p>
    <w:p w14:paraId="2003BA82">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20.3 若投标人的报价明显低于其他报价，使得其投标报价将低于其个别成本的，将会影响服务质量或不能诚信履约的，投标人须按评标委员会要求做出书面说明并提供相关证明材料，不能合理说明或不能提供相关证明材料的，将作无效投标处理。</w:t>
      </w:r>
    </w:p>
    <w:p w14:paraId="7A476405">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20.4评标委员会将按比较与评价最优在先原则, 排列评价顺序, 根据在投标人须知前附表中确定的</w:t>
      </w:r>
      <w:bookmarkStart w:id="464" w:name="OLE_LINK1"/>
      <w:r>
        <w:rPr>
          <w:rFonts w:hint="eastAsia" w:ascii="仿宋" w:hAnsi="仿宋" w:eastAsia="仿宋"/>
          <w:color w:val="auto"/>
          <w:sz w:val="32"/>
          <w:szCs w:val="32"/>
        </w:rPr>
        <w:t>中标候选人</w:t>
      </w:r>
      <w:bookmarkEnd w:id="464"/>
      <w:r>
        <w:rPr>
          <w:rFonts w:hint="eastAsia" w:ascii="仿宋" w:hAnsi="仿宋" w:eastAsia="仿宋"/>
          <w:color w:val="auto"/>
          <w:sz w:val="32"/>
          <w:szCs w:val="32"/>
        </w:rPr>
        <w:t>数量，推荐出中标候选人。</w:t>
      </w:r>
    </w:p>
    <w:p w14:paraId="6F91A599">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20.5 在评标期间，若出现符合本须知规定的所有投标条件的投标人不足三家情形的，本次招标程序终止，除招标任务取消情形外，招标人将依法重新组织招标或者采取竞争性谈判等其他方式采购。</w:t>
      </w:r>
    </w:p>
    <w:p w14:paraId="6A66BB4F">
      <w:pPr>
        <w:pStyle w:val="4"/>
        <w:keepNext w:val="0"/>
        <w:keepLines w:val="0"/>
        <w:spacing w:before="0" w:after="0" w:line="500" w:lineRule="exact"/>
        <w:jc w:val="center"/>
        <w:rPr>
          <w:rFonts w:ascii="仿宋" w:hAnsi="仿宋" w:eastAsia="仿宋"/>
          <w:color w:val="auto"/>
          <w:sz w:val="32"/>
          <w:highlight w:val="none"/>
        </w:rPr>
      </w:pPr>
      <w:bookmarkStart w:id="465" w:name="_Toc25273"/>
      <w:bookmarkStart w:id="466" w:name="_Toc19849"/>
      <w:bookmarkStart w:id="467" w:name="_Toc20302"/>
      <w:bookmarkStart w:id="468" w:name="_Toc23157"/>
      <w:bookmarkStart w:id="469" w:name="_Toc307"/>
      <w:bookmarkStart w:id="470" w:name="_Toc17389"/>
      <w:r>
        <w:rPr>
          <w:rFonts w:hint="eastAsia" w:ascii="仿宋" w:hAnsi="仿宋" w:eastAsia="仿宋"/>
          <w:color w:val="auto"/>
          <w:sz w:val="32"/>
          <w:highlight w:val="none"/>
        </w:rPr>
        <w:t>第六节 定标与签订合同</w:t>
      </w:r>
      <w:bookmarkEnd w:id="454"/>
      <w:bookmarkEnd w:id="455"/>
      <w:bookmarkEnd w:id="456"/>
      <w:bookmarkEnd w:id="457"/>
      <w:bookmarkEnd w:id="458"/>
      <w:bookmarkEnd w:id="459"/>
      <w:bookmarkEnd w:id="460"/>
      <w:bookmarkEnd w:id="461"/>
      <w:bookmarkEnd w:id="462"/>
      <w:bookmarkEnd w:id="463"/>
      <w:bookmarkEnd w:id="465"/>
      <w:bookmarkEnd w:id="466"/>
      <w:bookmarkEnd w:id="467"/>
      <w:bookmarkEnd w:id="468"/>
      <w:bookmarkEnd w:id="469"/>
      <w:bookmarkEnd w:id="470"/>
    </w:p>
    <w:p w14:paraId="44EF3565">
      <w:pPr>
        <w:pStyle w:val="5"/>
        <w:keepNext w:val="0"/>
        <w:keepLines w:val="0"/>
        <w:spacing w:before="0" w:after="0" w:line="500" w:lineRule="exact"/>
        <w:ind w:firstLine="643" w:firstLineChars="200"/>
        <w:rPr>
          <w:rFonts w:ascii="仿宋" w:hAnsi="仿宋" w:eastAsia="仿宋"/>
          <w:color w:val="auto"/>
          <w:sz w:val="32"/>
        </w:rPr>
      </w:pPr>
      <w:bookmarkStart w:id="471" w:name="_Toc5034"/>
      <w:bookmarkStart w:id="472" w:name="_Toc11029"/>
      <w:bookmarkStart w:id="473" w:name="_Toc251"/>
      <w:bookmarkStart w:id="474" w:name="_Toc2379"/>
      <w:bookmarkStart w:id="475" w:name="_Toc5316"/>
      <w:bookmarkStart w:id="476" w:name="_Toc27933"/>
      <w:bookmarkStart w:id="477" w:name="_Toc2258"/>
      <w:bookmarkStart w:id="478" w:name="_Toc191892324"/>
      <w:bookmarkStart w:id="479" w:name="_Toc192925672"/>
      <w:r>
        <w:rPr>
          <w:rFonts w:hint="eastAsia" w:ascii="仿宋" w:hAnsi="仿宋" w:eastAsia="仿宋"/>
          <w:color w:val="auto"/>
          <w:sz w:val="32"/>
        </w:rPr>
        <w:t>21</w:t>
      </w:r>
      <w:r>
        <w:rPr>
          <w:rFonts w:ascii="仿宋" w:hAnsi="仿宋" w:eastAsia="仿宋"/>
          <w:color w:val="auto"/>
          <w:sz w:val="32"/>
        </w:rPr>
        <w:t>.</w:t>
      </w:r>
      <w:r>
        <w:rPr>
          <w:rFonts w:hint="eastAsia" w:ascii="仿宋" w:hAnsi="仿宋" w:eastAsia="仿宋"/>
          <w:color w:val="auto"/>
          <w:sz w:val="32"/>
        </w:rPr>
        <w:t xml:space="preserve"> 定标准则</w:t>
      </w:r>
      <w:bookmarkEnd w:id="471"/>
      <w:bookmarkEnd w:id="472"/>
      <w:bookmarkEnd w:id="473"/>
      <w:bookmarkEnd w:id="474"/>
      <w:bookmarkEnd w:id="475"/>
      <w:bookmarkEnd w:id="476"/>
      <w:bookmarkEnd w:id="477"/>
      <w:bookmarkEnd w:id="478"/>
      <w:bookmarkEnd w:id="479"/>
    </w:p>
    <w:p w14:paraId="70634EE5">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投标人的投标文件符合招标文件要求，按招标文件确定评标标准、方法，经评委评审并推荐中标候选人。</w:t>
      </w:r>
    </w:p>
    <w:p w14:paraId="0A9A7B2D">
      <w:pPr>
        <w:pStyle w:val="5"/>
        <w:keepNext w:val="0"/>
        <w:keepLines w:val="0"/>
        <w:spacing w:before="0" w:after="0" w:line="500" w:lineRule="exact"/>
        <w:ind w:firstLine="643" w:firstLineChars="200"/>
        <w:rPr>
          <w:rFonts w:ascii="仿宋" w:hAnsi="仿宋" w:eastAsia="仿宋"/>
          <w:color w:val="auto"/>
          <w:sz w:val="32"/>
        </w:rPr>
      </w:pPr>
      <w:bookmarkStart w:id="480" w:name="_Toc21768"/>
      <w:bookmarkStart w:id="481" w:name="_Toc192925673"/>
      <w:bookmarkStart w:id="482" w:name="_Toc13099"/>
      <w:bookmarkStart w:id="483" w:name="_Toc20945"/>
      <w:bookmarkStart w:id="484" w:name="_Toc2255"/>
      <w:bookmarkStart w:id="485" w:name="_Toc21101"/>
      <w:bookmarkStart w:id="486" w:name="_Toc30130"/>
      <w:bookmarkStart w:id="487" w:name="_Toc191892325"/>
      <w:bookmarkStart w:id="488" w:name="_Toc2625"/>
      <w:r>
        <w:rPr>
          <w:rFonts w:hint="eastAsia" w:ascii="仿宋" w:hAnsi="仿宋" w:eastAsia="仿宋"/>
          <w:color w:val="auto"/>
          <w:sz w:val="32"/>
        </w:rPr>
        <w:t>22</w:t>
      </w:r>
      <w:r>
        <w:rPr>
          <w:rFonts w:ascii="仿宋" w:hAnsi="仿宋" w:eastAsia="仿宋"/>
          <w:color w:val="auto"/>
          <w:sz w:val="32"/>
        </w:rPr>
        <w:t xml:space="preserve">. </w:t>
      </w:r>
      <w:r>
        <w:rPr>
          <w:rFonts w:hint="eastAsia" w:ascii="仿宋" w:hAnsi="仿宋" w:eastAsia="仿宋"/>
          <w:color w:val="auto"/>
          <w:sz w:val="32"/>
        </w:rPr>
        <w:t>中标通知</w:t>
      </w:r>
      <w:bookmarkEnd w:id="480"/>
      <w:bookmarkEnd w:id="481"/>
      <w:bookmarkEnd w:id="482"/>
      <w:bookmarkEnd w:id="483"/>
      <w:bookmarkEnd w:id="484"/>
      <w:bookmarkEnd w:id="485"/>
      <w:bookmarkEnd w:id="486"/>
      <w:bookmarkEnd w:id="487"/>
      <w:bookmarkEnd w:id="488"/>
    </w:p>
    <w:p w14:paraId="609D59E5">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22</w:t>
      </w:r>
      <w:r>
        <w:rPr>
          <w:rFonts w:ascii="仿宋" w:hAnsi="仿宋" w:eastAsia="仿宋"/>
          <w:color w:val="auto"/>
          <w:sz w:val="32"/>
          <w:szCs w:val="32"/>
        </w:rPr>
        <w:t xml:space="preserve">.1 </w:t>
      </w:r>
      <w:r>
        <w:rPr>
          <w:rFonts w:hint="eastAsia" w:ascii="仿宋" w:hAnsi="仿宋" w:eastAsia="仿宋"/>
          <w:color w:val="auto"/>
          <w:sz w:val="32"/>
          <w:szCs w:val="32"/>
        </w:rPr>
        <w:t>评标结束后，评标结果经招标人流程确认后，招标人将向中标人发出中标通知书。中标通知书对招标人和中标人具有同等法律效力。中标通知书发出后，中标人放弃中标，应承担相应的法律责任。</w:t>
      </w:r>
    </w:p>
    <w:p w14:paraId="42FBB8A9">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22.2 招标人将向中标单位发出《中标通知书》，没有中标的其它投标人不另行通知。</w:t>
      </w:r>
    </w:p>
    <w:p w14:paraId="25C9C5B9">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22</w:t>
      </w:r>
      <w:r>
        <w:rPr>
          <w:rFonts w:ascii="仿宋" w:hAnsi="仿宋" w:eastAsia="仿宋"/>
          <w:color w:val="auto"/>
          <w:sz w:val="32"/>
          <w:szCs w:val="32"/>
        </w:rPr>
        <w:t>.</w:t>
      </w:r>
      <w:r>
        <w:rPr>
          <w:rFonts w:hint="eastAsia" w:ascii="仿宋" w:hAnsi="仿宋" w:eastAsia="仿宋"/>
          <w:color w:val="auto"/>
          <w:sz w:val="32"/>
          <w:szCs w:val="32"/>
        </w:rPr>
        <w:t>3《中标通知书》将作为签订合同的依据。合同签订后，《中标通知书》成为合同的一部分。</w:t>
      </w:r>
    </w:p>
    <w:p w14:paraId="5B1FA685">
      <w:pPr>
        <w:pStyle w:val="5"/>
        <w:keepNext w:val="0"/>
        <w:keepLines w:val="0"/>
        <w:spacing w:before="0" w:after="0" w:line="500" w:lineRule="exact"/>
        <w:ind w:firstLine="643" w:firstLineChars="200"/>
        <w:rPr>
          <w:rFonts w:ascii="仿宋" w:hAnsi="仿宋" w:eastAsia="仿宋"/>
          <w:color w:val="auto"/>
          <w:sz w:val="32"/>
        </w:rPr>
      </w:pPr>
      <w:bookmarkStart w:id="489" w:name="_Toc11601"/>
      <w:bookmarkStart w:id="490" w:name="_Toc31962"/>
      <w:bookmarkStart w:id="491" w:name="_Toc31511"/>
      <w:bookmarkStart w:id="492" w:name="_Toc191892326"/>
      <w:bookmarkStart w:id="493" w:name="_Toc192925674"/>
      <w:bookmarkStart w:id="494" w:name="_Toc19837"/>
      <w:bookmarkStart w:id="495" w:name="_Toc140"/>
      <w:bookmarkStart w:id="496" w:name="_Toc3357"/>
      <w:bookmarkStart w:id="497" w:name="_Toc9503"/>
      <w:r>
        <w:rPr>
          <w:rFonts w:hint="eastAsia" w:ascii="仿宋" w:hAnsi="仿宋" w:eastAsia="仿宋"/>
          <w:color w:val="auto"/>
          <w:sz w:val="32"/>
        </w:rPr>
        <w:t>23. 签订合同</w:t>
      </w:r>
      <w:bookmarkEnd w:id="489"/>
      <w:bookmarkEnd w:id="490"/>
      <w:bookmarkEnd w:id="491"/>
      <w:bookmarkEnd w:id="492"/>
      <w:bookmarkEnd w:id="493"/>
      <w:bookmarkEnd w:id="494"/>
      <w:bookmarkEnd w:id="495"/>
      <w:bookmarkEnd w:id="496"/>
      <w:bookmarkEnd w:id="497"/>
    </w:p>
    <w:p w14:paraId="75258F05">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23</w:t>
      </w:r>
      <w:r>
        <w:rPr>
          <w:rFonts w:ascii="仿宋" w:hAnsi="仿宋" w:eastAsia="仿宋"/>
          <w:color w:val="auto"/>
          <w:sz w:val="32"/>
          <w:szCs w:val="32"/>
        </w:rPr>
        <w:t>.</w:t>
      </w:r>
      <w:r>
        <w:rPr>
          <w:rFonts w:hint="eastAsia" w:ascii="仿宋" w:hAnsi="仿宋" w:eastAsia="仿宋"/>
          <w:color w:val="auto"/>
          <w:sz w:val="32"/>
          <w:szCs w:val="32"/>
        </w:rPr>
        <w:t>1中标人在《中标通知书》发出之日起30日内，根据招标文件确定的事项和中标人投标文件，与招标人签订合同。双方所签订的合同，不得对招标文件和中标人投标文件作实质性修改。逾期未签订合同，按照有关法律规定承担相应的法律责任；属于中标人责任的，招标人将没收其投标保证金，以抵偿对招标人造成的损失。</w:t>
      </w:r>
    </w:p>
    <w:p w14:paraId="300D98C5">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23</w:t>
      </w:r>
      <w:r>
        <w:rPr>
          <w:rFonts w:ascii="仿宋" w:hAnsi="仿宋" w:eastAsia="仿宋"/>
          <w:color w:val="auto"/>
          <w:sz w:val="32"/>
          <w:szCs w:val="32"/>
        </w:rPr>
        <w:t>.</w:t>
      </w:r>
      <w:r>
        <w:rPr>
          <w:rFonts w:hint="eastAsia" w:ascii="仿宋" w:hAnsi="仿宋" w:eastAsia="仿宋"/>
          <w:color w:val="auto"/>
          <w:sz w:val="32"/>
          <w:szCs w:val="32"/>
        </w:rPr>
        <w:t>2招标文件、招标文件的修改文件、中标人的投标文件、补充或修改的文件及澄清或承诺文件等，均为双方签订合同的组成部分，并与合同一并作为本招标文件所列采购项目的互补性法律文件，与合同具有同等法律效力。</w:t>
      </w:r>
    </w:p>
    <w:p w14:paraId="1532C465">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23</w:t>
      </w:r>
      <w:r>
        <w:rPr>
          <w:rFonts w:ascii="仿宋" w:hAnsi="仿宋" w:eastAsia="仿宋"/>
          <w:color w:val="auto"/>
          <w:sz w:val="32"/>
          <w:szCs w:val="32"/>
        </w:rPr>
        <w:t>.</w:t>
      </w:r>
      <w:r>
        <w:rPr>
          <w:rFonts w:hint="eastAsia" w:ascii="仿宋" w:hAnsi="仿宋" w:eastAsia="仿宋"/>
          <w:color w:val="auto"/>
          <w:sz w:val="32"/>
          <w:szCs w:val="32"/>
        </w:rPr>
        <w:t>3中标人因不可抗力或者自身原因不能履行合同的，招标人将与排位在中标人之后第一位的中标候选人签订合同，以此类推。</w:t>
      </w:r>
    </w:p>
    <w:p w14:paraId="200965C8">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23.4 中标人未能按招标人的要求，随时提供投标文件中出具的相关证明材料的原件，招标人有权认定投标人存在弄虚作假、骗取中标的行为。</w:t>
      </w:r>
    </w:p>
    <w:p w14:paraId="5F7FD38A">
      <w:pPr>
        <w:pStyle w:val="3"/>
        <w:keepNext w:val="0"/>
        <w:keepLines w:val="0"/>
        <w:spacing w:before="0" w:after="0" w:line="360" w:lineRule="auto"/>
        <w:jc w:val="center"/>
        <w:rPr>
          <w:rFonts w:ascii="仿宋" w:hAnsi="仿宋" w:eastAsia="仿宋"/>
          <w:color w:val="auto"/>
          <w:szCs w:val="32"/>
          <w:highlight w:val="none"/>
        </w:rPr>
      </w:pPr>
      <w:r>
        <w:rPr>
          <w:rFonts w:ascii="仿宋" w:hAnsi="仿宋" w:eastAsia="仿宋"/>
          <w:color w:val="auto"/>
          <w:highlight w:val="none"/>
        </w:rPr>
        <w:br w:type="page"/>
      </w:r>
      <w:bookmarkStart w:id="498" w:name="_Toc21738"/>
      <w:bookmarkStart w:id="499" w:name="_Toc30210"/>
      <w:bookmarkStart w:id="500" w:name="_Toc25804"/>
      <w:bookmarkStart w:id="501" w:name="_Toc16576"/>
      <w:bookmarkStart w:id="502" w:name="_Toc20026"/>
      <w:bookmarkStart w:id="503" w:name="_Toc11219"/>
      <w:bookmarkStart w:id="504" w:name="_Toc17359"/>
      <w:bookmarkStart w:id="505" w:name="_Toc23163"/>
      <w:bookmarkStart w:id="506" w:name="_Toc2161"/>
      <w:bookmarkStart w:id="507" w:name="_Toc9254"/>
      <w:bookmarkStart w:id="508" w:name="_Toc21567"/>
      <w:bookmarkStart w:id="509" w:name="_Toc13703"/>
      <w:bookmarkStart w:id="510" w:name="_Toc7600"/>
      <w:bookmarkStart w:id="511" w:name="_Toc7769"/>
      <w:r>
        <w:rPr>
          <w:rFonts w:hint="eastAsia" w:ascii="仿宋" w:hAnsi="仿宋" w:eastAsia="仿宋"/>
          <w:color w:val="auto"/>
          <w:szCs w:val="44"/>
          <w:highlight w:val="none"/>
        </w:rPr>
        <w:t>第三章　招标内容及要求</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64BA4CF6">
      <w:pPr>
        <w:rPr>
          <w:color w:val="auto"/>
          <w:sz w:val="32"/>
          <w:szCs w:val="32"/>
          <w:highlight w:val="none"/>
        </w:rPr>
      </w:pPr>
    </w:p>
    <w:p w14:paraId="51D62AFE">
      <w:pPr>
        <w:pStyle w:val="4"/>
        <w:keepNext w:val="0"/>
        <w:keepLines w:val="0"/>
        <w:spacing w:before="0" w:after="0" w:line="360" w:lineRule="auto"/>
        <w:jc w:val="center"/>
        <w:rPr>
          <w:rFonts w:ascii="仿宋" w:hAnsi="仿宋" w:eastAsia="仿宋"/>
          <w:color w:val="auto"/>
          <w:sz w:val="32"/>
          <w:highlight w:val="none"/>
        </w:rPr>
      </w:pPr>
      <w:bookmarkStart w:id="512" w:name="_Toc2543"/>
      <w:bookmarkStart w:id="513" w:name="_Toc23449"/>
      <w:bookmarkStart w:id="514" w:name="_Toc25637"/>
      <w:bookmarkStart w:id="515" w:name="_Toc15364"/>
      <w:bookmarkStart w:id="516" w:name="_Toc16656"/>
      <w:bookmarkStart w:id="517" w:name="_Toc2096"/>
      <w:bookmarkStart w:id="518" w:name="_Toc19936"/>
      <w:bookmarkStart w:id="519" w:name="_Toc10122"/>
      <w:bookmarkStart w:id="520" w:name="_Toc30743"/>
      <w:bookmarkStart w:id="521" w:name="_Toc2132"/>
      <w:bookmarkStart w:id="522" w:name="_Toc23338"/>
      <w:bookmarkStart w:id="523" w:name="_Toc27603"/>
      <w:bookmarkStart w:id="524" w:name="_Toc24419"/>
      <w:bookmarkStart w:id="525" w:name="_Toc20113"/>
      <w:r>
        <w:rPr>
          <w:rFonts w:hint="eastAsia" w:ascii="仿宋" w:hAnsi="仿宋" w:eastAsia="仿宋"/>
          <w:color w:val="auto"/>
          <w:sz w:val="32"/>
          <w:highlight w:val="none"/>
        </w:rPr>
        <w:t>第一节 项目需求</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6ED67FFC">
      <w:pPr>
        <w:spacing w:line="500" w:lineRule="exact"/>
        <w:ind w:firstLine="643" w:firstLineChars="200"/>
        <w:rPr>
          <w:rFonts w:ascii="仿宋" w:hAnsi="仿宋" w:eastAsia="仿宋"/>
          <w:b/>
          <w:color w:val="auto"/>
          <w:sz w:val="32"/>
          <w:szCs w:val="32"/>
          <w:highlight w:val="none"/>
        </w:rPr>
      </w:pPr>
      <w:bookmarkStart w:id="526" w:name="_bookmark18"/>
      <w:bookmarkEnd w:id="526"/>
      <w:r>
        <w:rPr>
          <w:rFonts w:hint="eastAsia" w:ascii="仿宋" w:hAnsi="仿宋" w:eastAsia="仿宋"/>
          <w:b/>
          <w:color w:val="auto"/>
          <w:sz w:val="32"/>
          <w:szCs w:val="32"/>
          <w:highlight w:val="none"/>
        </w:rPr>
        <w:t>一、项目基本情况概述</w:t>
      </w:r>
    </w:p>
    <w:p w14:paraId="4B00EEC6">
      <w:pPr>
        <w:pStyle w:val="25"/>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成都海上蓉屿项目总建筑面积约为131247.33平方米，地上建筑面积91217.84平方米，地下建筑面积36413.34平方米，共671户。</w:t>
      </w:r>
    </w:p>
    <w:p w14:paraId="40D9C4C9">
      <w:pPr>
        <w:pStyle w:val="25"/>
        <w:numPr>
          <w:ilvl w:val="0"/>
          <w:numId w:val="2"/>
        </w:numPr>
        <w:adjustRightInd w:val="0"/>
        <w:snapToGrid w:val="0"/>
        <w:spacing w:line="240" w:lineRule="auto"/>
        <w:ind w:firstLine="480"/>
        <w:rPr>
          <w:rFonts w:hint="eastAsia" w:ascii="仿宋" w:hAnsi="仿宋" w:eastAsia="仿宋" w:cs="Times New Roman"/>
          <w:b/>
          <w:bCs/>
          <w:color w:val="auto"/>
          <w:kern w:val="2"/>
          <w:sz w:val="32"/>
          <w:szCs w:val="32"/>
          <w:highlight w:val="none"/>
          <w:lang w:val="en-US" w:eastAsia="zh-CN" w:bidi="ar-SA"/>
        </w:rPr>
      </w:pPr>
      <w:r>
        <w:rPr>
          <w:rFonts w:hint="eastAsia" w:ascii="仿宋" w:hAnsi="仿宋" w:eastAsia="仿宋" w:cs="Times New Roman"/>
          <w:b/>
          <w:bCs/>
          <w:color w:val="auto"/>
          <w:kern w:val="2"/>
          <w:sz w:val="32"/>
          <w:szCs w:val="32"/>
          <w:highlight w:val="none"/>
          <w:lang w:val="en-US" w:eastAsia="zh-CN" w:bidi="ar-SA"/>
        </w:rPr>
        <w:t>查验服务内容</w:t>
      </w:r>
    </w:p>
    <w:p w14:paraId="59EC8B7B">
      <w:pPr>
        <w:pStyle w:val="25"/>
        <w:keepNext w:val="0"/>
        <w:keepLines w:val="0"/>
        <w:pageBreakBefore w:val="0"/>
        <w:widowControl w:val="0"/>
        <w:numPr>
          <w:ilvl w:val="-1"/>
          <w:numId w:val="0"/>
        </w:numPr>
        <w:kinsoku/>
        <w:wordWrap/>
        <w:overflowPunct/>
        <w:topLinePunct w:val="0"/>
        <w:autoSpaceDE/>
        <w:autoSpaceDN/>
        <w:bidi w:val="0"/>
        <w:adjustRightInd w:val="0"/>
        <w:snapToGrid w:val="0"/>
        <w:spacing w:line="500" w:lineRule="exact"/>
        <w:ind w:firstLine="480" w:firstLineChars="0"/>
        <w:textAlignment w:val="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b/>
          <w:bCs/>
          <w:color w:val="auto"/>
          <w:kern w:val="2"/>
          <w:sz w:val="32"/>
          <w:szCs w:val="32"/>
          <w:highlight w:val="none"/>
          <w:lang w:val="en-US" w:eastAsia="zh-CN" w:bidi="ar-SA"/>
        </w:rPr>
        <w:t>1、</w:t>
      </w:r>
      <w:r>
        <w:rPr>
          <w:rFonts w:hint="eastAsia" w:ascii="仿宋" w:hAnsi="仿宋" w:eastAsia="仿宋" w:cs="Times New Roman"/>
          <w:color w:val="auto"/>
          <w:kern w:val="2"/>
          <w:sz w:val="32"/>
          <w:szCs w:val="32"/>
          <w:highlight w:val="none"/>
          <w:lang w:val="en-US" w:eastAsia="zh-CN" w:bidi="ar-SA"/>
        </w:rPr>
        <w:t>乙方负责对楼栋质量进行验收，检查范围和检查项目包括：</w:t>
      </w:r>
    </w:p>
    <w:p w14:paraId="5C86AF4C">
      <w:pPr>
        <w:pStyle w:val="25"/>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1）房屋建筑室内结构、部品部件等。</w:t>
      </w:r>
    </w:p>
    <w:p w14:paraId="269569DD">
      <w:pPr>
        <w:pStyle w:val="25"/>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2）土建、电气、给排水、弱电、消防、空调通风、幕墙、门窗等。</w:t>
      </w:r>
    </w:p>
    <w:p w14:paraId="4597724E">
      <w:pPr>
        <w:pStyle w:val="25"/>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3）大堂、电梯标准层、电梯轿厢。</w:t>
      </w:r>
    </w:p>
    <w:p w14:paraId="1A24FFBB">
      <w:pPr>
        <w:pStyle w:val="25"/>
        <w:keepNext w:val="0"/>
        <w:keepLines w:val="0"/>
        <w:pageBreakBefore w:val="0"/>
        <w:widowControl w:val="0"/>
        <w:kinsoku/>
        <w:wordWrap/>
        <w:overflowPunct/>
        <w:topLinePunct w:val="0"/>
        <w:autoSpaceDE/>
        <w:autoSpaceDN/>
        <w:bidi w:val="0"/>
        <w:adjustRightInd w:val="0"/>
        <w:snapToGrid w:val="0"/>
        <w:spacing w:line="500" w:lineRule="exact"/>
        <w:ind w:left="0" w:firstLine="480" w:firstLineChars="0"/>
        <w:textAlignment w:val="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b/>
          <w:bCs/>
          <w:color w:val="auto"/>
          <w:kern w:val="2"/>
          <w:sz w:val="32"/>
          <w:szCs w:val="32"/>
          <w:highlight w:val="none"/>
          <w:lang w:val="en-US" w:eastAsia="zh-CN" w:bidi="ar-SA"/>
        </w:rPr>
        <w:t>2、</w:t>
      </w:r>
      <w:r>
        <w:rPr>
          <w:rFonts w:hint="eastAsia" w:ascii="仿宋" w:hAnsi="仿宋" w:eastAsia="仿宋" w:cs="Times New Roman"/>
          <w:color w:val="auto"/>
          <w:kern w:val="2"/>
          <w:sz w:val="32"/>
          <w:szCs w:val="32"/>
          <w:highlight w:val="none"/>
          <w:lang w:val="en-US" w:eastAsia="zh-CN" w:bidi="ar-SA"/>
        </w:rPr>
        <w:t>检查重点内容包括以下：</w:t>
      </w:r>
    </w:p>
    <w:p w14:paraId="2EFCC968">
      <w:pPr>
        <w:pStyle w:val="25"/>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1）卫生间、屋面、阳台、主次卧、厨厅。</w:t>
      </w:r>
    </w:p>
    <w:p w14:paraId="4A348818">
      <w:pPr>
        <w:pStyle w:val="25"/>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2）各类材料/部品安装工艺。</w:t>
      </w:r>
    </w:p>
    <w:p w14:paraId="24A0B84A">
      <w:pPr>
        <w:pStyle w:val="25"/>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3）墙地砖、涂料、使用功能项。</w:t>
      </w:r>
    </w:p>
    <w:p w14:paraId="1F2EE86F">
      <w:pPr>
        <w:pStyle w:val="25"/>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hint="eastAsia" w:ascii="仿宋" w:hAnsi="仿宋" w:eastAsia="仿宋"/>
          <w:color w:val="auto"/>
          <w:sz w:val="32"/>
          <w:szCs w:val="32"/>
          <w:highlight w:val="none"/>
        </w:rPr>
      </w:pPr>
      <w:r>
        <w:rPr>
          <w:rFonts w:hint="eastAsia" w:ascii="仿宋" w:hAnsi="仿宋" w:eastAsia="仿宋" w:cs="Times New Roman"/>
          <w:color w:val="auto"/>
          <w:kern w:val="2"/>
          <w:sz w:val="32"/>
          <w:szCs w:val="32"/>
          <w:highlight w:val="none"/>
          <w:lang w:val="en-US" w:eastAsia="zh-CN" w:bidi="ar-SA"/>
        </w:rPr>
        <w:t>3、乙方对本项目依据国家和行业相关规定进行验房工作，具体工作内容包括但不限于分户检测、跟进分户整改、交付风险评估等工作，以保证工程质量达到设计要求及国家相关质量标准，确保业主以较高的满意度顺利入住。</w:t>
      </w:r>
    </w:p>
    <w:p w14:paraId="7E09AD9A">
      <w:pPr>
        <w:spacing w:line="500" w:lineRule="exact"/>
        <w:ind w:firstLine="643" w:firstLineChars="200"/>
        <w:rPr>
          <w:rFonts w:hint="eastAsia" w:ascii="仿宋" w:hAnsi="仿宋" w:eastAsia="仿宋"/>
          <w:b/>
          <w:color w:val="auto"/>
          <w:sz w:val="32"/>
          <w:szCs w:val="32"/>
          <w:highlight w:val="none"/>
          <w:lang w:val="en-US" w:eastAsia="zh-CN"/>
        </w:rPr>
      </w:pPr>
      <w:r>
        <w:rPr>
          <w:rFonts w:hint="eastAsia" w:ascii="仿宋" w:hAnsi="仿宋" w:eastAsia="仿宋"/>
          <w:b/>
          <w:color w:val="auto"/>
          <w:sz w:val="32"/>
          <w:szCs w:val="32"/>
          <w:highlight w:val="none"/>
        </w:rPr>
        <w:t>三、</w:t>
      </w:r>
      <w:r>
        <w:rPr>
          <w:rFonts w:hint="eastAsia" w:ascii="仿宋" w:hAnsi="仿宋" w:eastAsia="仿宋"/>
          <w:b/>
          <w:color w:val="auto"/>
          <w:sz w:val="32"/>
          <w:szCs w:val="32"/>
          <w:highlight w:val="none"/>
          <w:lang w:val="en-US" w:eastAsia="zh-CN"/>
        </w:rPr>
        <w:t>人员配置及要求</w:t>
      </w:r>
    </w:p>
    <w:p w14:paraId="3C1B5854">
      <w:pPr>
        <w:keepNext/>
        <w:keepLines/>
        <w:pageBreakBefore w:val="0"/>
        <w:widowControl w:val="0"/>
        <w:kinsoku/>
        <w:wordWrap/>
        <w:overflowPunct/>
        <w:topLinePunct w:val="0"/>
        <w:autoSpaceDE/>
        <w:autoSpaceDN/>
        <w:bidi w:val="0"/>
        <w:adjustRightInd/>
        <w:snapToGrid/>
        <w:spacing w:before="0" w:after="0" w:line="500" w:lineRule="exact"/>
        <w:jc w:val="left"/>
        <w:textAlignment w:val="auto"/>
        <w:outlineLvl w:val="9"/>
        <w:rPr>
          <w:rFonts w:hint="eastAsia" w:ascii="仿宋" w:hAnsi="仿宋" w:eastAsia="仿宋"/>
          <w:b/>
          <w:bCs/>
          <w:color w:val="auto"/>
          <w:sz w:val="32"/>
          <w:highlight w:val="none"/>
        </w:rPr>
      </w:pPr>
      <w:bookmarkStart w:id="527" w:name="_Toc9104"/>
      <w:r>
        <w:rPr>
          <w:rFonts w:hint="eastAsia" w:ascii="仿宋" w:hAnsi="仿宋" w:eastAsia="仿宋" w:cs="Times New Roman"/>
          <w:b/>
          <w:bCs/>
          <w:color w:val="auto"/>
          <w:sz w:val="32"/>
          <w:highlight w:val="none"/>
        </w:rPr>
        <w:t>1、</w:t>
      </w:r>
      <w:r>
        <w:rPr>
          <w:rFonts w:hint="eastAsia" w:ascii="仿宋" w:hAnsi="仿宋" w:eastAsia="仿宋"/>
          <w:b/>
          <w:bCs/>
          <w:color w:val="auto"/>
          <w:sz w:val="32"/>
          <w:szCs w:val="32"/>
          <w:highlight w:val="none"/>
        </w:rPr>
        <w:t>人数要求：</w:t>
      </w:r>
      <w:bookmarkEnd w:id="527"/>
    </w:p>
    <w:p w14:paraId="30BBD2D6">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2"/>
        <w:textAlignment w:val="auto"/>
        <w:rPr>
          <w:rFonts w:hint="eastAsia" w:ascii="仿宋" w:hAnsi="仿宋" w:eastAsia="仿宋"/>
          <w:color w:val="auto"/>
          <w:sz w:val="32"/>
          <w:szCs w:val="32"/>
          <w:highlight w:val="none"/>
        </w:rPr>
      </w:pPr>
      <w:r>
        <w:rPr>
          <w:rFonts w:hint="eastAsia" w:ascii="仿宋" w:hAnsi="仿宋" w:eastAsia="仿宋"/>
          <w:b/>
          <w:bCs/>
          <w:color w:val="auto"/>
          <w:sz w:val="32"/>
          <w:szCs w:val="32"/>
          <w:highlight w:val="none"/>
        </w:rPr>
        <w:t>内部验房及整改跟进阶段：</w:t>
      </w:r>
      <w:r>
        <w:rPr>
          <w:rFonts w:hint="eastAsia" w:ascii="仿宋" w:hAnsi="仿宋" w:eastAsia="仿宋"/>
          <w:color w:val="auto"/>
          <w:sz w:val="32"/>
          <w:szCs w:val="32"/>
          <w:highlight w:val="none"/>
        </w:rPr>
        <w:t>（时间暂定为202</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30</w:t>
      </w:r>
      <w:r>
        <w:rPr>
          <w:rFonts w:hint="eastAsia" w:ascii="仿宋" w:hAnsi="仿宋" w:eastAsia="仿宋"/>
          <w:color w:val="auto"/>
          <w:sz w:val="32"/>
          <w:szCs w:val="32"/>
          <w:highlight w:val="none"/>
        </w:rPr>
        <w:t>）</w:t>
      </w:r>
    </w:p>
    <w:p w14:paraId="211ECDF8">
      <w:pPr>
        <w:pStyle w:val="24"/>
        <w:spacing w:line="500" w:lineRule="exact"/>
        <w:rPr>
          <w:rFonts w:hint="eastAsia"/>
          <w:color w:val="auto"/>
          <w:highlight w:val="none"/>
        </w:rPr>
      </w:pPr>
    </w:p>
    <w:p w14:paraId="6EDE778D">
      <w:pPr>
        <w:pStyle w:val="9"/>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2" w:firstLineChars="0"/>
        <w:textAlignment w:val="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b/>
          <w:bCs/>
          <w:color w:val="auto"/>
          <w:kern w:val="2"/>
          <w:sz w:val="32"/>
          <w:szCs w:val="32"/>
          <w:highlight w:val="none"/>
          <w:lang w:val="en-US" w:eastAsia="zh-CN" w:bidi="ar-SA"/>
        </w:rPr>
        <w:t>交付整改跟进阶段：</w:t>
      </w:r>
      <w:r>
        <w:rPr>
          <w:rFonts w:hint="eastAsia" w:ascii="仿宋" w:hAnsi="仿宋" w:eastAsia="仿宋" w:cs="Times New Roman"/>
          <w:color w:val="auto"/>
          <w:kern w:val="2"/>
          <w:sz w:val="32"/>
          <w:szCs w:val="32"/>
          <w:highlight w:val="none"/>
          <w:lang w:val="en-US" w:eastAsia="zh-CN" w:bidi="ar-SA"/>
        </w:rPr>
        <w:t>（时间暂定为2026.7.1-2026.7.31）</w:t>
      </w:r>
    </w:p>
    <w:p w14:paraId="4B4B5590">
      <w:pPr>
        <w:pStyle w:val="9"/>
        <w:spacing w:line="500" w:lineRule="exact"/>
        <w:rPr>
          <w:rFonts w:hint="default"/>
          <w:color w:val="auto"/>
          <w:highlight w:val="none"/>
          <w:lang w:val="en-US" w:eastAsia="zh-CN"/>
        </w:rPr>
      </w:pPr>
    </w:p>
    <w:p w14:paraId="5DC25E8D">
      <w:pPr>
        <w:numPr>
          <w:ilvl w:val="-1"/>
          <w:numId w:val="0"/>
        </w:numPr>
        <w:spacing w:line="500" w:lineRule="exact"/>
        <w:rPr>
          <w:rFonts w:hint="eastAsia" w:ascii="仿宋" w:hAnsi="仿宋" w:eastAsia="仿宋"/>
          <w:b/>
          <w:bCs/>
          <w:color w:val="auto"/>
          <w:sz w:val="32"/>
          <w:szCs w:val="32"/>
          <w:highlight w:val="none"/>
        </w:rPr>
      </w:pPr>
      <w:bookmarkStart w:id="528" w:name="_Toc29484"/>
      <w:r>
        <w:rPr>
          <w:rFonts w:hint="eastAsia" w:ascii="仿宋" w:hAnsi="仿宋" w:eastAsia="仿宋"/>
          <w:b/>
          <w:bCs/>
          <w:color w:val="auto"/>
          <w:sz w:val="32"/>
          <w:szCs w:val="32"/>
          <w:highlight w:val="none"/>
        </w:rPr>
        <w:t>2、人员</w:t>
      </w:r>
      <w:r>
        <w:rPr>
          <w:rFonts w:hint="eastAsia" w:ascii="仿宋" w:hAnsi="仿宋" w:eastAsia="仿宋"/>
          <w:b/>
          <w:bCs/>
          <w:color w:val="auto"/>
          <w:sz w:val="32"/>
          <w:szCs w:val="32"/>
          <w:highlight w:val="none"/>
          <w:lang w:val="en-US" w:eastAsia="zh-CN"/>
        </w:rPr>
        <w:t>配置</w:t>
      </w:r>
      <w:r>
        <w:rPr>
          <w:rFonts w:hint="eastAsia" w:ascii="仿宋" w:hAnsi="仿宋" w:eastAsia="仿宋"/>
          <w:b/>
          <w:bCs/>
          <w:color w:val="auto"/>
          <w:sz w:val="32"/>
          <w:szCs w:val="32"/>
          <w:highlight w:val="none"/>
        </w:rPr>
        <w:t>要求：</w:t>
      </w:r>
    </w:p>
    <w:p w14:paraId="556FBD94">
      <w:pPr>
        <w:keepNext w:val="0"/>
        <w:keepLines w:val="0"/>
        <w:widowControl w:val="0"/>
        <w:suppressLineNumbers w:val="0"/>
        <w:spacing w:line="500" w:lineRule="exact"/>
        <w:ind w:firstLine="640" w:firstLineChars="200"/>
        <w:jc w:val="left"/>
        <w:rPr>
          <w:rFonts w:hint="eastAsia" w:ascii="仿宋" w:hAnsi="仿宋" w:eastAsia="仿宋" w:cs="Times New Roman"/>
          <w:color w:val="auto"/>
          <w:kern w:val="2"/>
          <w:sz w:val="32"/>
          <w:szCs w:val="32"/>
          <w:highlight w:val="none"/>
          <w:lang w:val="en-US" w:eastAsia="zh-CN" w:bidi="ar"/>
        </w:rPr>
      </w:pPr>
      <w:r>
        <w:rPr>
          <w:rFonts w:hint="eastAsia" w:ascii="仿宋" w:hAnsi="仿宋" w:eastAsia="仿宋" w:cs="Times New Roman"/>
          <w:color w:val="auto"/>
          <w:kern w:val="2"/>
          <w:sz w:val="32"/>
          <w:szCs w:val="32"/>
          <w:highlight w:val="none"/>
          <w:lang w:val="en-US" w:eastAsia="zh-CN" w:bidi="ar"/>
        </w:rPr>
        <w:t>根据项目体量：</w:t>
      </w:r>
    </w:p>
    <w:p w14:paraId="21CE1B75">
      <w:pPr>
        <w:keepNext w:val="0"/>
        <w:keepLines w:val="0"/>
        <w:widowControl w:val="0"/>
        <w:suppressLineNumbers w:val="0"/>
        <w:spacing w:line="500" w:lineRule="exact"/>
        <w:ind w:firstLine="640" w:firstLineChars="200"/>
        <w:jc w:val="left"/>
        <w:rPr>
          <w:rFonts w:hint="eastAsia" w:ascii="仿宋" w:hAnsi="仿宋" w:eastAsia="仿宋" w:cs="Times New Roman"/>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Times New Roman"/>
          <w:color w:val="000000" w:themeColor="text1"/>
          <w:kern w:val="2"/>
          <w:sz w:val="32"/>
          <w:szCs w:val="32"/>
          <w:highlight w:val="none"/>
          <w:lang w:val="en-US" w:eastAsia="zh-CN" w:bidi="ar"/>
          <w14:textFill>
            <w14:solidFill>
              <w14:schemeClr w14:val="tx1"/>
            </w14:solidFill>
          </w14:textFill>
        </w:rPr>
        <w:t>查验阶段：3月1日-6月30日。本项目配置最低每月配置13人（含项目负责人、主管、查验组员）</w:t>
      </w:r>
    </w:p>
    <w:p w14:paraId="562A37D4">
      <w:pPr>
        <w:pStyle w:val="2"/>
        <w:ind w:firstLine="640" w:firstLineChars="200"/>
        <w:rPr>
          <w:rFonts w:hint="eastAsia" w:ascii="仿宋" w:hAnsi="仿宋" w:eastAsia="仿宋"/>
          <w:b w:val="0"/>
          <w:bCs w:val="0"/>
          <w:caps w:val="0"/>
          <w:color w:val="000000" w:themeColor="text1"/>
          <w:sz w:val="32"/>
          <w:szCs w:val="32"/>
          <w:highlight w:val="none"/>
          <w:lang w:val="en-US" w:eastAsia="zh-CN" w:bidi="ar"/>
          <w14:textFill>
            <w14:solidFill>
              <w14:schemeClr w14:val="tx1"/>
            </w14:solidFill>
          </w14:textFill>
        </w:rPr>
      </w:pPr>
      <w:r>
        <w:rPr>
          <w:rFonts w:hint="eastAsia" w:ascii="仿宋" w:hAnsi="仿宋" w:eastAsia="仿宋"/>
          <w:b w:val="0"/>
          <w:bCs w:val="0"/>
          <w:caps w:val="0"/>
          <w:color w:val="000000" w:themeColor="text1"/>
          <w:sz w:val="32"/>
          <w:szCs w:val="32"/>
          <w:highlight w:val="none"/>
          <w:lang w:val="en-US" w:eastAsia="zh-CN" w:bidi="ar"/>
          <w14:textFill>
            <w14:solidFill>
              <w14:schemeClr w14:val="tx1"/>
            </w14:solidFill>
          </w14:textFill>
        </w:rPr>
        <w:t>工开陪验阶段：5月15日-5月19日（暂定、以甲方通知为准）</w:t>
      </w:r>
      <w:r>
        <w:rPr>
          <w:rFonts w:hint="eastAsia" w:ascii="仿宋" w:hAnsi="仿宋" w:eastAsia="仿宋"/>
          <w:b w:val="0"/>
          <w:bCs w:val="0"/>
          <w:caps w:val="0"/>
          <w:color w:val="000000" w:themeColor="text1"/>
          <w:sz w:val="32"/>
          <w:szCs w:val="32"/>
          <w:highlight w:val="none"/>
          <w:lang w:eastAsia="zh-CN" w:bidi="ar"/>
          <w14:textFill>
            <w14:solidFill>
              <w14:schemeClr w14:val="tx1"/>
            </w14:solidFill>
          </w14:textFill>
        </w:rPr>
        <w:t>，</w:t>
      </w:r>
      <w:r>
        <w:rPr>
          <w:rFonts w:hint="eastAsia" w:ascii="仿宋" w:hAnsi="仿宋" w:eastAsia="仿宋"/>
          <w:b w:val="0"/>
          <w:bCs w:val="0"/>
          <w:caps w:val="0"/>
          <w:color w:val="000000" w:themeColor="text1"/>
          <w:sz w:val="32"/>
          <w:szCs w:val="32"/>
          <w:highlight w:val="none"/>
          <w:lang w:val="en-US" w:eastAsia="zh-CN" w:bidi="ar"/>
          <w14:textFill>
            <w14:solidFill>
              <w14:schemeClr w14:val="tx1"/>
            </w14:solidFill>
          </w14:textFill>
        </w:rPr>
        <w:t>共计5天，人数为25人（不含现场查验人员）</w:t>
      </w:r>
    </w:p>
    <w:p w14:paraId="4FD7F397">
      <w:pPr>
        <w:pStyle w:val="2"/>
        <w:ind w:firstLine="640" w:firstLineChars="200"/>
        <w:rPr>
          <w:rFonts w:hint="eastAsia" w:ascii="仿宋" w:hAnsi="仿宋" w:eastAsia="仿宋"/>
          <w:b w:val="0"/>
          <w:bCs w:val="0"/>
          <w:caps w:val="0"/>
          <w:color w:val="000000" w:themeColor="text1"/>
          <w:sz w:val="32"/>
          <w:szCs w:val="32"/>
          <w:highlight w:val="none"/>
          <w:lang w:val="en-US" w:eastAsia="zh-CN" w:bidi="ar"/>
          <w14:textFill>
            <w14:solidFill>
              <w14:schemeClr w14:val="tx1"/>
            </w14:solidFill>
          </w14:textFill>
        </w:rPr>
      </w:pPr>
      <w:r>
        <w:rPr>
          <w:rFonts w:hint="eastAsia" w:ascii="仿宋" w:hAnsi="仿宋" w:eastAsia="仿宋"/>
          <w:b w:val="0"/>
          <w:bCs w:val="0"/>
          <w:caps w:val="0"/>
          <w:color w:val="000000" w:themeColor="text1"/>
          <w:sz w:val="32"/>
          <w:szCs w:val="32"/>
          <w:highlight w:val="none"/>
          <w:lang w:val="en-US" w:eastAsia="zh-CN" w:bidi="ar"/>
          <w14:textFill>
            <w14:solidFill>
              <w14:schemeClr w14:val="tx1"/>
            </w14:solidFill>
          </w14:textFill>
        </w:rPr>
        <w:t>交付陪验阶段：6月26日-6月30日（暂定、以甲方通知为准），共计5天，人数35人（不含现场查验人员）</w:t>
      </w:r>
    </w:p>
    <w:p w14:paraId="730D8403">
      <w:pPr>
        <w:pStyle w:val="2"/>
        <w:ind w:firstLine="640" w:firstLineChars="200"/>
        <w:rPr>
          <w:rFonts w:hint="eastAsia"/>
          <w:lang w:val="en-US" w:eastAsia="zh-CN"/>
        </w:rPr>
      </w:pPr>
      <w:r>
        <w:rPr>
          <w:rFonts w:hint="eastAsia" w:ascii="仿宋" w:hAnsi="仿宋" w:eastAsia="仿宋"/>
          <w:b w:val="0"/>
          <w:bCs w:val="0"/>
          <w:caps w:val="0"/>
          <w:color w:val="000000" w:themeColor="text1"/>
          <w:sz w:val="32"/>
          <w:szCs w:val="32"/>
          <w:highlight w:val="none"/>
          <w:lang w:val="en-US" w:eastAsia="zh-CN" w:bidi="ar"/>
          <w14:textFill>
            <w14:solidFill>
              <w14:schemeClr w14:val="tx1"/>
            </w14:solidFill>
          </w14:textFill>
        </w:rPr>
        <w:t>维保阶段：7月1日-7月31日，人数8人（含项目主管、查验组员）</w:t>
      </w:r>
    </w:p>
    <w:p w14:paraId="664FBD0A">
      <w:pPr>
        <w:keepNext w:val="0"/>
        <w:keepLines w:val="0"/>
        <w:widowControl w:val="0"/>
        <w:suppressLineNumbers w:val="0"/>
        <w:spacing w:line="500" w:lineRule="exact"/>
        <w:ind w:firstLine="640" w:firstLineChars="200"/>
        <w:jc w:val="left"/>
        <w:rPr>
          <w:rFonts w:hint="eastAsia" w:ascii="仿宋" w:hAnsi="仿宋" w:eastAsia="仿宋" w:cs="Times New Roman"/>
          <w:color w:val="auto"/>
          <w:kern w:val="2"/>
          <w:sz w:val="32"/>
          <w:szCs w:val="32"/>
          <w:highlight w:val="none"/>
          <w:lang w:val="en-US" w:eastAsia="zh-CN" w:bidi="ar"/>
        </w:rPr>
      </w:pPr>
      <w:r>
        <w:rPr>
          <w:rFonts w:hint="eastAsia" w:ascii="仿宋" w:hAnsi="仿宋" w:eastAsia="仿宋" w:cs="Times New Roman"/>
          <w:color w:val="auto"/>
          <w:kern w:val="2"/>
          <w:sz w:val="32"/>
          <w:szCs w:val="32"/>
          <w:highlight w:val="none"/>
          <w:lang w:val="en-US" w:eastAsia="zh-CN" w:bidi="ar"/>
        </w:rPr>
        <w:t>①配置标准：精装修每10000㎡（地上建筑面积）配置1人；</w:t>
      </w:r>
    </w:p>
    <w:p w14:paraId="418BF25B">
      <w:pPr>
        <w:keepNext w:val="0"/>
        <w:keepLines w:val="0"/>
        <w:widowControl w:val="0"/>
        <w:suppressLineNumbers w:val="0"/>
        <w:spacing w:line="500" w:lineRule="exact"/>
        <w:ind w:firstLine="640" w:firstLineChars="200"/>
        <w:jc w:val="left"/>
        <w:rPr>
          <w:rFonts w:hint="eastAsia" w:ascii="仿宋" w:hAnsi="仿宋" w:eastAsia="仿宋"/>
          <w:color w:val="auto"/>
          <w:sz w:val="32"/>
          <w:szCs w:val="32"/>
          <w:highlight w:val="none"/>
        </w:rPr>
      </w:pPr>
      <w:r>
        <w:rPr>
          <w:rFonts w:hint="eastAsia" w:ascii="仿宋" w:hAnsi="仿宋" w:eastAsia="仿宋" w:cs="Times New Roman"/>
          <w:color w:val="auto"/>
          <w:kern w:val="2"/>
          <w:sz w:val="32"/>
          <w:szCs w:val="32"/>
          <w:highlight w:val="none"/>
          <w:lang w:val="en-US" w:eastAsia="zh-CN" w:bidi="ar"/>
        </w:rPr>
        <w:t>②项目负责人必须有5年及以上工程相关工作经验，主管必须有2年及以上工程相关工作经验；其余查验组员需1年及以上工程相关工作经验。</w:t>
      </w:r>
    </w:p>
    <w:p w14:paraId="1443E8CD">
      <w:pPr>
        <w:pStyle w:val="9"/>
        <w:spacing w:line="500" w:lineRule="exact"/>
        <w:ind w:left="0" w:leftChars="0" w:firstLine="0" w:firstLineChars="0"/>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3、仪容仪表：</w:t>
      </w:r>
    </w:p>
    <w:p w14:paraId="3DF803C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1）着装要清洁整齐，上班要穿工衣，工衣要干净速齐，钮扣要齐全，并扣好，不可敞胸露怀，衣冠不正，工牌要佩带于左胸前，不能将衣袖、裤子卷起。</w:t>
      </w:r>
    </w:p>
    <w:p w14:paraId="2DE1024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仪容要大方，指甲要常修剪，不留长指甲，不涂有色的指甲油，发式要按公司规定要求，男士不留长发，发脚以不盖耳部及后衣领为宜，女士不留怪异发型，头发要梳洗正齐，不披头散发，前发不遮眼，后发不过肩，使用统一的发夹。</w:t>
      </w:r>
    </w:p>
    <w:p w14:paraId="6835024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3）注意个人卫生，爱护牙齿，男士坚持每天剃刮胡须，鼻毛不准出鼻孔，手要保持清洁，早晚要刷牙，饭后要漱口，勤洗澡防汗臭，上班前不吃异味食品及不喝含酒精的饮料。</w:t>
      </w:r>
    </w:p>
    <w:p w14:paraId="0DBC6CC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4、人员考勤：</w:t>
      </w:r>
    </w:p>
    <w:p w14:paraId="4E6899B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1）项目查验人员需每天8：00前使用微信号进行图片签到。</w:t>
      </w:r>
    </w:p>
    <w:p w14:paraId="16240C6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2）根据甲方开放日/集中交付活动时间安排，要求现场查验人员早上8点前到达活动地点。</w:t>
      </w:r>
    </w:p>
    <w:p w14:paraId="368D608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5、服务态度：</w:t>
      </w:r>
    </w:p>
    <w:p w14:paraId="603A36A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1）乙方根据现场工作需要，服从甲方安排一切相关的工作安排。</w:t>
      </w:r>
    </w:p>
    <w:p w14:paraId="587627E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2）乙方在现场需坚持质量不松懈的立场。</w:t>
      </w:r>
    </w:p>
    <w:p w14:paraId="185AA5F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3）坦诚待客，不卑不亢，给人以真诚感，色坦然、轻松、自信。</w:t>
      </w:r>
    </w:p>
    <w:p w14:paraId="06A7D32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4）面带微笑，和颜悦色，给人以亲切感，聚精会神、注意倾听、给人以受尊重之感。</w:t>
      </w:r>
    </w:p>
    <w:p w14:paraId="1A8F1E9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lang w:val="en-US" w:eastAsia="zh-CN"/>
        </w:rPr>
        <w:t>四、现</w:t>
      </w:r>
      <w:r>
        <w:rPr>
          <w:rFonts w:hint="eastAsia" w:ascii="仿宋" w:hAnsi="仿宋" w:eastAsia="仿宋"/>
          <w:b/>
          <w:bCs/>
          <w:color w:val="auto"/>
          <w:sz w:val="32"/>
          <w:szCs w:val="32"/>
          <w:highlight w:val="none"/>
        </w:rPr>
        <w:t>场踏勘：</w:t>
      </w:r>
    </w:p>
    <w:p w14:paraId="1DD83E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投标人自行考察，包括对投标区域周边情况的了解，踏勘现场所发生的费用由投标人承担；</w:t>
      </w:r>
    </w:p>
    <w:p w14:paraId="720D45A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经招标人允许和事先安排，投标人及其代表方能进入考察的现场。但</w:t>
      </w:r>
      <w:r>
        <w:rPr>
          <w:rFonts w:hint="eastAsia" w:ascii="仿宋" w:hAnsi="仿宋" w:eastAsia="仿宋"/>
          <w:color w:val="auto"/>
          <w:sz w:val="32"/>
          <w:szCs w:val="32"/>
          <w:highlight w:val="none"/>
          <w:lang w:val="en-US" w:eastAsia="zh-CN"/>
        </w:rPr>
        <w:t>招标人对</w:t>
      </w:r>
      <w:r>
        <w:rPr>
          <w:rFonts w:hint="eastAsia" w:ascii="仿宋" w:hAnsi="仿宋" w:eastAsia="仿宋"/>
          <w:color w:val="auto"/>
          <w:sz w:val="32"/>
          <w:szCs w:val="32"/>
          <w:highlight w:val="none"/>
        </w:rPr>
        <w:t>投标人及其代表</w:t>
      </w:r>
      <w:r>
        <w:rPr>
          <w:rFonts w:hint="eastAsia" w:ascii="仿宋" w:hAnsi="仿宋" w:eastAsia="仿宋"/>
          <w:color w:val="auto"/>
          <w:sz w:val="32"/>
          <w:szCs w:val="32"/>
          <w:highlight w:val="none"/>
          <w:lang w:val="en-US" w:eastAsia="zh-CN"/>
        </w:rPr>
        <w:t>在</w:t>
      </w:r>
      <w:r>
        <w:rPr>
          <w:rFonts w:hint="eastAsia" w:ascii="仿宋" w:hAnsi="仿宋" w:eastAsia="仿宋"/>
          <w:color w:val="auto"/>
          <w:sz w:val="32"/>
          <w:szCs w:val="32"/>
          <w:highlight w:val="none"/>
        </w:rPr>
        <w:t>考察中</w:t>
      </w:r>
      <w:r>
        <w:rPr>
          <w:rFonts w:hint="eastAsia" w:ascii="仿宋" w:hAnsi="仿宋" w:eastAsia="仿宋"/>
          <w:color w:val="auto"/>
          <w:sz w:val="32"/>
          <w:szCs w:val="32"/>
          <w:highlight w:val="none"/>
          <w:lang w:val="en-US" w:eastAsia="zh-CN"/>
        </w:rPr>
        <w:t>发生的损害不</w:t>
      </w:r>
      <w:r>
        <w:rPr>
          <w:rFonts w:hint="eastAsia" w:ascii="仿宋" w:hAnsi="仿宋" w:eastAsia="仿宋"/>
          <w:color w:val="auto"/>
          <w:sz w:val="32"/>
          <w:szCs w:val="32"/>
          <w:highlight w:val="none"/>
        </w:rPr>
        <w:t>负任何责任。投标人</w:t>
      </w:r>
      <w:r>
        <w:rPr>
          <w:rFonts w:hint="eastAsia" w:ascii="仿宋" w:hAnsi="仿宋" w:eastAsia="仿宋"/>
          <w:color w:val="auto"/>
          <w:sz w:val="32"/>
          <w:szCs w:val="32"/>
          <w:highlight w:val="none"/>
          <w:lang w:val="en-US" w:eastAsia="zh-CN"/>
        </w:rPr>
        <w:t>须自行</w:t>
      </w:r>
      <w:r>
        <w:rPr>
          <w:rFonts w:hint="eastAsia" w:ascii="仿宋" w:hAnsi="仿宋" w:eastAsia="仿宋"/>
          <w:color w:val="auto"/>
          <w:sz w:val="32"/>
          <w:szCs w:val="32"/>
          <w:highlight w:val="none"/>
        </w:rPr>
        <w:t>承担进入现场后</w:t>
      </w:r>
      <w:r>
        <w:rPr>
          <w:rFonts w:hint="eastAsia" w:ascii="仿宋" w:hAnsi="仿宋" w:eastAsia="仿宋"/>
          <w:color w:val="auto"/>
          <w:sz w:val="32"/>
          <w:szCs w:val="32"/>
          <w:highlight w:val="none"/>
          <w:lang w:val="en-US" w:eastAsia="zh-CN"/>
        </w:rPr>
        <w:t>自身在考察过程中遭受的人身或财产损害</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或</w:t>
      </w:r>
      <w:r>
        <w:rPr>
          <w:rFonts w:hint="eastAsia" w:ascii="仿宋" w:hAnsi="仿宋" w:eastAsia="仿宋"/>
          <w:color w:val="auto"/>
          <w:sz w:val="32"/>
          <w:szCs w:val="32"/>
          <w:highlight w:val="none"/>
        </w:rPr>
        <w:t>由于</w:t>
      </w:r>
      <w:r>
        <w:rPr>
          <w:rFonts w:hint="eastAsia" w:ascii="仿宋" w:hAnsi="仿宋" w:eastAsia="仿宋"/>
          <w:color w:val="auto"/>
          <w:sz w:val="32"/>
          <w:szCs w:val="32"/>
          <w:highlight w:val="none"/>
          <w:lang w:val="en-US" w:eastAsia="zh-CN"/>
        </w:rPr>
        <w:t>投标人或及其代表的</w:t>
      </w:r>
      <w:r>
        <w:rPr>
          <w:rFonts w:hint="eastAsia" w:ascii="仿宋" w:hAnsi="仿宋" w:eastAsia="仿宋"/>
          <w:color w:val="auto"/>
          <w:sz w:val="32"/>
          <w:szCs w:val="32"/>
          <w:highlight w:val="none"/>
        </w:rPr>
        <w:t>行为所造成的</w:t>
      </w:r>
      <w:r>
        <w:rPr>
          <w:rFonts w:hint="eastAsia" w:ascii="仿宋" w:hAnsi="仿宋" w:eastAsia="仿宋"/>
          <w:color w:val="auto"/>
          <w:sz w:val="32"/>
          <w:szCs w:val="32"/>
          <w:highlight w:val="none"/>
          <w:lang w:val="en-US" w:eastAsia="zh-CN"/>
        </w:rPr>
        <w:t>他</w:t>
      </w:r>
      <w:r>
        <w:rPr>
          <w:rFonts w:hint="eastAsia" w:ascii="仿宋" w:hAnsi="仿宋" w:eastAsia="仿宋"/>
          <w:color w:val="auto"/>
          <w:sz w:val="32"/>
          <w:szCs w:val="32"/>
          <w:highlight w:val="none"/>
        </w:rPr>
        <w:t>人</w:t>
      </w:r>
      <w:r>
        <w:rPr>
          <w:rFonts w:hint="eastAsia" w:ascii="仿宋" w:hAnsi="仿宋" w:eastAsia="仿宋"/>
          <w:color w:val="auto"/>
          <w:sz w:val="32"/>
          <w:szCs w:val="32"/>
          <w:highlight w:val="none"/>
          <w:lang w:val="en-US" w:eastAsia="zh-CN"/>
        </w:rPr>
        <w:t>人</w:t>
      </w:r>
      <w:r>
        <w:rPr>
          <w:rFonts w:hint="eastAsia" w:ascii="仿宋" w:hAnsi="仿宋" w:eastAsia="仿宋"/>
          <w:color w:val="auto"/>
          <w:sz w:val="32"/>
          <w:szCs w:val="32"/>
          <w:highlight w:val="none"/>
        </w:rPr>
        <w:t>身伤害（不管是否致命）、财产损失或损坏，以及其他任何原因造成的损失、损坏或费用；</w:t>
      </w:r>
    </w:p>
    <w:p w14:paraId="5D31DDE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投标人应按本表所述时间和要求对工程现场及周围环境进行踏勘，投标人应充分重视和仔细地进行考察，以便投标人获取那些须投标人自己负责的有关编制投标文件和签署合同所涉及现场所有的资料。一旦中标，这种考察即被认为其结果已在中标文件中得到充分反映；</w:t>
      </w:r>
    </w:p>
    <w:p w14:paraId="554C0FD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招标人向投标人提供的有关现场的数据和资料，是招标人现有的能被投标人利用的资料，招标人对投标人做出的任何推论、理解和结论均不负责任。</w:t>
      </w:r>
    </w:p>
    <w:p w14:paraId="4E557B62">
      <w:pPr>
        <w:pStyle w:val="24"/>
        <w:spacing w:line="500" w:lineRule="exact"/>
        <w:rPr>
          <w:rFonts w:hint="eastAsia"/>
          <w:color w:val="auto"/>
          <w:highlight w:val="none"/>
        </w:rPr>
      </w:pPr>
    </w:p>
    <w:p w14:paraId="1AFAD5E9">
      <w:pPr>
        <w:keepNext w:val="0"/>
        <w:keepLines w:val="0"/>
        <w:spacing w:before="0" w:after="0" w:line="500" w:lineRule="exact"/>
        <w:jc w:val="both"/>
        <w:outlineLvl w:val="9"/>
        <w:rPr>
          <w:rFonts w:hint="default" w:ascii="仿宋" w:hAnsi="仿宋" w:eastAsia="仿宋" w:cs="Times New Roman"/>
          <w:b w:val="0"/>
          <w:bCs w:val="0"/>
          <w:color w:val="auto"/>
          <w:kern w:val="2"/>
          <w:sz w:val="32"/>
          <w:szCs w:val="24"/>
          <w:highlight w:val="none"/>
          <w:lang w:val="en-US" w:eastAsia="zh-CN" w:bidi="ar-SA"/>
        </w:rPr>
      </w:pPr>
      <w:bookmarkStart w:id="529" w:name="_Toc29621"/>
      <w:r>
        <w:rPr>
          <w:rFonts w:hint="eastAsia" w:ascii="仿宋" w:hAnsi="仿宋" w:eastAsia="仿宋" w:cs="Times New Roman"/>
          <w:b w:val="0"/>
          <w:bCs w:val="0"/>
          <w:color w:val="auto"/>
          <w:kern w:val="2"/>
          <w:sz w:val="32"/>
          <w:szCs w:val="24"/>
          <w:highlight w:val="none"/>
          <w:lang w:val="en-US" w:eastAsia="zh-CN" w:bidi="ar-SA"/>
        </w:rPr>
        <w:t>现场勘察联系人：</w:t>
      </w:r>
      <w:bookmarkEnd w:id="529"/>
      <w:r>
        <w:rPr>
          <w:rFonts w:hint="eastAsia" w:ascii="仿宋" w:hAnsi="仿宋" w:eastAsia="仿宋" w:cs="Times New Roman"/>
          <w:b w:val="0"/>
          <w:bCs w:val="0"/>
          <w:color w:val="auto"/>
          <w:kern w:val="2"/>
          <w:sz w:val="32"/>
          <w:szCs w:val="24"/>
          <w:highlight w:val="none"/>
          <w:lang w:val="en-US" w:eastAsia="zh-CN" w:bidi="ar-SA"/>
        </w:rPr>
        <w:t>邓先生</w:t>
      </w:r>
    </w:p>
    <w:p w14:paraId="04AB3C1D">
      <w:pPr>
        <w:spacing w:line="500" w:lineRule="exact"/>
        <w:rPr>
          <w:rFonts w:hint="eastAsia" w:ascii="仿宋" w:hAnsi="仿宋" w:eastAsia="仿宋"/>
          <w:color w:val="auto"/>
          <w:sz w:val="32"/>
          <w:highlight w:val="none"/>
        </w:rPr>
      </w:pPr>
      <w:r>
        <w:rPr>
          <w:rFonts w:hint="eastAsia" w:ascii="仿宋" w:hAnsi="仿宋" w:eastAsia="仿宋"/>
          <w:color w:val="auto"/>
          <w:sz w:val="32"/>
          <w:highlight w:val="none"/>
          <w:lang w:val="en-US" w:eastAsia="zh-CN"/>
        </w:rPr>
        <w:t>联系方式：</w:t>
      </w:r>
      <w:r>
        <w:rPr>
          <w:rFonts w:hint="eastAsia" w:ascii="仿宋" w:hAnsi="仿宋" w:eastAsia="仿宋" w:cs="Times New Roman"/>
          <w:color w:val="auto"/>
          <w:sz w:val="32"/>
          <w:szCs w:val="24"/>
          <w:highlight w:val="none"/>
        </w:rPr>
        <w:t>15881055475</w:t>
      </w:r>
    </w:p>
    <w:p w14:paraId="4290B0A0">
      <w:pPr>
        <w:spacing w:line="500" w:lineRule="exact"/>
        <w:rPr>
          <w:rFonts w:hint="eastAsia" w:ascii="仿宋" w:hAnsi="仿宋" w:eastAsia="仿宋"/>
          <w:color w:val="auto"/>
          <w:sz w:val="32"/>
          <w:highlight w:val="none"/>
        </w:rPr>
      </w:pPr>
      <w:bookmarkStart w:id="530" w:name="_Toc19933"/>
      <w:bookmarkStart w:id="531" w:name="_Toc3865"/>
      <w:bookmarkStart w:id="532" w:name="_Toc32745"/>
      <w:bookmarkStart w:id="533" w:name="_Toc2013"/>
      <w:bookmarkStart w:id="534" w:name="_Toc27387"/>
      <w:bookmarkStart w:id="535" w:name="_Toc29029"/>
      <w:bookmarkStart w:id="536" w:name="_Toc8104"/>
    </w:p>
    <w:p w14:paraId="04DB1FA3">
      <w:pPr>
        <w:pStyle w:val="4"/>
        <w:keepNext w:val="0"/>
        <w:keepLines w:val="0"/>
        <w:spacing w:before="0" w:after="0" w:line="500" w:lineRule="exact"/>
        <w:jc w:val="center"/>
        <w:rPr>
          <w:rFonts w:ascii="仿宋" w:hAnsi="仿宋" w:eastAsia="仿宋"/>
          <w:color w:val="auto"/>
          <w:sz w:val="32"/>
          <w:highlight w:val="none"/>
        </w:rPr>
      </w:pPr>
      <w:bookmarkStart w:id="537" w:name="_Toc25509"/>
      <w:bookmarkStart w:id="538" w:name="_Toc6681"/>
      <w:bookmarkStart w:id="539" w:name="_Toc8443"/>
      <w:bookmarkStart w:id="540" w:name="_Toc8508"/>
      <w:bookmarkStart w:id="541" w:name="_Toc23463"/>
      <w:bookmarkStart w:id="542" w:name="_Toc25015"/>
      <w:r>
        <w:rPr>
          <w:rFonts w:hint="eastAsia" w:ascii="仿宋" w:hAnsi="仿宋" w:eastAsia="仿宋"/>
          <w:color w:val="auto"/>
          <w:sz w:val="32"/>
          <w:highlight w:val="none"/>
        </w:rPr>
        <w:t>第二节 商务技术响应要求</w:t>
      </w:r>
      <w:bookmarkEnd w:id="528"/>
      <w:bookmarkEnd w:id="530"/>
      <w:bookmarkEnd w:id="531"/>
      <w:bookmarkEnd w:id="532"/>
      <w:bookmarkEnd w:id="533"/>
      <w:bookmarkEnd w:id="534"/>
      <w:bookmarkEnd w:id="535"/>
      <w:bookmarkEnd w:id="536"/>
      <w:bookmarkEnd w:id="537"/>
      <w:bookmarkEnd w:id="538"/>
      <w:bookmarkEnd w:id="539"/>
      <w:bookmarkEnd w:id="540"/>
      <w:bookmarkEnd w:id="541"/>
      <w:bookmarkEnd w:id="542"/>
    </w:p>
    <w:p w14:paraId="4ECF9E4B">
      <w:pPr>
        <w:spacing w:line="500" w:lineRule="exact"/>
        <w:rPr>
          <w:rFonts w:ascii="仿宋" w:hAnsi="仿宋" w:eastAsia="仿宋"/>
          <w:b/>
          <w:color w:val="auto"/>
          <w:sz w:val="32"/>
          <w:szCs w:val="32"/>
          <w:highlight w:val="none"/>
        </w:rPr>
      </w:pPr>
      <w:r>
        <w:rPr>
          <w:rFonts w:hint="eastAsia" w:ascii="仿宋" w:hAnsi="仿宋" w:eastAsia="仿宋"/>
          <w:b/>
          <w:color w:val="auto"/>
          <w:sz w:val="32"/>
          <w:szCs w:val="32"/>
          <w:highlight w:val="none"/>
        </w:rPr>
        <w:t>一、商务要求</w:t>
      </w:r>
    </w:p>
    <w:p w14:paraId="4A9B2499">
      <w:pPr>
        <w:widowControl w:val="0"/>
        <w:adjustRightInd/>
        <w:snapToGrid/>
        <w:spacing w:before="0" w:beforeLines="-2147483648" w:after="0" w:afterLines="-2147483648" w:line="500" w:lineRule="exact"/>
        <w:ind w:firstLine="320" w:firstLineChars="100"/>
        <w:rPr>
          <w:rFonts w:ascii="仿宋" w:hAnsi="仿宋" w:eastAsia="仿宋"/>
          <w:color w:val="auto"/>
          <w:sz w:val="32"/>
          <w:szCs w:val="32"/>
          <w:highlight w:val="none"/>
        </w:rPr>
      </w:pPr>
      <w:r>
        <w:rPr>
          <w:rFonts w:hint="eastAsia" w:ascii="仿宋" w:hAnsi="仿宋" w:eastAsia="仿宋" w:cs="仿宋"/>
          <w:color w:val="auto"/>
          <w:kern w:val="2"/>
          <w:sz w:val="32"/>
          <w:szCs w:val="32"/>
          <w:highlight w:val="none"/>
          <w:lang w:val="en-US" w:eastAsia="zh-CN" w:bidi="ar"/>
        </w:rPr>
        <w:t>★</w:t>
      </w:r>
      <w:r>
        <w:rPr>
          <w:rFonts w:ascii="仿宋" w:hAnsi="仿宋" w:eastAsia="仿宋"/>
          <w:color w:val="auto"/>
          <w:sz w:val="32"/>
          <w:szCs w:val="32"/>
          <w:highlight w:val="none"/>
        </w:rPr>
        <w:t>1、</w:t>
      </w:r>
      <w:r>
        <w:rPr>
          <w:rFonts w:hint="eastAsia" w:ascii="仿宋" w:hAnsi="仿宋" w:eastAsia="仿宋" w:cs="仿宋"/>
          <w:b w:val="0"/>
          <w:bCs/>
          <w:color w:val="auto"/>
          <w:spacing w:val="0"/>
          <w:kern w:val="2"/>
          <w:sz w:val="32"/>
          <w:szCs w:val="32"/>
          <w:highlight w:val="none"/>
          <w:lang w:bidi="ar"/>
        </w:rPr>
        <w:t>投标人</w:t>
      </w:r>
      <w:r>
        <w:rPr>
          <w:rFonts w:hint="eastAsia" w:ascii="仿宋" w:hAnsi="仿宋" w:eastAsia="仿宋" w:cs="仿宋"/>
          <w:b w:val="0"/>
          <w:bCs/>
          <w:color w:val="auto"/>
          <w:spacing w:val="0"/>
          <w:kern w:val="2"/>
          <w:sz w:val="32"/>
          <w:szCs w:val="32"/>
          <w:highlight w:val="none"/>
          <w:lang w:val="en-US" w:eastAsia="zh-CN" w:bidi="ar"/>
        </w:rPr>
        <w:t>应具有独立法人资格，</w:t>
      </w:r>
      <w:r>
        <w:rPr>
          <w:rFonts w:hint="eastAsia" w:ascii="仿宋" w:hAnsi="仿宋" w:eastAsia="仿宋" w:cs="仿宋"/>
          <w:b w:val="0"/>
          <w:bCs/>
          <w:color w:val="auto"/>
          <w:spacing w:val="0"/>
          <w:kern w:val="2"/>
          <w:sz w:val="32"/>
          <w:szCs w:val="32"/>
          <w:highlight w:val="none"/>
          <w:lang w:bidi="ar"/>
        </w:rPr>
        <w:t>具有独立承担民事责任的能力，并具备参加招投标、政府采购活动的合法条件。投标人必须提供</w:t>
      </w:r>
      <w:r>
        <w:rPr>
          <w:rFonts w:hint="eastAsia" w:ascii="仿宋" w:hAnsi="仿宋" w:eastAsia="仿宋" w:cs="仿宋"/>
          <w:b w:val="0"/>
          <w:bCs/>
          <w:color w:val="auto"/>
          <w:spacing w:val="0"/>
          <w:kern w:val="2"/>
          <w:sz w:val="32"/>
          <w:szCs w:val="32"/>
          <w:highlight w:val="none"/>
          <w:lang w:val="en-US" w:eastAsia="zh-CN" w:bidi="ar"/>
        </w:rPr>
        <w:t>有效的</w:t>
      </w:r>
      <w:r>
        <w:rPr>
          <w:rFonts w:hint="eastAsia" w:ascii="仿宋" w:hAnsi="仿宋" w:eastAsia="仿宋" w:cs="仿宋"/>
          <w:b w:val="0"/>
          <w:bCs/>
          <w:color w:val="auto"/>
          <w:spacing w:val="0"/>
          <w:kern w:val="2"/>
          <w:sz w:val="32"/>
          <w:szCs w:val="32"/>
          <w:highlight w:val="none"/>
          <w:lang w:bidi="ar"/>
        </w:rPr>
        <w:t>企业法人营业执照复印件。</w:t>
      </w:r>
    </w:p>
    <w:p w14:paraId="37D84982">
      <w:pPr>
        <w:widowControl/>
        <w:adjustRightInd w:val="0"/>
        <w:snapToGrid w:val="0"/>
        <w:spacing w:before="60" w:beforeLines="25" w:after="60" w:afterLines="25" w:line="5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2、投标人</w:t>
      </w:r>
      <w:r>
        <w:rPr>
          <w:rFonts w:hint="eastAsia" w:ascii="仿宋" w:hAnsi="仿宋" w:eastAsia="仿宋"/>
          <w:color w:val="auto"/>
          <w:sz w:val="32"/>
          <w:szCs w:val="32"/>
          <w:highlight w:val="none"/>
        </w:rPr>
        <w:t>授</w:t>
      </w:r>
      <w:r>
        <w:rPr>
          <w:rFonts w:ascii="仿宋" w:hAnsi="仿宋" w:eastAsia="仿宋"/>
          <w:color w:val="auto"/>
          <w:sz w:val="32"/>
          <w:szCs w:val="32"/>
          <w:highlight w:val="none"/>
        </w:rPr>
        <w:t>权代表若不是企业法定代表人，应提供法人授权书原件，并提供被授权代表身份证复印件。</w:t>
      </w:r>
    </w:p>
    <w:p w14:paraId="02EA21D7">
      <w:pPr>
        <w:spacing w:line="500" w:lineRule="exact"/>
        <w:ind w:firstLine="320" w:firstLineChars="100"/>
        <w:rPr>
          <w:rFonts w:ascii="仿宋" w:hAnsi="仿宋" w:eastAsia="仿宋"/>
          <w:color w:val="auto"/>
          <w:sz w:val="32"/>
          <w:szCs w:val="32"/>
          <w:highlight w:val="none"/>
        </w:rPr>
      </w:pP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olor w:val="auto"/>
          <w:sz w:val="32"/>
          <w:szCs w:val="32"/>
          <w:highlight w:val="none"/>
        </w:rPr>
        <w:t>3、</w:t>
      </w:r>
      <w:r>
        <w:rPr>
          <w:rFonts w:hint="eastAsia" w:ascii="仿宋" w:hAnsi="仿宋" w:eastAsia="仿宋"/>
          <w:color w:val="auto"/>
          <w:sz w:val="32"/>
          <w:szCs w:val="32"/>
          <w:highlight w:val="none"/>
          <w:lang w:eastAsia="zh-CN"/>
        </w:rPr>
        <w:t>投标人须提供自20</w:t>
      </w:r>
      <w:r>
        <w:rPr>
          <w:rFonts w:hint="eastAsia" w:ascii="仿宋" w:hAnsi="仿宋" w:eastAsia="仿宋"/>
          <w:color w:val="auto"/>
          <w:sz w:val="32"/>
          <w:szCs w:val="32"/>
          <w:highlight w:val="none"/>
          <w:lang w:val="en-US" w:eastAsia="zh-CN"/>
        </w:rPr>
        <w:t>22年1月1日至今不少于3个第三方房屋质量查验、交付陪验及维保服务业绩的有效证明，并提供合同或验收报告复印件（原件备查）有效证明材料。</w:t>
      </w:r>
    </w:p>
    <w:p w14:paraId="2E7CCC52">
      <w:pPr>
        <w:widowControl/>
        <w:adjustRightInd w:val="0"/>
        <w:snapToGrid w:val="0"/>
        <w:spacing w:before="60" w:beforeLines="25" w:after="60" w:afterLines="25"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二、技术要求</w:t>
      </w:r>
    </w:p>
    <w:p w14:paraId="1ED9B4ED">
      <w:pPr>
        <w:widowControl/>
        <w:adjustRightInd w:val="0"/>
        <w:snapToGrid w:val="0"/>
        <w:spacing w:before="60" w:beforeLines="25" w:after="60" w:afterLines="25" w:line="500" w:lineRule="exact"/>
        <w:ind w:firstLine="320" w:firstLineChars="100"/>
        <w:rPr>
          <w:rFonts w:ascii="仿宋" w:hAnsi="仿宋" w:eastAsia="仿宋"/>
          <w:b w:val="0"/>
          <w:bCs w:val="0"/>
          <w:color w:val="auto"/>
          <w:sz w:val="32"/>
          <w:szCs w:val="32"/>
          <w:highlight w:val="none"/>
        </w:rPr>
      </w:pP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b w:val="0"/>
          <w:bCs w:val="0"/>
          <w:color w:val="auto"/>
          <w:kern w:val="2"/>
          <w:sz w:val="32"/>
          <w:szCs w:val="32"/>
          <w:highlight w:val="none"/>
          <w:lang w:val="en-US" w:eastAsia="zh-CN" w:bidi="ar"/>
        </w:rPr>
        <w:t>1、</w:t>
      </w:r>
      <w:r>
        <w:rPr>
          <w:rFonts w:hint="eastAsia" w:ascii="仿宋" w:hAnsi="仿宋" w:eastAsia="仿宋" w:cs="仿宋"/>
          <w:b w:val="0"/>
          <w:bCs w:val="0"/>
          <w:color w:val="auto"/>
          <w:sz w:val="32"/>
          <w:szCs w:val="32"/>
        </w:rPr>
        <w:t>投标人应根据本项目的特点，提供工作计划，并承诺其工作计划将根据招标人的实际需要进行完善和补充，在工作内容不改变的情况下不得追加任何费用，且招标人不再支付因投标人方案不完整而引起的费用。投标人在投标文件中应做出书面承诺。</w:t>
      </w:r>
    </w:p>
    <w:p w14:paraId="75AE03ED">
      <w:pPr>
        <w:widowControl/>
        <w:adjustRightInd w:val="0"/>
        <w:snapToGrid w:val="0"/>
        <w:spacing w:before="60" w:beforeLines="25" w:after="60" w:afterLines="25"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w:t>
      </w:r>
      <w:r>
        <w:rPr>
          <w:rFonts w:ascii="仿宋" w:hAnsi="仿宋" w:eastAsia="仿宋"/>
          <w:color w:val="auto"/>
          <w:sz w:val="32"/>
          <w:szCs w:val="32"/>
          <w:highlight w:val="none"/>
        </w:rPr>
        <w:t>投标人应在投标文件中对项目工作所需时间，工作内容、进度安排以及售后服务承诺</w:t>
      </w:r>
      <w:r>
        <w:rPr>
          <w:rFonts w:hint="eastAsia" w:ascii="仿宋" w:hAnsi="仿宋" w:eastAsia="仿宋"/>
          <w:color w:val="auto"/>
          <w:sz w:val="32"/>
          <w:szCs w:val="32"/>
          <w:highlight w:val="none"/>
        </w:rPr>
        <w:t>情况进行详细的书面说明及承诺。</w:t>
      </w:r>
    </w:p>
    <w:p w14:paraId="71056383">
      <w:pPr>
        <w:widowControl/>
        <w:adjustRightInd w:val="0"/>
        <w:snapToGrid w:val="0"/>
        <w:spacing w:before="60" w:beforeLines="25" w:after="60" w:afterLines="25"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若中标后未履行相关承诺，招标人有权扣除</w:t>
      </w:r>
      <w:r>
        <w:rPr>
          <w:rFonts w:hint="eastAsia" w:ascii="仿宋" w:hAnsi="仿宋" w:eastAsia="仿宋"/>
          <w:b/>
          <w:color w:val="auto"/>
          <w:sz w:val="32"/>
          <w:szCs w:val="32"/>
          <w:highlight w:val="none"/>
          <w:lang w:val="en-US" w:eastAsia="zh-CN"/>
        </w:rPr>
        <w:t>履约</w:t>
      </w:r>
      <w:r>
        <w:rPr>
          <w:rFonts w:hint="eastAsia" w:ascii="仿宋" w:hAnsi="仿宋" w:eastAsia="仿宋"/>
          <w:b/>
          <w:color w:val="auto"/>
          <w:sz w:val="32"/>
          <w:szCs w:val="32"/>
          <w:highlight w:val="none"/>
        </w:rPr>
        <w:t>保证金和其他款项</w:t>
      </w:r>
    </w:p>
    <w:p w14:paraId="0A529FF6">
      <w:pPr>
        <w:pStyle w:val="24"/>
        <w:keepNext w:val="0"/>
        <w:keepLines w:val="0"/>
        <w:pageBreakBefore w:val="0"/>
        <w:widowControl w:val="0"/>
        <w:kinsoku/>
        <w:wordWrap/>
        <w:overflowPunct/>
        <w:topLinePunct w:val="0"/>
        <w:autoSpaceDE/>
        <w:autoSpaceDN/>
        <w:bidi w:val="0"/>
        <w:adjustRightInd/>
        <w:snapToGrid/>
        <w:spacing w:line="500" w:lineRule="exact"/>
        <w:ind w:firstLine="680" w:firstLineChars="200"/>
        <w:textAlignment w:val="auto"/>
        <w:rPr>
          <w:rFonts w:hint="eastAsia" w:ascii="仿宋" w:hAnsi="仿宋" w:eastAsia="仿宋" w:cs="Times New Roman"/>
          <w:bCs w:val="0"/>
          <w:color w:val="auto"/>
          <w:spacing w:val="0"/>
          <w:kern w:val="2"/>
          <w:sz w:val="32"/>
          <w:szCs w:val="32"/>
          <w:highlight w:val="none"/>
          <w:lang w:val="en-US" w:eastAsia="zh-CN" w:bidi="ar-SA"/>
        </w:rPr>
      </w:pP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w:t>
      </w:r>
      <w:r>
        <w:rPr>
          <w:rFonts w:hint="default" w:ascii="仿宋" w:hAnsi="仿宋" w:eastAsia="仿宋" w:cs="Times New Roman"/>
          <w:bCs w:val="0"/>
          <w:color w:val="auto"/>
          <w:spacing w:val="0"/>
          <w:kern w:val="2"/>
          <w:sz w:val="32"/>
          <w:szCs w:val="32"/>
          <w:highlight w:val="none"/>
          <w:lang w:val="en-US" w:eastAsia="zh-CN" w:bidi="ar-SA"/>
        </w:rPr>
        <w:t>投标人</w:t>
      </w:r>
      <w:r>
        <w:rPr>
          <w:rFonts w:hint="eastAsia" w:ascii="仿宋" w:hAnsi="仿宋" w:eastAsia="仿宋" w:cs="Times New Roman"/>
          <w:bCs w:val="0"/>
          <w:color w:val="auto"/>
          <w:spacing w:val="0"/>
          <w:kern w:val="2"/>
          <w:sz w:val="32"/>
          <w:szCs w:val="32"/>
          <w:highlight w:val="none"/>
          <w:lang w:val="en-US" w:eastAsia="zh-CN" w:bidi="ar-SA"/>
        </w:rPr>
        <w:t>须具备模拟验收相</w:t>
      </w:r>
      <w:r>
        <w:rPr>
          <w:rFonts w:hint="default" w:ascii="仿宋" w:hAnsi="仿宋" w:eastAsia="仿宋" w:cs="Times New Roman"/>
          <w:bCs w:val="0"/>
          <w:color w:val="auto"/>
          <w:spacing w:val="0"/>
          <w:kern w:val="2"/>
          <w:sz w:val="32"/>
          <w:szCs w:val="32"/>
          <w:highlight w:val="none"/>
          <w:lang w:val="en-US" w:eastAsia="zh-CN" w:bidi="ar-SA"/>
        </w:rPr>
        <w:t>应的资质、</w:t>
      </w:r>
      <w:r>
        <w:rPr>
          <w:rFonts w:hint="eastAsia" w:ascii="仿宋" w:hAnsi="仿宋" w:eastAsia="仿宋" w:cs="Times New Roman"/>
          <w:bCs w:val="0"/>
          <w:color w:val="auto"/>
          <w:spacing w:val="0"/>
          <w:kern w:val="2"/>
          <w:sz w:val="32"/>
          <w:szCs w:val="32"/>
          <w:highlight w:val="none"/>
          <w:lang w:val="en-US" w:eastAsia="zh-CN" w:bidi="ar-SA"/>
        </w:rPr>
        <w:t>查验</w:t>
      </w:r>
      <w:r>
        <w:rPr>
          <w:rFonts w:hint="default" w:ascii="仿宋" w:hAnsi="仿宋" w:eastAsia="仿宋" w:cs="Times New Roman"/>
          <w:bCs w:val="0"/>
          <w:color w:val="auto"/>
          <w:spacing w:val="0"/>
          <w:kern w:val="2"/>
          <w:sz w:val="32"/>
          <w:szCs w:val="32"/>
          <w:highlight w:val="none"/>
          <w:lang w:val="en-US" w:eastAsia="zh-CN" w:bidi="ar-SA"/>
        </w:rPr>
        <w:t>工具，</w:t>
      </w:r>
      <w:r>
        <w:rPr>
          <w:rFonts w:hint="eastAsia" w:ascii="仿宋" w:hAnsi="仿宋" w:eastAsia="仿宋" w:cs="Times New Roman"/>
          <w:bCs w:val="0"/>
          <w:color w:val="auto"/>
          <w:spacing w:val="0"/>
          <w:kern w:val="2"/>
          <w:sz w:val="32"/>
          <w:szCs w:val="32"/>
          <w:highlight w:val="none"/>
          <w:lang w:val="en-US" w:eastAsia="zh-CN" w:bidi="ar-SA"/>
        </w:rPr>
        <w:t>查验</w:t>
      </w:r>
      <w:r>
        <w:rPr>
          <w:rFonts w:hint="default" w:ascii="仿宋" w:hAnsi="仿宋" w:eastAsia="仿宋" w:cs="Times New Roman"/>
          <w:bCs w:val="0"/>
          <w:color w:val="auto"/>
          <w:spacing w:val="0"/>
          <w:kern w:val="2"/>
          <w:sz w:val="32"/>
          <w:szCs w:val="32"/>
          <w:highlight w:val="none"/>
          <w:lang w:val="en-US" w:eastAsia="zh-CN" w:bidi="ar-SA"/>
        </w:rPr>
        <w:t>人员并已按国家有关规定缴纳相关保险费用。</w:t>
      </w:r>
    </w:p>
    <w:p w14:paraId="24082DD6">
      <w:pPr>
        <w:widowControl/>
        <w:adjustRightInd w:val="0"/>
        <w:snapToGrid w:val="0"/>
        <w:spacing w:before="60" w:beforeLines="25" w:after="60" w:afterLines="25" w:line="5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、投标人应有类似本项目</w:t>
      </w:r>
      <w:r>
        <w:rPr>
          <w:rFonts w:hint="eastAsia" w:ascii="仿宋" w:hAnsi="仿宋" w:eastAsia="仿宋"/>
          <w:color w:val="auto"/>
          <w:sz w:val="32"/>
          <w:szCs w:val="32"/>
          <w:highlight w:val="none"/>
          <w:lang w:val="en-US" w:eastAsia="zh-CN"/>
        </w:rPr>
        <w:t>模拟验收查验经验</w:t>
      </w:r>
      <w:r>
        <w:rPr>
          <w:rFonts w:hint="eastAsia" w:ascii="仿宋" w:hAnsi="仿宋" w:eastAsia="仿宋"/>
          <w:color w:val="auto"/>
          <w:sz w:val="32"/>
          <w:szCs w:val="32"/>
          <w:highlight w:val="none"/>
        </w:rPr>
        <w:t>，在近几年没有发生过安全质量事故。</w:t>
      </w:r>
    </w:p>
    <w:p w14:paraId="329DDC5D">
      <w:pPr>
        <w:widowControl/>
        <w:adjustRightInd w:val="0"/>
        <w:snapToGrid w:val="0"/>
        <w:spacing w:before="60" w:beforeLines="25" w:after="60" w:afterLines="25" w:line="5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、严格执行服务承诺。</w:t>
      </w:r>
    </w:p>
    <w:p w14:paraId="75D475D5">
      <w:pPr>
        <w:widowControl/>
        <w:adjustRightInd w:val="0"/>
        <w:snapToGrid w:val="0"/>
        <w:spacing w:before="60" w:beforeLines="25" w:after="60" w:afterLines="25"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、中标人应严格依据投标文件所做承诺履行职责，如有违约，招标人有权根据协议、合同采取措施追究违约方的违约责任。</w:t>
      </w:r>
    </w:p>
    <w:p w14:paraId="0246642E">
      <w:pPr>
        <w:widowControl/>
        <w:adjustRightInd w:val="0"/>
        <w:snapToGrid w:val="0"/>
        <w:spacing w:before="60" w:beforeLines="25" w:after="60" w:afterLines="25" w:line="500" w:lineRule="exact"/>
        <w:ind w:firstLine="320" w:firstLineChars="100"/>
        <w:rPr>
          <w:rFonts w:hint="eastAsia" w:ascii="仿宋" w:hAnsi="仿宋" w:eastAsia="仿宋"/>
          <w:color w:val="auto"/>
          <w:sz w:val="32"/>
          <w:szCs w:val="32"/>
          <w:highlight w:val="none"/>
          <w:lang w:eastAsia="zh-CN"/>
        </w:rPr>
      </w:pP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olor w:val="auto"/>
          <w:sz w:val="32"/>
          <w:szCs w:val="32"/>
          <w:highlight w:val="none"/>
          <w:lang w:val="en-US" w:eastAsia="zh-CN"/>
        </w:rPr>
        <w:t>7</w:t>
      </w:r>
      <w:r>
        <w:rPr>
          <w:rFonts w:hint="eastAsia" w:ascii="仿宋" w:hAnsi="仿宋" w:eastAsia="仿宋"/>
          <w:color w:val="auto"/>
          <w:sz w:val="32"/>
          <w:szCs w:val="32"/>
          <w:highlight w:val="none"/>
        </w:rPr>
        <w:t>、中标人应当</w:t>
      </w:r>
      <w:r>
        <w:rPr>
          <w:rFonts w:hint="eastAsia" w:ascii="仿宋" w:hAnsi="仿宋" w:eastAsia="仿宋"/>
          <w:color w:val="auto"/>
          <w:sz w:val="32"/>
          <w:szCs w:val="32"/>
          <w:highlight w:val="none"/>
          <w:lang w:val="en-US" w:eastAsia="zh-CN"/>
        </w:rPr>
        <w:t>承诺中标后</w:t>
      </w:r>
      <w:r>
        <w:rPr>
          <w:rFonts w:hint="eastAsia" w:ascii="仿宋" w:hAnsi="仿宋" w:eastAsia="仿宋"/>
          <w:color w:val="auto"/>
          <w:sz w:val="32"/>
          <w:szCs w:val="32"/>
          <w:highlight w:val="none"/>
        </w:rPr>
        <w:t>，不得将本项目（转包）给他人，一经发现，招标人有权立即终止合同，并追究中标人的违约责任和要求赔偿。</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承诺材料自拟</w:t>
      </w:r>
      <w:r>
        <w:rPr>
          <w:rFonts w:hint="eastAsia" w:ascii="仿宋" w:hAnsi="仿宋" w:eastAsia="仿宋"/>
          <w:color w:val="auto"/>
          <w:sz w:val="32"/>
          <w:szCs w:val="32"/>
          <w:highlight w:val="none"/>
          <w:lang w:eastAsia="zh-CN"/>
        </w:rPr>
        <w:t>）</w:t>
      </w:r>
    </w:p>
    <w:p w14:paraId="66C72697">
      <w:pPr>
        <w:widowControl/>
        <w:adjustRightInd w:val="0"/>
        <w:snapToGrid w:val="0"/>
        <w:spacing w:before="60" w:beforeLines="25" w:after="60" w:afterLines="25"/>
        <w:ind w:firstLine="320" w:firstLineChars="100"/>
        <w:rPr>
          <w:rFonts w:hint="eastAsia" w:ascii="仿宋" w:hAnsi="仿宋" w:eastAsia="仿宋"/>
          <w:color w:val="auto"/>
          <w:sz w:val="32"/>
          <w:highlight w:val="none"/>
        </w:rPr>
      </w:pPr>
      <w:bookmarkStart w:id="543" w:name="_Toc19615"/>
      <w:bookmarkStart w:id="544" w:name="_Toc26764"/>
      <w:bookmarkStart w:id="545" w:name="_Toc13530"/>
      <w:bookmarkStart w:id="546" w:name="_Toc16651"/>
      <w:bookmarkStart w:id="547" w:name="_Toc468718876"/>
      <w:bookmarkStart w:id="548" w:name="_Toc29308"/>
      <w:bookmarkStart w:id="549" w:name="_Toc14913"/>
      <w:bookmarkStart w:id="550" w:name="_Toc28501"/>
      <w:bookmarkStart w:id="551" w:name="_Toc9155"/>
    </w:p>
    <w:p w14:paraId="224080D4">
      <w:pPr>
        <w:pStyle w:val="4"/>
        <w:keepNext w:val="0"/>
        <w:keepLines w:val="0"/>
        <w:spacing w:before="0" w:after="0" w:line="500" w:lineRule="exact"/>
        <w:jc w:val="center"/>
        <w:rPr>
          <w:rFonts w:ascii="仿宋" w:hAnsi="仿宋" w:eastAsia="仿宋"/>
          <w:color w:val="auto"/>
          <w:sz w:val="32"/>
          <w:highlight w:val="none"/>
        </w:rPr>
      </w:pPr>
      <w:bookmarkStart w:id="552" w:name="_Toc18911"/>
      <w:bookmarkStart w:id="553" w:name="_Toc16567"/>
      <w:bookmarkStart w:id="554" w:name="_Toc9265"/>
      <w:bookmarkStart w:id="555" w:name="_Toc5437"/>
      <w:bookmarkStart w:id="556" w:name="_Toc7774"/>
      <w:bookmarkStart w:id="557" w:name="_Toc15201"/>
      <w:r>
        <w:rPr>
          <w:rFonts w:hint="eastAsia" w:ascii="仿宋" w:hAnsi="仿宋" w:eastAsia="仿宋"/>
          <w:color w:val="auto"/>
          <w:sz w:val="32"/>
          <w:highlight w:val="none"/>
        </w:rPr>
        <w:t>第三节 报价要求</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1E6979CB">
      <w:pPr>
        <w:widowControl/>
        <w:adjustRightInd w:val="0"/>
        <w:snapToGrid w:val="0"/>
        <w:spacing w:before="60" w:beforeLines="25" w:after="60" w:afterLines="25" w:line="500" w:lineRule="exact"/>
        <w:ind w:firstLine="640" w:firstLineChars="200"/>
        <w:rPr>
          <w:rFonts w:hint="eastAsia" w:ascii="仿宋" w:hAnsi="仿宋" w:eastAsia="仿宋"/>
          <w:color w:val="auto"/>
          <w:sz w:val="32"/>
          <w:szCs w:val="32"/>
          <w:highlight w:val="none"/>
        </w:rPr>
      </w:pPr>
      <w:bookmarkStart w:id="558" w:name="_Toc468718878"/>
      <w:bookmarkStart w:id="559" w:name="_Toc306290240"/>
      <w:r>
        <w:rPr>
          <w:rFonts w:hint="eastAsia" w:ascii="仿宋" w:hAnsi="仿宋" w:eastAsia="仿宋"/>
          <w:color w:val="auto"/>
          <w:sz w:val="32"/>
          <w:szCs w:val="32"/>
          <w:highlight w:val="none"/>
        </w:rPr>
        <w:t>1、报价以人民币为货币单位，应分单价、小计和总价。</w:t>
      </w:r>
    </w:p>
    <w:p w14:paraId="1C1D667F">
      <w:pPr>
        <w:widowControl/>
        <w:adjustRightInd w:val="0"/>
        <w:snapToGrid w:val="0"/>
        <w:spacing w:before="60" w:beforeLines="25" w:after="60" w:afterLines="25" w:line="5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投标报价应包含但不限于以下费用：工具费、耗材费、保险费、人工费等，各投标人应依据招标文件要求，并充分考虑市场、原材料价格、人工成本上涨等风险，自行核算成本报价，各项目为整体采购，如有遗漏部分将不再进行增补。</w:t>
      </w:r>
    </w:p>
    <w:p w14:paraId="4C42CA58">
      <w:pPr>
        <w:widowControl/>
        <w:adjustRightInd w:val="0"/>
        <w:snapToGrid w:val="0"/>
        <w:spacing w:before="60" w:beforeLines="25" w:after="60" w:afterLines="25" w:line="5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3、投标人漏报的单价或每单价报价中漏报、少报的费用，视为此项费用已隐含在投标报价中，中标后不得再向招标人收取任何费用。</w:t>
      </w:r>
    </w:p>
    <w:p w14:paraId="3AE65C8C">
      <w:pPr>
        <w:widowControl/>
        <w:adjustRightInd w:val="0"/>
        <w:snapToGrid w:val="0"/>
        <w:spacing w:before="60" w:beforeLines="25" w:after="60" w:afterLines="25" w:line="5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4、投标人对本项目只能有一个报价，招标人不接受有选择的报价。</w:t>
      </w:r>
    </w:p>
    <w:p w14:paraId="460CCC53">
      <w:pPr>
        <w:widowControl/>
        <w:adjustRightInd w:val="0"/>
        <w:snapToGrid w:val="0"/>
        <w:spacing w:before="60" w:beforeLines="25" w:after="60" w:afterLines="25" w:line="5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5、中标人</w:t>
      </w:r>
      <w:r>
        <w:rPr>
          <w:rFonts w:hint="eastAsia" w:ascii="仿宋" w:hAnsi="仿宋" w:eastAsia="仿宋"/>
          <w:color w:val="auto"/>
          <w:sz w:val="32"/>
          <w:szCs w:val="32"/>
          <w:highlight w:val="none"/>
          <w:lang w:val="en-US" w:eastAsia="zh-CN"/>
        </w:rPr>
        <w:t>因实施本项目项下的服务造成事故或其他人身、财产损害，</w:t>
      </w:r>
      <w:r>
        <w:rPr>
          <w:rFonts w:hint="eastAsia" w:ascii="仿宋" w:hAnsi="仿宋" w:eastAsia="仿宋"/>
          <w:color w:val="auto"/>
          <w:sz w:val="32"/>
          <w:szCs w:val="32"/>
          <w:highlight w:val="none"/>
        </w:rPr>
        <w:t>其责任</w:t>
      </w:r>
      <w:r>
        <w:rPr>
          <w:rFonts w:hint="eastAsia" w:ascii="仿宋" w:hAnsi="仿宋" w:eastAsia="仿宋"/>
          <w:color w:val="auto"/>
          <w:sz w:val="32"/>
          <w:szCs w:val="32"/>
          <w:highlight w:val="none"/>
          <w:lang w:val="en-US" w:eastAsia="zh-CN"/>
        </w:rPr>
        <w:t>和费用概由</w:t>
      </w:r>
      <w:r>
        <w:rPr>
          <w:rFonts w:hint="eastAsia" w:ascii="仿宋" w:hAnsi="仿宋" w:eastAsia="仿宋"/>
          <w:color w:val="auto"/>
          <w:sz w:val="32"/>
          <w:szCs w:val="32"/>
          <w:highlight w:val="none"/>
        </w:rPr>
        <w:t>中标人承担，</w:t>
      </w:r>
      <w:r>
        <w:rPr>
          <w:rFonts w:hint="eastAsia" w:ascii="仿宋" w:hAnsi="仿宋" w:eastAsia="仿宋"/>
          <w:color w:val="auto"/>
          <w:sz w:val="32"/>
          <w:szCs w:val="32"/>
          <w:highlight w:val="none"/>
          <w:lang w:val="en-US" w:eastAsia="zh-CN"/>
        </w:rPr>
        <w:t>招</w:t>
      </w:r>
      <w:r>
        <w:rPr>
          <w:rFonts w:hint="eastAsia" w:ascii="仿宋" w:hAnsi="仿宋" w:eastAsia="仿宋"/>
          <w:color w:val="auto"/>
          <w:sz w:val="32"/>
          <w:szCs w:val="32"/>
          <w:highlight w:val="none"/>
        </w:rPr>
        <w:t>标人不承担</w:t>
      </w:r>
      <w:r>
        <w:rPr>
          <w:rFonts w:hint="eastAsia" w:ascii="仿宋" w:hAnsi="仿宋" w:eastAsia="仿宋"/>
          <w:color w:val="auto"/>
          <w:sz w:val="32"/>
          <w:szCs w:val="32"/>
          <w:highlight w:val="none"/>
          <w:lang w:val="en-US" w:eastAsia="zh-CN"/>
        </w:rPr>
        <w:t>因此产生的</w:t>
      </w:r>
      <w:r>
        <w:rPr>
          <w:rFonts w:hint="eastAsia" w:ascii="仿宋" w:hAnsi="仿宋" w:eastAsia="仿宋"/>
          <w:color w:val="auto"/>
          <w:sz w:val="32"/>
          <w:szCs w:val="32"/>
          <w:highlight w:val="none"/>
        </w:rPr>
        <w:t>责任及义务。</w:t>
      </w:r>
    </w:p>
    <w:bookmarkEnd w:id="8"/>
    <w:bookmarkEnd w:id="558"/>
    <w:bookmarkEnd w:id="559"/>
    <w:p w14:paraId="5517B404">
      <w:pPr>
        <w:rPr>
          <w:rFonts w:hint="eastAsia"/>
          <w:color w:val="auto"/>
        </w:rPr>
      </w:pPr>
      <w:bookmarkStart w:id="560" w:name="_Toc25453"/>
    </w:p>
    <w:p w14:paraId="378B160C">
      <w:pPr>
        <w:rPr>
          <w:rFonts w:hint="eastAsia"/>
          <w:color w:val="auto"/>
        </w:rPr>
      </w:pPr>
    </w:p>
    <w:p w14:paraId="69E803C7">
      <w:pPr>
        <w:rPr>
          <w:rFonts w:hint="eastAsia"/>
          <w:color w:val="auto"/>
        </w:rPr>
      </w:pPr>
    </w:p>
    <w:p w14:paraId="6998B5B9">
      <w:pPr>
        <w:rPr>
          <w:rFonts w:hint="eastAsia"/>
          <w:color w:val="auto"/>
        </w:rPr>
      </w:pPr>
    </w:p>
    <w:p w14:paraId="293A18CA">
      <w:pPr>
        <w:rPr>
          <w:rFonts w:hint="eastAsia"/>
          <w:color w:val="auto"/>
        </w:rPr>
      </w:pPr>
    </w:p>
    <w:p w14:paraId="3B9A4562">
      <w:pPr>
        <w:rPr>
          <w:rFonts w:hint="eastAsia"/>
          <w:color w:val="auto"/>
        </w:rPr>
      </w:pPr>
    </w:p>
    <w:p w14:paraId="7E4133E2">
      <w:pPr>
        <w:rPr>
          <w:rFonts w:hint="eastAsia"/>
          <w:color w:val="auto"/>
        </w:rPr>
      </w:pPr>
      <w:r>
        <w:rPr>
          <w:rFonts w:hint="eastAsia"/>
          <w:color w:val="auto"/>
        </w:rPr>
        <w:br w:type="page"/>
      </w:r>
    </w:p>
    <w:p w14:paraId="1234F5BB">
      <w:pPr>
        <w:rPr>
          <w:rFonts w:hint="eastAsia"/>
          <w:color w:val="auto"/>
        </w:rPr>
      </w:pPr>
      <w:bookmarkStart w:id="561" w:name="_Toc13252"/>
      <w:bookmarkStart w:id="562" w:name="_Toc12911"/>
      <w:bookmarkStart w:id="563" w:name="_Toc21250"/>
      <w:bookmarkStart w:id="564" w:name="_Toc21628"/>
      <w:bookmarkStart w:id="565" w:name="_Toc20376"/>
      <w:bookmarkStart w:id="566" w:name="_Toc19129"/>
      <w:bookmarkStart w:id="567" w:name="_Toc30406"/>
    </w:p>
    <w:p w14:paraId="2B748B66">
      <w:pPr>
        <w:pStyle w:val="3"/>
        <w:keepNext w:val="0"/>
        <w:keepLines w:val="0"/>
        <w:spacing w:before="0" w:after="0" w:line="500" w:lineRule="exact"/>
        <w:jc w:val="center"/>
        <w:rPr>
          <w:rFonts w:ascii="仿宋" w:hAnsi="仿宋" w:eastAsia="仿宋"/>
          <w:color w:val="auto"/>
          <w:highlight w:val="none"/>
        </w:rPr>
      </w:pPr>
      <w:bookmarkStart w:id="568" w:name="_Toc11892"/>
      <w:bookmarkStart w:id="569" w:name="_Toc196"/>
      <w:bookmarkStart w:id="570" w:name="_Toc14072"/>
      <w:bookmarkStart w:id="571" w:name="_Toc7177"/>
      <w:bookmarkStart w:id="572" w:name="_Toc17896"/>
      <w:bookmarkStart w:id="573" w:name="_Toc25115"/>
      <w:r>
        <w:rPr>
          <w:rFonts w:hint="eastAsia" w:ascii="仿宋" w:hAnsi="仿宋" w:eastAsia="仿宋"/>
          <w:color w:val="auto"/>
          <w:highlight w:val="none"/>
        </w:rPr>
        <w:t>第四章  投标文件格式</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0F8F2B4D">
      <w:pPr>
        <w:rPr>
          <w:color w:val="auto"/>
          <w:highlight w:val="none"/>
        </w:rPr>
      </w:pPr>
    </w:p>
    <w:p w14:paraId="353EC866">
      <w:pPr>
        <w:spacing w:line="360" w:lineRule="auto"/>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（本章格式文件可供参考，投标人可根据项目实际需求进行编制）</w:t>
      </w:r>
    </w:p>
    <w:p w14:paraId="5A92B39B">
      <w:pPr>
        <w:pStyle w:val="27"/>
        <w:spacing w:line="360" w:lineRule="auto"/>
        <w:rPr>
          <w:rFonts w:ascii="仿宋" w:hAnsi="仿宋" w:eastAsia="仿宋"/>
          <w:color w:val="auto"/>
          <w:highlight w:val="none"/>
        </w:rPr>
      </w:pPr>
    </w:p>
    <w:p w14:paraId="6AE04927">
      <w:pPr>
        <w:pStyle w:val="27"/>
        <w:spacing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 封面）</w:t>
      </w:r>
    </w:p>
    <w:p w14:paraId="0FC3A390">
      <w:pPr>
        <w:spacing w:line="360" w:lineRule="auto"/>
        <w:jc w:val="center"/>
        <w:rPr>
          <w:rFonts w:ascii="仿宋" w:hAnsi="仿宋" w:eastAsia="仿宋"/>
          <w:b/>
          <w:color w:val="auto"/>
          <w:sz w:val="72"/>
          <w:highlight w:val="none"/>
        </w:rPr>
      </w:pPr>
    </w:p>
    <w:p w14:paraId="453114E9">
      <w:pPr>
        <w:spacing w:line="360" w:lineRule="auto"/>
        <w:jc w:val="center"/>
        <w:rPr>
          <w:rFonts w:ascii="仿宋" w:hAnsi="仿宋" w:eastAsia="仿宋"/>
          <w:b/>
          <w:color w:val="auto"/>
          <w:sz w:val="72"/>
          <w:highlight w:val="none"/>
        </w:rPr>
      </w:pPr>
      <w:r>
        <w:rPr>
          <w:rFonts w:hint="eastAsia" w:ascii="仿宋" w:hAnsi="仿宋" w:eastAsia="仿宋"/>
          <w:b/>
          <w:color w:val="auto"/>
          <w:sz w:val="72"/>
          <w:highlight w:val="none"/>
        </w:rPr>
        <w:t>投  标  文  件</w:t>
      </w:r>
    </w:p>
    <w:p w14:paraId="04D59F6C">
      <w:pPr>
        <w:spacing w:line="360" w:lineRule="auto"/>
        <w:rPr>
          <w:rFonts w:ascii="仿宋" w:hAnsi="仿宋" w:eastAsia="仿宋"/>
          <w:b/>
          <w:color w:val="auto"/>
          <w:sz w:val="36"/>
          <w:highlight w:val="none"/>
        </w:rPr>
      </w:pPr>
    </w:p>
    <w:p w14:paraId="47EFB282">
      <w:pPr>
        <w:spacing w:line="360" w:lineRule="auto"/>
        <w:ind w:firstLine="1084" w:firstLineChars="300"/>
        <w:rPr>
          <w:rFonts w:ascii="仿宋" w:hAnsi="仿宋" w:eastAsia="仿宋"/>
          <w:b/>
          <w:color w:val="auto"/>
          <w:sz w:val="36"/>
          <w:highlight w:val="none"/>
        </w:rPr>
      </w:pPr>
      <w:r>
        <w:rPr>
          <w:rFonts w:hint="eastAsia" w:ascii="仿宋" w:hAnsi="仿宋" w:eastAsia="仿宋"/>
          <w:b/>
          <w:color w:val="auto"/>
          <w:sz w:val="36"/>
          <w:highlight w:val="none"/>
        </w:rPr>
        <w:t>项 目 名 称：</w:t>
      </w:r>
    </w:p>
    <w:p w14:paraId="64126D5E">
      <w:pPr>
        <w:spacing w:line="360" w:lineRule="auto"/>
        <w:ind w:firstLine="1084" w:firstLineChars="300"/>
        <w:rPr>
          <w:rFonts w:ascii="仿宋" w:hAnsi="仿宋" w:eastAsia="仿宋"/>
          <w:b/>
          <w:color w:val="auto"/>
          <w:sz w:val="36"/>
          <w:highlight w:val="none"/>
          <w:u w:val="single"/>
        </w:rPr>
      </w:pPr>
      <w:r>
        <w:rPr>
          <w:rFonts w:hint="eastAsia" w:ascii="仿宋" w:hAnsi="仿宋" w:eastAsia="仿宋"/>
          <w:b/>
          <w:color w:val="auto"/>
          <w:sz w:val="36"/>
          <w:highlight w:val="none"/>
        </w:rPr>
        <w:t>招 标 编 号：</w:t>
      </w:r>
    </w:p>
    <w:p w14:paraId="30C986D4">
      <w:pPr>
        <w:spacing w:line="360" w:lineRule="auto"/>
        <w:rPr>
          <w:rFonts w:ascii="仿宋" w:hAnsi="仿宋" w:eastAsia="仿宋"/>
          <w:b/>
          <w:color w:val="auto"/>
          <w:sz w:val="36"/>
          <w:highlight w:val="none"/>
        </w:rPr>
      </w:pPr>
    </w:p>
    <w:p w14:paraId="59FD6651">
      <w:pPr>
        <w:spacing w:line="360" w:lineRule="auto"/>
        <w:rPr>
          <w:rFonts w:ascii="仿宋" w:hAnsi="仿宋" w:eastAsia="仿宋"/>
          <w:b/>
          <w:color w:val="auto"/>
          <w:sz w:val="36"/>
          <w:highlight w:val="none"/>
        </w:rPr>
      </w:pPr>
    </w:p>
    <w:p w14:paraId="63012EE0">
      <w:pPr>
        <w:spacing w:line="360" w:lineRule="auto"/>
        <w:rPr>
          <w:rFonts w:ascii="仿宋" w:hAnsi="仿宋" w:eastAsia="仿宋"/>
          <w:b/>
          <w:color w:val="auto"/>
          <w:sz w:val="36"/>
          <w:highlight w:val="none"/>
          <w:u w:val="single"/>
        </w:rPr>
      </w:pPr>
      <w:r>
        <w:rPr>
          <w:rFonts w:hint="eastAsia" w:ascii="仿宋" w:hAnsi="仿宋" w:eastAsia="仿宋"/>
          <w:b/>
          <w:color w:val="auto"/>
          <w:sz w:val="36"/>
          <w:highlight w:val="none"/>
        </w:rPr>
        <w:t xml:space="preserve">       投标人名称 ：</w:t>
      </w:r>
    </w:p>
    <w:p w14:paraId="157A56F1">
      <w:pPr>
        <w:spacing w:line="360" w:lineRule="auto"/>
        <w:rPr>
          <w:rFonts w:ascii="仿宋" w:hAnsi="仿宋" w:eastAsia="仿宋"/>
          <w:b/>
          <w:color w:val="auto"/>
          <w:sz w:val="36"/>
          <w:highlight w:val="none"/>
        </w:rPr>
      </w:pPr>
      <w:r>
        <w:rPr>
          <w:rFonts w:hint="eastAsia" w:ascii="仿宋" w:hAnsi="仿宋" w:eastAsia="仿宋"/>
          <w:b/>
          <w:color w:val="auto"/>
          <w:sz w:val="36"/>
          <w:highlight w:val="none"/>
        </w:rPr>
        <w:t xml:space="preserve">       日      期 ：</w:t>
      </w:r>
    </w:p>
    <w:p w14:paraId="614F6501">
      <w:pPr>
        <w:pStyle w:val="28"/>
        <w:spacing w:line="360" w:lineRule="auto"/>
        <w:jc w:val="left"/>
        <w:rPr>
          <w:rFonts w:ascii="仿宋" w:hAnsi="仿宋" w:eastAsia="仿宋"/>
          <w:b/>
          <w:color w:val="auto"/>
          <w:sz w:val="24"/>
          <w:highlight w:val="none"/>
        </w:rPr>
      </w:pPr>
    </w:p>
    <w:p w14:paraId="7ED438E1">
      <w:pPr>
        <w:pStyle w:val="28"/>
        <w:spacing w:line="360" w:lineRule="auto"/>
        <w:jc w:val="left"/>
        <w:rPr>
          <w:rFonts w:ascii="仿宋" w:hAnsi="仿宋" w:eastAsia="仿宋"/>
          <w:b/>
          <w:color w:val="auto"/>
          <w:sz w:val="24"/>
          <w:highlight w:val="none"/>
        </w:rPr>
      </w:pPr>
    </w:p>
    <w:p w14:paraId="629DDF87">
      <w:pPr>
        <w:pStyle w:val="6"/>
        <w:snapToGrid w:val="0"/>
        <w:spacing w:line="360" w:lineRule="auto"/>
        <w:ind w:left="0" w:firstLine="3855" w:firstLineChars="1200"/>
        <w:jc w:val="both"/>
        <w:rPr>
          <w:rFonts w:ascii="仿宋" w:hAnsi="仿宋" w:eastAsia="仿宋"/>
          <w:b/>
          <w:bCs/>
          <w:color w:val="auto"/>
          <w:sz w:val="32"/>
          <w:highlight w:val="none"/>
          <w:lang w:eastAsia="zh-CN"/>
        </w:rPr>
      </w:pPr>
    </w:p>
    <w:p w14:paraId="2A097479">
      <w:pPr>
        <w:pStyle w:val="6"/>
        <w:snapToGrid w:val="0"/>
        <w:spacing w:line="360" w:lineRule="auto"/>
        <w:ind w:left="0" w:firstLine="3855" w:firstLineChars="1200"/>
        <w:jc w:val="both"/>
        <w:rPr>
          <w:rFonts w:ascii="仿宋" w:hAnsi="仿宋" w:eastAsia="仿宋"/>
          <w:b/>
          <w:bCs/>
          <w:color w:val="auto"/>
          <w:sz w:val="32"/>
          <w:highlight w:val="none"/>
          <w:lang w:eastAsia="zh-CN"/>
        </w:rPr>
      </w:pPr>
    </w:p>
    <w:p w14:paraId="3709BF75">
      <w:pPr>
        <w:pStyle w:val="6"/>
        <w:snapToGrid w:val="0"/>
        <w:spacing w:line="360" w:lineRule="auto"/>
        <w:ind w:left="0" w:firstLine="3855" w:firstLineChars="1200"/>
        <w:jc w:val="both"/>
        <w:rPr>
          <w:rFonts w:ascii="仿宋" w:hAnsi="仿宋" w:eastAsia="仿宋"/>
          <w:b/>
          <w:bCs/>
          <w:color w:val="auto"/>
          <w:sz w:val="32"/>
          <w:highlight w:val="none"/>
          <w:lang w:eastAsia="zh-CN"/>
        </w:rPr>
      </w:pPr>
    </w:p>
    <w:p w14:paraId="778CB76A">
      <w:pPr>
        <w:pStyle w:val="6"/>
        <w:snapToGrid w:val="0"/>
        <w:spacing w:line="360" w:lineRule="auto"/>
        <w:ind w:left="0" w:firstLine="3855" w:firstLineChars="1200"/>
        <w:jc w:val="both"/>
        <w:rPr>
          <w:rFonts w:ascii="仿宋" w:hAnsi="仿宋" w:eastAsia="仿宋"/>
          <w:b/>
          <w:bCs/>
          <w:color w:val="auto"/>
          <w:sz w:val="32"/>
          <w:highlight w:val="none"/>
          <w:lang w:eastAsia="zh-CN"/>
        </w:rPr>
      </w:pPr>
    </w:p>
    <w:p w14:paraId="7D6E2404">
      <w:pPr>
        <w:pStyle w:val="6"/>
        <w:snapToGrid w:val="0"/>
        <w:spacing w:line="360" w:lineRule="auto"/>
        <w:ind w:left="0"/>
        <w:jc w:val="both"/>
        <w:rPr>
          <w:rFonts w:ascii="仿宋" w:hAnsi="仿宋" w:eastAsia="仿宋"/>
          <w:b/>
          <w:bCs/>
          <w:color w:val="auto"/>
          <w:sz w:val="32"/>
          <w:highlight w:val="none"/>
          <w:lang w:eastAsia="zh-CN"/>
        </w:rPr>
      </w:pPr>
    </w:p>
    <w:p w14:paraId="0A478EE2">
      <w:pPr>
        <w:pStyle w:val="6"/>
        <w:snapToGrid w:val="0"/>
        <w:spacing w:line="500" w:lineRule="exact"/>
        <w:ind w:left="0" w:firstLine="3855" w:firstLineChars="1200"/>
        <w:jc w:val="both"/>
        <w:rPr>
          <w:rFonts w:ascii="仿宋" w:hAnsi="仿宋" w:eastAsia="仿宋"/>
          <w:b/>
          <w:bCs/>
          <w:color w:val="auto"/>
          <w:sz w:val="32"/>
          <w:szCs w:val="32"/>
          <w:highlight w:val="none"/>
          <w:lang w:eastAsia="zh-CN"/>
        </w:rPr>
      </w:pPr>
      <w:r>
        <w:rPr>
          <w:rFonts w:hint="eastAsia" w:ascii="仿宋" w:hAnsi="仿宋" w:eastAsia="仿宋"/>
          <w:b/>
          <w:bCs/>
          <w:color w:val="auto"/>
          <w:sz w:val="32"/>
          <w:szCs w:val="32"/>
          <w:highlight w:val="none"/>
          <w:lang w:eastAsia="zh-CN"/>
        </w:rPr>
        <w:t>目    录</w:t>
      </w:r>
    </w:p>
    <w:p w14:paraId="6C939294">
      <w:pPr>
        <w:spacing w:line="500" w:lineRule="exact"/>
        <w:rPr>
          <w:rFonts w:ascii="仿宋" w:hAnsi="仿宋" w:eastAsia="仿宋"/>
          <w:color w:val="auto"/>
          <w:sz w:val="32"/>
          <w:szCs w:val="32"/>
          <w:highlight w:val="none"/>
        </w:rPr>
      </w:pPr>
    </w:p>
    <w:p w14:paraId="7B480A34">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1. 投 标 书</w:t>
      </w:r>
    </w:p>
    <w:p w14:paraId="00287D05">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2. 开标一览表</w:t>
      </w:r>
    </w:p>
    <w:p w14:paraId="257F5130">
      <w:pPr>
        <w:spacing w:line="500" w:lineRule="exact"/>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 xml:space="preserve">3. </w:t>
      </w:r>
      <w:r>
        <w:rPr>
          <w:rFonts w:hint="eastAsia" w:ascii="仿宋" w:hAnsi="仿宋" w:eastAsia="仿宋"/>
          <w:color w:val="auto"/>
          <w:sz w:val="32"/>
          <w:szCs w:val="32"/>
          <w:highlight w:val="none"/>
          <w:lang w:val="en-US" w:eastAsia="zh-CN"/>
        </w:rPr>
        <w:t>投标人业绩证明</w:t>
      </w:r>
    </w:p>
    <w:p w14:paraId="15AF9F2A">
      <w:pPr>
        <w:spacing w:line="500" w:lineRule="exact"/>
        <w:jc w:val="left"/>
        <w:rPr>
          <w:rFonts w:hint="eastAsia" w:ascii="仿宋" w:hAnsi="仿宋" w:eastAsia="仿宋"/>
          <w:b w:val="0"/>
          <w:color w:val="auto"/>
          <w:sz w:val="32"/>
          <w:szCs w:val="32"/>
          <w:highlight w:val="none"/>
        </w:rPr>
      </w:pPr>
      <w:r>
        <w:rPr>
          <w:rFonts w:hint="eastAsia" w:ascii="仿宋" w:hAnsi="仿宋" w:eastAsia="仿宋"/>
          <w:b w:val="0"/>
          <w:bCs w:val="0"/>
          <w:color w:val="auto"/>
          <w:sz w:val="32"/>
          <w:szCs w:val="32"/>
          <w:highlight w:val="none"/>
          <w:lang w:val="en-US" w:eastAsia="zh-CN"/>
        </w:rPr>
        <w:t xml:space="preserve">4. </w:t>
      </w:r>
      <w:r>
        <w:rPr>
          <w:rFonts w:hint="eastAsia" w:ascii="仿宋" w:hAnsi="仿宋" w:eastAsia="仿宋"/>
          <w:b w:val="0"/>
          <w:bCs w:val="0"/>
          <w:color w:val="auto"/>
          <w:sz w:val="32"/>
          <w:szCs w:val="32"/>
          <w:highlight w:val="none"/>
        </w:rPr>
        <w:t>拟派项目其他人员履历</w:t>
      </w:r>
    </w:p>
    <w:p w14:paraId="6DB07EDD">
      <w:pPr>
        <w:spacing w:line="500" w:lineRule="exac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 xml:space="preserve">. </w:t>
      </w:r>
      <w:r>
        <w:rPr>
          <w:rFonts w:hint="eastAsia" w:ascii="仿宋" w:hAnsi="仿宋" w:eastAsia="仿宋"/>
          <w:b w:val="0"/>
          <w:bCs w:val="0"/>
          <w:color w:val="auto"/>
          <w:sz w:val="32"/>
          <w:szCs w:val="32"/>
          <w:highlight w:val="none"/>
          <w:lang w:val="en-US" w:eastAsia="zh-CN"/>
        </w:rPr>
        <w:t>模拟验收</w:t>
      </w:r>
      <w:r>
        <w:rPr>
          <w:rFonts w:hint="eastAsia" w:ascii="仿宋" w:hAnsi="仿宋" w:eastAsia="仿宋"/>
          <w:b w:val="0"/>
          <w:bCs w:val="0"/>
          <w:color w:val="auto"/>
          <w:sz w:val="32"/>
          <w:szCs w:val="32"/>
          <w:highlight w:val="none"/>
        </w:rPr>
        <w:t>服务承诺函</w:t>
      </w:r>
    </w:p>
    <w:p w14:paraId="0387987E">
      <w:pPr>
        <w:spacing w:line="500" w:lineRule="exact"/>
        <w:ind w:left="320" w:hanging="320" w:hangingChars="1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法人代表授权书</w:t>
      </w:r>
    </w:p>
    <w:p w14:paraId="38D67D38">
      <w:pPr>
        <w:spacing w:line="500" w:lineRule="exact"/>
        <w:ind w:left="320" w:hanging="320" w:hangingChars="1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7</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法人营业执照</w:t>
      </w:r>
    </w:p>
    <w:p w14:paraId="52495E7A">
      <w:pPr>
        <w:spacing w:line="500" w:lineRule="exact"/>
        <w:ind w:left="320" w:hanging="320" w:hangingChars="1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rPr>
        <w:t>. 廉洁承诺书</w:t>
      </w:r>
    </w:p>
    <w:p w14:paraId="4B53E2CA">
      <w:pPr>
        <w:spacing w:before="120" w:beforeLines="50" w:after="120" w:afterLines="50"/>
        <w:jc w:val="both"/>
        <w:rPr>
          <w:color w:val="auto"/>
          <w:highlight w:val="none"/>
        </w:rPr>
      </w:pPr>
      <w:r>
        <w:rPr>
          <w:rFonts w:hint="eastAsia" w:ascii="仿宋" w:hAnsi="仿宋" w:eastAsia="仿宋"/>
          <w:b w:val="0"/>
          <w:bCs w:val="0"/>
          <w:color w:val="auto"/>
          <w:sz w:val="32"/>
          <w:szCs w:val="32"/>
          <w:highlight w:val="none"/>
          <w:lang w:val="en-US" w:eastAsia="zh-CN"/>
        </w:rPr>
        <w:t xml:space="preserve">9. </w:t>
      </w:r>
      <w:r>
        <w:rPr>
          <w:rFonts w:hint="eastAsia" w:ascii="仿宋" w:hAnsi="仿宋" w:eastAsia="仿宋"/>
          <w:b w:val="0"/>
          <w:bCs w:val="0"/>
          <w:color w:val="auto"/>
          <w:sz w:val="32"/>
          <w:szCs w:val="32"/>
          <w:highlight w:val="none"/>
        </w:rPr>
        <w:t>带“★”号条款逐条响应情况表</w:t>
      </w:r>
    </w:p>
    <w:p w14:paraId="3685B944">
      <w:pPr>
        <w:spacing w:line="500" w:lineRule="exac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 投标人提交的其它资料</w:t>
      </w:r>
    </w:p>
    <w:p w14:paraId="11283B7A">
      <w:pPr>
        <w:spacing w:line="440" w:lineRule="exact"/>
        <w:rPr>
          <w:rFonts w:ascii="仿宋" w:hAnsi="仿宋" w:eastAsia="仿宋"/>
          <w:b/>
          <w:color w:val="auto"/>
          <w:sz w:val="32"/>
          <w:szCs w:val="32"/>
          <w:highlight w:val="none"/>
        </w:rPr>
      </w:pPr>
    </w:p>
    <w:p w14:paraId="033BAA5A">
      <w:pPr>
        <w:spacing w:line="440" w:lineRule="exact"/>
        <w:rPr>
          <w:rFonts w:ascii="仿宋" w:hAnsi="仿宋" w:eastAsia="仿宋"/>
          <w:b/>
          <w:color w:val="auto"/>
          <w:sz w:val="32"/>
          <w:szCs w:val="32"/>
          <w:highlight w:val="none"/>
        </w:rPr>
      </w:pPr>
    </w:p>
    <w:p w14:paraId="1C292438">
      <w:pPr>
        <w:spacing w:line="440" w:lineRule="exact"/>
        <w:rPr>
          <w:rFonts w:ascii="仿宋" w:hAnsi="仿宋" w:eastAsia="仿宋"/>
          <w:b/>
          <w:color w:val="auto"/>
          <w:sz w:val="32"/>
          <w:szCs w:val="32"/>
          <w:highlight w:val="none"/>
        </w:rPr>
      </w:pPr>
      <w:r>
        <w:rPr>
          <w:rFonts w:ascii="仿宋" w:hAnsi="仿宋" w:eastAsia="仿宋"/>
          <w:b/>
          <w:color w:val="auto"/>
          <w:sz w:val="32"/>
          <w:szCs w:val="32"/>
          <w:highlight w:val="none"/>
        </w:rPr>
        <w:t>说明：投标人应按投标文件的实际情况编制目录</w:t>
      </w:r>
    </w:p>
    <w:p w14:paraId="6F05AE50">
      <w:pPr>
        <w:spacing w:line="500" w:lineRule="exact"/>
        <w:rPr>
          <w:rFonts w:ascii="仿宋" w:hAnsi="仿宋" w:eastAsia="仿宋"/>
          <w:b/>
          <w:color w:val="auto"/>
          <w:sz w:val="32"/>
          <w:szCs w:val="32"/>
          <w:highlight w:val="none"/>
        </w:rPr>
      </w:pPr>
    </w:p>
    <w:p w14:paraId="410ED90C">
      <w:pPr>
        <w:spacing w:line="240" w:lineRule="auto"/>
        <w:rPr>
          <w:rFonts w:ascii="仿宋" w:hAnsi="仿宋" w:eastAsia="仿宋"/>
          <w:color w:val="auto"/>
          <w:sz w:val="32"/>
          <w:szCs w:val="32"/>
          <w:highlight w:val="none"/>
        </w:rPr>
      </w:pPr>
      <w:r>
        <w:rPr>
          <w:rFonts w:ascii="仿宋" w:hAnsi="仿宋" w:eastAsia="仿宋"/>
          <w:color w:val="auto"/>
          <w:sz w:val="32"/>
          <w:szCs w:val="32"/>
          <w:highlight w:val="none"/>
        </w:rPr>
        <w:br w:type="page"/>
      </w:r>
    </w:p>
    <w:p w14:paraId="5AD74B84">
      <w:pPr>
        <w:spacing w:line="500" w:lineRule="exact"/>
        <w:rPr>
          <w:rFonts w:ascii="仿宋" w:hAnsi="仿宋" w:eastAsia="仿宋"/>
          <w:b/>
          <w:bCs/>
          <w:color w:val="auto"/>
          <w:sz w:val="32"/>
          <w:szCs w:val="32"/>
          <w:highlight w:val="none"/>
        </w:rPr>
      </w:pPr>
      <w:bookmarkStart w:id="574" w:name="_Toc186344305"/>
      <w:r>
        <w:rPr>
          <w:rFonts w:hint="eastAsia" w:ascii="仿宋" w:hAnsi="仿宋" w:eastAsia="仿宋"/>
          <w:b/>
          <w:bCs/>
          <w:color w:val="auto"/>
          <w:sz w:val="32"/>
          <w:szCs w:val="32"/>
          <w:highlight w:val="none"/>
        </w:rPr>
        <w:t>格式1　　</w:t>
      </w:r>
    </w:p>
    <w:p w14:paraId="4A73299F">
      <w:pPr>
        <w:spacing w:line="500" w:lineRule="exact"/>
        <w:jc w:val="center"/>
        <w:rPr>
          <w:rFonts w:ascii="仿宋" w:hAnsi="仿宋" w:eastAsia="仿宋"/>
          <w:color w:val="auto"/>
          <w:sz w:val="32"/>
          <w:szCs w:val="32"/>
          <w:highlight w:val="none"/>
        </w:rPr>
      </w:pPr>
      <w:r>
        <w:rPr>
          <w:rFonts w:hint="eastAsia" w:ascii="仿宋" w:hAnsi="仿宋" w:eastAsia="仿宋"/>
          <w:b/>
          <w:bCs/>
          <w:color w:val="auto"/>
          <w:sz w:val="32"/>
          <w:szCs w:val="32"/>
          <w:highlight w:val="none"/>
        </w:rPr>
        <w:t>投 标 书</w:t>
      </w:r>
      <w:bookmarkEnd w:id="574"/>
    </w:p>
    <w:p w14:paraId="35340330">
      <w:pPr>
        <w:spacing w:line="500" w:lineRule="exact"/>
        <w:rPr>
          <w:rFonts w:ascii="仿宋" w:hAnsi="仿宋" w:eastAsia="仿宋"/>
          <w:color w:val="auto"/>
          <w:sz w:val="32"/>
          <w:szCs w:val="32"/>
          <w:highlight w:val="none"/>
        </w:rPr>
      </w:pPr>
    </w:p>
    <w:p w14:paraId="6D547442">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致</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u w:val="single"/>
          <w:lang w:eastAsia="zh-CN"/>
        </w:rPr>
        <w:t>厦门国贸物业服务有限公司</w:t>
      </w:r>
      <w:r>
        <w:rPr>
          <w:rFonts w:hint="eastAsia" w:ascii="仿宋" w:hAnsi="仿宋" w:eastAsia="仿宋"/>
          <w:color w:val="auto"/>
          <w:sz w:val="32"/>
          <w:szCs w:val="32"/>
          <w:highlight w:val="none"/>
          <w:u w:val="single"/>
        </w:rPr>
        <w:t>：</w:t>
      </w:r>
    </w:p>
    <w:p w14:paraId="4A7B1D48">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根据贵方为 项目的投标要求（招标编号）: </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本签字代表</w:t>
      </w:r>
      <w:r>
        <w:rPr>
          <w:rFonts w:hint="eastAsia" w:ascii="仿宋" w:hAnsi="仿宋" w:eastAsia="仿宋"/>
          <w:color w:val="auto"/>
          <w:sz w:val="32"/>
          <w:szCs w:val="32"/>
          <w:highlight w:val="none"/>
          <w:u w:val="single"/>
        </w:rPr>
        <w:t>（全名、职务）</w:t>
      </w:r>
      <w:r>
        <w:rPr>
          <w:rFonts w:hint="eastAsia" w:ascii="仿宋" w:hAnsi="仿宋" w:eastAsia="仿宋"/>
          <w:color w:val="auto"/>
          <w:sz w:val="32"/>
          <w:szCs w:val="32"/>
          <w:highlight w:val="none"/>
        </w:rPr>
        <w:t>正式授权并代表投标人（投标人名称、地址）提交下述文件正本一份</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副本一份</w:t>
      </w:r>
      <w:r>
        <w:rPr>
          <w:rFonts w:hint="eastAsia" w:ascii="仿宋" w:hAnsi="仿宋" w:eastAsia="仿宋"/>
          <w:color w:val="auto"/>
          <w:sz w:val="32"/>
          <w:szCs w:val="32"/>
          <w:highlight w:val="none"/>
          <w:lang w:eastAsia="zh-CN"/>
        </w:rPr>
        <w:t>、</w:t>
      </w:r>
      <w:r>
        <w:rPr>
          <w:rFonts w:hint="eastAsia" w:ascii="仿宋" w:hAnsi="仿宋" w:eastAsia="仿宋" w:cs="仿宋"/>
          <w:color w:val="auto"/>
          <w:kern w:val="0"/>
          <w:sz w:val="32"/>
          <w:szCs w:val="32"/>
          <w:highlight w:val="none"/>
        </w:rPr>
        <w:t>电子版</w:t>
      </w:r>
      <w:r>
        <w:rPr>
          <w:rFonts w:hint="eastAsia" w:ascii="仿宋" w:hAnsi="仿宋" w:eastAsia="仿宋" w:cs="仿宋"/>
          <w:color w:val="auto"/>
          <w:kern w:val="0"/>
          <w:sz w:val="32"/>
          <w:szCs w:val="32"/>
          <w:highlight w:val="none"/>
          <w:lang w:val="en-US" w:eastAsia="zh-CN"/>
        </w:rPr>
        <w:t>一</w:t>
      </w:r>
      <w:r>
        <w:rPr>
          <w:rFonts w:hint="eastAsia" w:ascii="仿宋" w:hAnsi="仿宋" w:eastAsia="仿宋" w:cs="仿宋"/>
          <w:color w:val="auto"/>
          <w:kern w:val="0"/>
          <w:sz w:val="32"/>
          <w:szCs w:val="32"/>
          <w:highlight w:val="none"/>
        </w:rPr>
        <w:t>份（U盘介质）</w:t>
      </w:r>
      <w:r>
        <w:rPr>
          <w:rFonts w:hint="eastAsia" w:ascii="仿宋" w:hAnsi="仿宋" w:eastAsia="仿宋"/>
          <w:color w:val="auto"/>
          <w:sz w:val="32"/>
          <w:szCs w:val="32"/>
          <w:highlight w:val="none"/>
        </w:rPr>
        <w:t>。</w:t>
      </w:r>
    </w:p>
    <w:tbl>
      <w:tblPr>
        <w:tblStyle w:val="17"/>
        <w:tblW w:w="8928" w:type="dxa"/>
        <w:jc w:val="center"/>
        <w:tblLayout w:type="fixed"/>
        <w:tblCellMar>
          <w:top w:w="0" w:type="dxa"/>
          <w:left w:w="108" w:type="dxa"/>
          <w:bottom w:w="0" w:type="dxa"/>
          <w:right w:w="108" w:type="dxa"/>
        </w:tblCellMar>
      </w:tblPr>
      <w:tblGrid>
        <w:gridCol w:w="4465"/>
        <w:gridCol w:w="4463"/>
      </w:tblGrid>
      <w:tr w14:paraId="1DF3F822">
        <w:tblPrEx>
          <w:tblCellMar>
            <w:top w:w="0" w:type="dxa"/>
            <w:left w:w="108" w:type="dxa"/>
            <w:bottom w:w="0" w:type="dxa"/>
            <w:right w:w="108" w:type="dxa"/>
          </w:tblCellMar>
        </w:tblPrEx>
        <w:trPr>
          <w:trHeight w:val="454" w:hRule="atLeast"/>
          <w:jc w:val="center"/>
        </w:trPr>
        <w:tc>
          <w:tcPr>
            <w:tcW w:w="4465" w:type="dxa"/>
          </w:tcPr>
          <w:p w14:paraId="4242A49B">
            <w:pPr>
              <w:keepNext w:val="0"/>
              <w:keepLines w:val="0"/>
              <w:suppressLineNumbers w:val="0"/>
              <w:spacing w:before="0" w:beforeAutospacing="0" w:after="0" w:afterAutospacing="0" w:line="500" w:lineRule="exact"/>
              <w:ind w:left="0" w:right="0"/>
              <w:rPr>
                <w:rFonts w:hint="default" w:ascii="仿宋" w:hAnsi="仿宋" w:eastAsia="仿宋"/>
                <w:color w:val="auto"/>
                <w:sz w:val="32"/>
                <w:szCs w:val="32"/>
                <w:highlight w:val="none"/>
              </w:rPr>
            </w:pPr>
            <w:r>
              <w:rPr>
                <w:rFonts w:hint="eastAsia" w:ascii="仿宋" w:hAnsi="仿宋" w:eastAsia="仿宋"/>
                <w:color w:val="auto"/>
                <w:sz w:val="32"/>
                <w:szCs w:val="32"/>
                <w:highlight w:val="none"/>
              </w:rPr>
              <w:t>(1) 投标书</w:t>
            </w:r>
          </w:p>
        </w:tc>
        <w:tc>
          <w:tcPr>
            <w:tcW w:w="4463" w:type="dxa"/>
          </w:tcPr>
          <w:p w14:paraId="329BF570">
            <w:pPr>
              <w:keepNext w:val="0"/>
              <w:keepLines w:val="0"/>
              <w:suppressLineNumbers w:val="0"/>
              <w:spacing w:before="0" w:beforeAutospacing="0" w:after="0" w:afterAutospacing="0" w:line="500" w:lineRule="exact"/>
              <w:ind w:left="0" w:right="0"/>
              <w:rPr>
                <w:rFonts w:hint="default" w:ascii="仿宋" w:hAnsi="仿宋" w:eastAsia="仿宋"/>
                <w:color w:val="auto"/>
                <w:sz w:val="32"/>
                <w:szCs w:val="32"/>
                <w:highlight w:val="none"/>
              </w:rPr>
            </w:pPr>
            <w:r>
              <w:rPr>
                <w:rFonts w:hint="eastAsia" w:ascii="仿宋" w:hAnsi="仿宋" w:eastAsia="仿宋"/>
                <w:color w:val="auto"/>
                <w:sz w:val="32"/>
                <w:szCs w:val="32"/>
                <w:highlight w:val="none"/>
              </w:rPr>
              <w:t>(2) 开标一览表</w:t>
            </w:r>
          </w:p>
        </w:tc>
      </w:tr>
      <w:tr w14:paraId="7089DB36">
        <w:tblPrEx>
          <w:tblCellMar>
            <w:top w:w="0" w:type="dxa"/>
            <w:left w:w="108" w:type="dxa"/>
            <w:bottom w:w="0" w:type="dxa"/>
            <w:right w:w="108" w:type="dxa"/>
          </w:tblCellMar>
        </w:tblPrEx>
        <w:trPr>
          <w:trHeight w:val="629" w:hRule="atLeast"/>
          <w:jc w:val="center"/>
        </w:trPr>
        <w:tc>
          <w:tcPr>
            <w:tcW w:w="4465" w:type="dxa"/>
          </w:tcPr>
          <w:p w14:paraId="4D8917B3">
            <w:pPr>
              <w:keepNext w:val="0"/>
              <w:keepLines w:val="0"/>
              <w:suppressLineNumbers w:val="0"/>
              <w:spacing w:before="0" w:beforeAutospacing="0" w:after="0" w:afterAutospacing="0" w:line="500" w:lineRule="exact"/>
              <w:ind w:left="0" w:right="0"/>
              <w:rPr>
                <w:rFonts w:hint="default" w:ascii="仿宋" w:hAnsi="仿宋" w:eastAsia="仿宋"/>
                <w:color w:val="auto"/>
                <w:sz w:val="32"/>
                <w:szCs w:val="32"/>
                <w:highlight w:val="none"/>
              </w:rPr>
            </w:pPr>
            <w:r>
              <w:rPr>
                <w:rFonts w:hint="eastAsia" w:ascii="仿宋" w:hAnsi="仿宋" w:eastAsia="仿宋"/>
                <w:color w:val="auto"/>
                <w:sz w:val="32"/>
                <w:szCs w:val="32"/>
                <w:highlight w:val="none"/>
              </w:rPr>
              <w:t xml:space="preserve">(3) </w:t>
            </w:r>
            <w:r>
              <w:rPr>
                <w:rFonts w:hint="eastAsia" w:ascii="仿宋" w:hAnsi="仿宋" w:eastAsia="仿宋"/>
                <w:color w:val="auto"/>
                <w:sz w:val="32"/>
                <w:szCs w:val="32"/>
                <w:highlight w:val="none"/>
                <w:lang w:val="en-US" w:eastAsia="zh-CN"/>
              </w:rPr>
              <w:t>投标人业绩证明</w:t>
            </w:r>
          </w:p>
        </w:tc>
        <w:tc>
          <w:tcPr>
            <w:tcW w:w="4463" w:type="dxa"/>
          </w:tcPr>
          <w:p w14:paraId="1D432895">
            <w:pPr>
              <w:keepNext w:val="0"/>
              <w:keepLines w:val="0"/>
              <w:suppressLineNumbers w:val="0"/>
              <w:spacing w:before="0" w:beforeAutospacing="0" w:after="0" w:afterAutospacing="0" w:line="500" w:lineRule="exact"/>
              <w:ind w:left="0" w:right="0"/>
              <w:jc w:val="left"/>
              <w:rPr>
                <w:rFonts w:hint="default" w:ascii="仿宋" w:hAnsi="仿宋" w:eastAsia="仿宋"/>
                <w:color w:val="auto"/>
                <w:sz w:val="32"/>
                <w:szCs w:val="32"/>
                <w:highlight w:val="none"/>
              </w:rPr>
            </w:pPr>
            <w:r>
              <w:rPr>
                <w:rFonts w:hint="eastAsia" w:ascii="仿宋" w:hAnsi="仿宋" w:eastAsia="仿宋"/>
                <w:color w:val="auto"/>
                <w:sz w:val="32"/>
                <w:szCs w:val="32"/>
                <w:highlight w:val="none"/>
              </w:rPr>
              <w:t xml:space="preserve">(4) </w:t>
            </w:r>
            <w:r>
              <w:rPr>
                <w:rFonts w:hint="eastAsia" w:ascii="仿宋" w:hAnsi="仿宋" w:eastAsia="仿宋"/>
                <w:b w:val="0"/>
                <w:bCs w:val="0"/>
                <w:color w:val="auto"/>
                <w:sz w:val="32"/>
                <w:szCs w:val="32"/>
                <w:highlight w:val="none"/>
              </w:rPr>
              <w:t>拟派项目其他人员履历</w:t>
            </w:r>
          </w:p>
        </w:tc>
      </w:tr>
      <w:tr w14:paraId="51F51A4E">
        <w:tblPrEx>
          <w:tblCellMar>
            <w:top w:w="0" w:type="dxa"/>
            <w:left w:w="108" w:type="dxa"/>
            <w:bottom w:w="0" w:type="dxa"/>
            <w:right w:w="108" w:type="dxa"/>
          </w:tblCellMar>
        </w:tblPrEx>
        <w:trPr>
          <w:trHeight w:val="454" w:hRule="atLeast"/>
          <w:jc w:val="center"/>
        </w:trPr>
        <w:tc>
          <w:tcPr>
            <w:tcW w:w="4465" w:type="dxa"/>
          </w:tcPr>
          <w:p w14:paraId="6950E32E">
            <w:pPr>
              <w:keepNext w:val="0"/>
              <w:keepLines w:val="0"/>
              <w:suppressLineNumbers w:val="0"/>
              <w:spacing w:before="0" w:beforeAutospacing="0" w:after="0" w:afterAutospacing="0" w:line="500" w:lineRule="exact"/>
              <w:ind w:left="0" w:right="0"/>
              <w:rPr>
                <w:rFonts w:hint="default" w:ascii="仿宋" w:hAnsi="仿宋" w:eastAsia="仿宋"/>
                <w:color w:val="auto"/>
                <w:sz w:val="32"/>
                <w:szCs w:val="32"/>
                <w:highlight w:val="none"/>
              </w:rPr>
            </w:pPr>
            <w:r>
              <w:rPr>
                <w:rFonts w:hint="eastAsia" w:ascii="仿宋" w:hAnsi="仿宋" w:eastAsia="仿宋"/>
                <w:color w:val="auto"/>
                <w:sz w:val="32"/>
                <w:szCs w:val="32"/>
                <w:highlight w:val="none"/>
              </w:rPr>
              <w:t xml:space="preserve">(5) </w:t>
            </w:r>
            <w:r>
              <w:rPr>
                <w:rFonts w:hint="eastAsia" w:ascii="仿宋" w:hAnsi="仿宋" w:eastAsia="仿宋"/>
                <w:b w:val="0"/>
                <w:bCs w:val="0"/>
                <w:color w:val="auto"/>
                <w:sz w:val="32"/>
                <w:szCs w:val="32"/>
                <w:highlight w:val="none"/>
                <w:lang w:val="en-US" w:eastAsia="zh-CN"/>
              </w:rPr>
              <w:t>模拟验收</w:t>
            </w:r>
            <w:r>
              <w:rPr>
                <w:rFonts w:hint="eastAsia" w:ascii="仿宋" w:hAnsi="仿宋" w:eastAsia="仿宋"/>
                <w:b w:val="0"/>
                <w:bCs w:val="0"/>
                <w:color w:val="auto"/>
                <w:sz w:val="32"/>
                <w:szCs w:val="32"/>
                <w:highlight w:val="none"/>
              </w:rPr>
              <w:t>服务承诺函</w:t>
            </w:r>
          </w:p>
        </w:tc>
        <w:tc>
          <w:tcPr>
            <w:tcW w:w="4463" w:type="dxa"/>
          </w:tcPr>
          <w:p w14:paraId="2B0208AD">
            <w:pPr>
              <w:keepNext w:val="0"/>
              <w:keepLines w:val="0"/>
              <w:suppressLineNumbers w:val="0"/>
              <w:spacing w:before="0" w:beforeAutospacing="0" w:after="0" w:afterAutospacing="0" w:line="500" w:lineRule="exact"/>
              <w:ind w:left="0" w:right="0"/>
              <w:rPr>
                <w:rFonts w:hint="default" w:ascii="仿宋" w:hAnsi="仿宋" w:eastAsia="仿宋"/>
                <w:color w:val="auto"/>
                <w:sz w:val="32"/>
                <w:szCs w:val="32"/>
                <w:highlight w:val="none"/>
              </w:rPr>
            </w:pPr>
            <w:r>
              <w:rPr>
                <w:rFonts w:hint="eastAsia" w:ascii="仿宋" w:hAnsi="仿宋" w:eastAsia="仿宋"/>
                <w:color w:val="auto"/>
                <w:sz w:val="32"/>
                <w:szCs w:val="32"/>
                <w:highlight w:val="none"/>
              </w:rPr>
              <w:t>(6) 法人代表授权书</w:t>
            </w:r>
          </w:p>
        </w:tc>
      </w:tr>
      <w:tr w14:paraId="664C700E">
        <w:tblPrEx>
          <w:tblCellMar>
            <w:top w:w="0" w:type="dxa"/>
            <w:left w:w="108" w:type="dxa"/>
            <w:bottom w:w="0" w:type="dxa"/>
            <w:right w:w="108" w:type="dxa"/>
          </w:tblCellMar>
        </w:tblPrEx>
        <w:trPr>
          <w:trHeight w:val="454" w:hRule="atLeast"/>
          <w:jc w:val="center"/>
        </w:trPr>
        <w:tc>
          <w:tcPr>
            <w:tcW w:w="4465" w:type="dxa"/>
          </w:tcPr>
          <w:p w14:paraId="5CA1A349">
            <w:pPr>
              <w:keepNext w:val="0"/>
              <w:keepLines w:val="0"/>
              <w:suppressLineNumbers w:val="0"/>
              <w:spacing w:before="0" w:beforeAutospacing="0" w:after="0" w:afterAutospacing="0" w:line="500" w:lineRule="exact"/>
              <w:ind w:left="0" w:right="0"/>
              <w:rPr>
                <w:rFonts w:hint="default" w:ascii="仿宋" w:hAnsi="仿宋" w:eastAsia="仿宋"/>
                <w:color w:val="auto"/>
                <w:sz w:val="32"/>
                <w:szCs w:val="32"/>
                <w:highlight w:val="none"/>
              </w:rPr>
            </w:pPr>
            <w:r>
              <w:rPr>
                <w:rFonts w:hint="eastAsia" w:ascii="仿宋" w:hAnsi="仿宋" w:eastAsia="仿宋"/>
                <w:color w:val="auto"/>
                <w:sz w:val="32"/>
                <w:szCs w:val="32"/>
                <w:highlight w:val="none"/>
              </w:rPr>
              <w:t xml:space="preserve">(7) </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法人营业执照</w:t>
            </w:r>
          </w:p>
        </w:tc>
        <w:tc>
          <w:tcPr>
            <w:tcW w:w="4463" w:type="dxa"/>
          </w:tcPr>
          <w:p w14:paraId="321DB237">
            <w:pPr>
              <w:keepNext w:val="0"/>
              <w:keepLines w:val="0"/>
              <w:suppressLineNumbers w:val="0"/>
              <w:spacing w:before="0" w:beforeAutospacing="0" w:after="0" w:afterAutospacing="0" w:line="500" w:lineRule="exact"/>
              <w:ind w:left="0" w:right="0"/>
              <w:rPr>
                <w:rFonts w:hint="default"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rPr>
              <w:t>廉洁承诺书</w:t>
            </w:r>
          </w:p>
        </w:tc>
      </w:tr>
      <w:tr w14:paraId="55ACC925">
        <w:tblPrEx>
          <w:tblCellMar>
            <w:top w:w="0" w:type="dxa"/>
            <w:left w:w="108" w:type="dxa"/>
            <w:bottom w:w="0" w:type="dxa"/>
            <w:right w:w="108" w:type="dxa"/>
          </w:tblCellMar>
        </w:tblPrEx>
        <w:trPr>
          <w:trHeight w:val="454" w:hRule="atLeast"/>
          <w:jc w:val="center"/>
        </w:trPr>
        <w:tc>
          <w:tcPr>
            <w:tcW w:w="4465" w:type="dxa"/>
          </w:tcPr>
          <w:p w14:paraId="49FFDD20">
            <w:pPr>
              <w:keepNext w:val="0"/>
              <w:keepLines w:val="0"/>
              <w:numPr>
                <w:ilvl w:val="0"/>
                <w:numId w:val="4"/>
              </w:numPr>
              <w:suppressLineNumbers w:val="0"/>
              <w:spacing w:before="0" w:beforeAutospacing="0" w:after="0" w:afterAutospacing="0" w:line="500" w:lineRule="exact"/>
              <w:ind w:left="0" w:right="0"/>
              <w:rPr>
                <w:rFonts w:hint="eastAsia" w:ascii="仿宋" w:hAnsi="仿宋" w:eastAsia="仿宋"/>
                <w:color w:val="auto"/>
                <w:sz w:val="32"/>
                <w:szCs w:val="32"/>
                <w:highlight w:val="none"/>
              </w:rPr>
            </w:pPr>
            <w:r>
              <w:rPr>
                <w:rFonts w:hint="eastAsia" w:ascii="仿宋" w:hAnsi="仿宋" w:eastAsia="仿宋"/>
                <w:b w:val="0"/>
                <w:bCs w:val="0"/>
                <w:color w:val="auto"/>
                <w:sz w:val="32"/>
                <w:szCs w:val="32"/>
                <w:highlight w:val="none"/>
              </w:rPr>
              <w:t>带“★”号条款逐条响应情况表</w:t>
            </w:r>
          </w:p>
        </w:tc>
        <w:tc>
          <w:tcPr>
            <w:tcW w:w="4463" w:type="dxa"/>
          </w:tcPr>
          <w:p w14:paraId="6FF0A5C7">
            <w:pPr>
              <w:keepNext w:val="0"/>
              <w:keepLines w:val="0"/>
              <w:suppressLineNumbers w:val="0"/>
              <w:spacing w:before="120" w:beforeLines="50" w:beforeAutospacing="0" w:after="120" w:afterLines="50" w:afterAutospacing="0" w:line="240" w:lineRule="auto"/>
              <w:ind w:left="0" w:right="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(10)</w:t>
            </w:r>
            <w:r>
              <w:rPr>
                <w:rFonts w:hint="eastAsia" w:ascii="仿宋" w:hAnsi="仿宋" w:eastAsia="仿宋"/>
                <w:color w:val="auto"/>
                <w:sz w:val="32"/>
                <w:szCs w:val="32"/>
                <w:highlight w:val="none"/>
              </w:rPr>
              <w:t>投标人提交的其它资料</w:t>
            </w:r>
          </w:p>
        </w:tc>
      </w:tr>
      <w:tr w14:paraId="54044E6F">
        <w:tblPrEx>
          <w:tblCellMar>
            <w:top w:w="0" w:type="dxa"/>
            <w:left w:w="108" w:type="dxa"/>
            <w:bottom w:w="0" w:type="dxa"/>
            <w:right w:w="108" w:type="dxa"/>
          </w:tblCellMar>
        </w:tblPrEx>
        <w:trPr>
          <w:trHeight w:val="454" w:hRule="atLeast"/>
          <w:jc w:val="center"/>
        </w:trPr>
        <w:tc>
          <w:tcPr>
            <w:tcW w:w="4465" w:type="dxa"/>
          </w:tcPr>
          <w:p w14:paraId="0DE2EEF9">
            <w:pPr>
              <w:keepNext w:val="0"/>
              <w:keepLines w:val="0"/>
              <w:numPr>
                <w:ilvl w:val="-1"/>
                <w:numId w:val="0"/>
              </w:numPr>
              <w:suppressLineNumbers w:val="0"/>
              <w:spacing w:before="0" w:beforeAutospacing="0" w:after="0" w:afterAutospacing="0" w:line="500" w:lineRule="exact"/>
              <w:ind w:left="0" w:right="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(11)</w:t>
            </w:r>
            <w:r>
              <w:rPr>
                <w:rFonts w:hint="eastAsia" w:ascii="仿宋" w:hAnsi="仿宋" w:eastAsia="仿宋"/>
                <w:color w:val="auto"/>
                <w:sz w:val="32"/>
                <w:szCs w:val="32"/>
                <w:lang w:val="en-US" w:eastAsia="zh-CN"/>
              </w:rPr>
              <w:t>以</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lang w:val="en-US" w:eastAsia="zh-CN"/>
              </w:rPr>
              <w:t>方式提供的金额为人民币</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lang w:val="en-US" w:eastAsia="zh-CN"/>
              </w:rPr>
              <w:t>元的投标保证金。</w:t>
            </w:r>
          </w:p>
        </w:tc>
        <w:tc>
          <w:tcPr>
            <w:tcW w:w="4463" w:type="dxa"/>
          </w:tcPr>
          <w:p w14:paraId="73DE6943">
            <w:pPr>
              <w:keepNext w:val="0"/>
              <w:keepLines w:val="0"/>
              <w:suppressLineNumbers w:val="0"/>
              <w:spacing w:before="120" w:beforeLines="50" w:beforeAutospacing="0" w:after="120" w:afterLines="50" w:afterAutospacing="0" w:line="240" w:lineRule="auto"/>
              <w:ind w:left="0" w:right="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lang w:val="en-US" w:eastAsia="zh-CN"/>
              </w:rPr>
              <w:t>（12）</w:t>
            </w:r>
          </w:p>
        </w:tc>
      </w:tr>
    </w:tbl>
    <w:p w14:paraId="03E3DFF0">
      <w:pPr>
        <w:spacing w:line="500" w:lineRule="exact"/>
        <w:rPr>
          <w:rFonts w:ascii="仿宋" w:hAnsi="仿宋" w:eastAsia="仿宋"/>
          <w:color w:val="auto"/>
          <w:sz w:val="32"/>
          <w:szCs w:val="32"/>
          <w:highlight w:val="none"/>
        </w:rPr>
      </w:pPr>
    </w:p>
    <w:p w14:paraId="258D7970">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据此函，签字代表宣布同意如下：</w:t>
      </w:r>
    </w:p>
    <w:p w14:paraId="6FA5C2E1">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1.投标人已详细审查全部招标文件，包括修改文件（如有的话）和有关附件，将自行承担因对全部招标文件理解不正确或误解而产生的相应后果。</w:t>
      </w:r>
    </w:p>
    <w:p w14:paraId="29061025">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2.投标人保证遵守招标文件的全部规定，投标人所提交的材料中所含的信息均为真实、准确、完整，且不具有任何误导性。</w:t>
      </w:r>
    </w:p>
    <w:p w14:paraId="4D3D5403">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3.投标人将按招标文件的规定履行合同责任和义务。</w:t>
      </w:r>
    </w:p>
    <w:p w14:paraId="583B0FD7">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4.本投标文件自开标日起投标有效期为：在招标文件投标人须知前附表第</w:t>
      </w:r>
      <w:r>
        <w:rPr>
          <w:rFonts w:ascii="仿宋" w:hAnsi="仿宋" w:eastAsia="仿宋"/>
          <w:color w:val="auto"/>
          <w:sz w:val="32"/>
          <w:szCs w:val="32"/>
          <w:highlight w:val="none"/>
        </w:rPr>
        <w:t>3</w:t>
      </w:r>
      <w:r>
        <w:rPr>
          <w:rFonts w:hint="eastAsia" w:ascii="仿宋" w:hAnsi="仿宋" w:eastAsia="仿宋"/>
          <w:color w:val="auto"/>
          <w:sz w:val="32"/>
          <w:szCs w:val="32"/>
          <w:highlight w:val="none"/>
        </w:rPr>
        <w:t>项所规定的期限内保持有效。</w:t>
      </w:r>
    </w:p>
    <w:p w14:paraId="1DD6856E">
      <w:pPr>
        <w:spacing w:line="500" w:lineRule="exact"/>
        <w:ind w:firstLine="0" w:firstLineChars="0"/>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w:t>
      </w:r>
      <w:r>
        <w:rPr>
          <w:rFonts w:hint="eastAsia" w:ascii="仿宋" w:hAnsi="仿宋" w:eastAsia="仿宋"/>
          <w:color w:val="auto"/>
          <w:sz w:val="32"/>
          <w:szCs w:val="32"/>
          <w:highlight w:val="none"/>
          <w:lang w:val="en-US" w:eastAsia="zh-CN"/>
        </w:rPr>
        <w:t xml:space="preserve">  5</w:t>
      </w:r>
      <w:r>
        <w:rPr>
          <w:rFonts w:hint="eastAsia" w:ascii="仿宋" w:hAnsi="仿宋" w:eastAsia="仿宋"/>
          <w:color w:val="auto"/>
          <w:sz w:val="32"/>
          <w:szCs w:val="32"/>
          <w:highlight w:val="none"/>
        </w:rPr>
        <w:t>.投标人同意提供按照招标人可能要求的与其投标有关的一切数据或资料，完全理解贵方不一定要接受最低的报价或收到的任何投标。</w:t>
      </w:r>
    </w:p>
    <w:p w14:paraId="77F65AB1">
      <w:pPr>
        <w:spacing w:line="5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 与本投标有关的一切正式往来通讯请寄：</w:t>
      </w:r>
    </w:p>
    <w:p w14:paraId="0E94257C">
      <w:pPr>
        <w:spacing w:line="500" w:lineRule="exact"/>
        <w:ind w:firstLine="640" w:firstLineChars="200"/>
        <w:rPr>
          <w:rFonts w:ascii="仿宋" w:hAnsi="仿宋" w:eastAsia="仿宋"/>
          <w:color w:val="auto"/>
          <w:sz w:val="32"/>
          <w:szCs w:val="32"/>
          <w:highlight w:val="none"/>
          <w:u w:val="single"/>
        </w:rPr>
      </w:pPr>
      <w:r>
        <w:rPr>
          <w:rFonts w:hint="eastAsia" w:ascii="仿宋" w:hAnsi="仿宋" w:eastAsia="仿宋"/>
          <w:color w:val="auto"/>
          <w:sz w:val="32"/>
          <w:szCs w:val="32"/>
          <w:highlight w:val="none"/>
        </w:rPr>
        <w:t xml:space="preserve">地址：  邮编： </w:t>
      </w:r>
    </w:p>
    <w:p w14:paraId="496738FF">
      <w:pPr>
        <w:spacing w:line="500" w:lineRule="exact"/>
        <w:ind w:firstLine="640" w:firstLineChars="200"/>
        <w:rPr>
          <w:rFonts w:ascii="仿宋" w:hAnsi="仿宋" w:eastAsia="仿宋"/>
          <w:color w:val="auto"/>
          <w:sz w:val="32"/>
          <w:szCs w:val="32"/>
          <w:highlight w:val="none"/>
          <w:u w:val="single"/>
        </w:rPr>
      </w:pPr>
      <w:r>
        <w:rPr>
          <w:rFonts w:hint="eastAsia" w:ascii="仿宋" w:hAnsi="仿宋" w:eastAsia="仿宋"/>
          <w:color w:val="auto"/>
          <w:sz w:val="32"/>
          <w:szCs w:val="32"/>
          <w:highlight w:val="none"/>
        </w:rPr>
        <w:t xml:space="preserve">电话：  传真： </w:t>
      </w:r>
    </w:p>
    <w:p w14:paraId="3B4EE8DC">
      <w:pPr>
        <w:spacing w:line="500" w:lineRule="exact"/>
        <w:ind w:firstLine="640" w:firstLineChars="200"/>
        <w:rPr>
          <w:rFonts w:ascii="仿宋" w:hAnsi="仿宋" w:eastAsia="仿宋"/>
          <w:color w:val="auto"/>
          <w:sz w:val="32"/>
          <w:szCs w:val="32"/>
          <w:highlight w:val="none"/>
          <w:u w:val="single"/>
        </w:rPr>
      </w:pPr>
      <w:r>
        <w:rPr>
          <w:rFonts w:hint="eastAsia" w:ascii="仿宋" w:hAnsi="仿宋" w:eastAsia="仿宋"/>
          <w:color w:val="auto"/>
          <w:sz w:val="32"/>
          <w:szCs w:val="32"/>
          <w:highlight w:val="none"/>
        </w:rPr>
        <w:t xml:space="preserve">投标人代表签字： </w:t>
      </w:r>
    </w:p>
    <w:p w14:paraId="6C823109">
      <w:pPr>
        <w:spacing w:line="500" w:lineRule="exact"/>
        <w:ind w:firstLine="640" w:firstLineChars="200"/>
        <w:rPr>
          <w:rFonts w:ascii="仿宋" w:hAnsi="仿宋" w:eastAsia="仿宋"/>
          <w:color w:val="auto"/>
          <w:sz w:val="32"/>
          <w:szCs w:val="32"/>
          <w:highlight w:val="none"/>
          <w:u w:val="single"/>
        </w:rPr>
      </w:pPr>
      <w:r>
        <w:rPr>
          <w:rFonts w:hint="eastAsia" w:ascii="仿宋" w:hAnsi="仿宋" w:eastAsia="仿宋"/>
          <w:color w:val="auto"/>
          <w:sz w:val="32"/>
          <w:szCs w:val="32"/>
          <w:highlight w:val="none"/>
        </w:rPr>
        <w:t>投标人（全称并加盖公章）：</w:t>
      </w:r>
    </w:p>
    <w:p w14:paraId="1D0D0F39">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日  期： 年 月 日</w:t>
      </w:r>
    </w:p>
    <w:p w14:paraId="715E448D">
      <w:pPr>
        <w:spacing w:line="240" w:lineRule="auto"/>
        <w:rPr>
          <w:rFonts w:ascii="仿宋" w:hAnsi="仿宋" w:eastAsia="仿宋"/>
          <w:b/>
          <w:bCs/>
          <w:color w:val="auto"/>
          <w:sz w:val="32"/>
          <w:szCs w:val="32"/>
          <w:highlight w:val="none"/>
        </w:rPr>
      </w:pPr>
      <w:r>
        <w:rPr>
          <w:rFonts w:ascii="仿宋" w:hAnsi="仿宋" w:eastAsia="仿宋"/>
          <w:b/>
          <w:bCs/>
          <w:color w:val="auto"/>
          <w:sz w:val="32"/>
          <w:szCs w:val="32"/>
          <w:highlight w:val="none"/>
        </w:rPr>
        <w:br w:type="page"/>
      </w:r>
    </w:p>
    <w:p w14:paraId="44D34EDD">
      <w:pPr>
        <w:spacing w:line="240" w:lineRule="auto"/>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格式2　</w:t>
      </w:r>
    </w:p>
    <w:p w14:paraId="3C3D02D6">
      <w:pPr>
        <w:spacing w:line="500" w:lineRule="exact"/>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开标一览表</w:t>
      </w:r>
    </w:p>
    <w:p w14:paraId="005C5D24">
      <w:pPr>
        <w:pStyle w:val="8"/>
        <w:tabs>
          <w:tab w:val="left" w:pos="3996"/>
          <w:tab w:val="left" w:pos="8437"/>
        </w:tabs>
        <w:spacing w:line="500" w:lineRule="exact"/>
        <w:ind w:left="36"/>
        <w:rPr>
          <w:rFonts w:ascii="仿宋" w:hAnsi="仿宋" w:eastAsia="仿宋"/>
          <w:color w:val="auto"/>
          <w:sz w:val="32"/>
          <w:szCs w:val="32"/>
          <w:highlight w:val="none"/>
        </w:rPr>
      </w:pPr>
    </w:p>
    <w:p w14:paraId="4433DAE0">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投标人全称（加盖公章）：</w:t>
      </w:r>
    </w:p>
    <w:p w14:paraId="5FBC7C3A">
      <w:pPr>
        <w:spacing w:line="500" w:lineRule="exac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招标项目：</w:t>
      </w:r>
      <w:r>
        <w:rPr>
          <w:rFonts w:hint="eastAsia" w:ascii="仿宋" w:hAnsi="仿宋" w:eastAsia="仿宋"/>
          <w:color w:val="auto"/>
          <w:sz w:val="32"/>
          <w:szCs w:val="32"/>
          <w:highlight w:val="none"/>
          <w:u w:val="single"/>
        </w:rPr>
        <w:t>　　　　　　　　　　　　</w:t>
      </w:r>
      <w:r>
        <w:rPr>
          <w:rFonts w:hint="eastAsia" w:ascii="仿宋" w:hAnsi="仿宋" w:eastAsia="仿宋"/>
          <w:color w:val="auto"/>
          <w:sz w:val="32"/>
          <w:szCs w:val="32"/>
          <w:highlight w:val="none"/>
        </w:rPr>
        <w:t>　　　</w:t>
      </w:r>
    </w:p>
    <w:p w14:paraId="6F8CA3C5">
      <w:pPr>
        <w:spacing w:line="500" w:lineRule="exact"/>
        <w:rPr>
          <w:rFonts w:ascii="仿宋" w:hAnsi="仿宋" w:eastAsia="仿宋"/>
          <w:color w:val="auto"/>
          <w:sz w:val="32"/>
          <w:szCs w:val="32"/>
          <w:highlight w:val="none"/>
          <w:u w:val="single"/>
        </w:rPr>
      </w:pPr>
      <w:r>
        <w:rPr>
          <w:rFonts w:hint="eastAsia" w:ascii="仿宋" w:hAnsi="仿宋" w:eastAsia="仿宋"/>
          <w:color w:val="auto"/>
          <w:sz w:val="32"/>
          <w:szCs w:val="32"/>
          <w:highlight w:val="none"/>
        </w:rPr>
        <w:t>招标编号：</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rPr>
        <w:t xml:space="preserve">  </w:t>
      </w:r>
    </w:p>
    <w:p w14:paraId="0089C9DF">
      <w:pPr>
        <w:pStyle w:val="8"/>
        <w:tabs>
          <w:tab w:val="left" w:pos="3996"/>
          <w:tab w:val="left" w:pos="8437"/>
        </w:tabs>
        <w:spacing w:line="500" w:lineRule="exact"/>
        <w:ind w:left="36"/>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货币单位：</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lang w:val="en-US" w:eastAsia="zh-CN"/>
        </w:rPr>
        <w:t xml:space="preserve">  </w:t>
      </w:r>
    </w:p>
    <w:tbl>
      <w:tblPr>
        <w:tblStyle w:val="17"/>
        <w:tblW w:w="500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0"/>
        <w:gridCol w:w="1333"/>
        <w:gridCol w:w="2533"/>
        <w:gridCol w:w="805"/>
        <w:gridCol w:w="1470"/>
        <w:gridCol w:w="1435"/>
        <w:gridCol w:w="927"/>
      </w:tblGrid>
      <w:tr w14:paraId="66CDA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88B93">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成都海上蓉屿项目</w:t>
            </w:r>
          </w:p>
        </w:tc>
      </w:tr>
      <w:tr w14:paraId="0D7B4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jc w:val="center"/>
        </w:trPr>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EA4C">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B80F">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阶段</w:t>
            </w:r>
          </w:p>
        </w:tc>
        <w:tc>
          <w:tcPr>
            <w:tcW w:w="1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2936">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服务周期（月）</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5986">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人数</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09A57">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小计</w:t>
            </w:r>
          </w:p>
          <w:p w14:paraId="084CFFBB">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（单位：元）</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78FE0">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投标保证金</w:t>
            </w:r>
          </w:p>
          <w:p w14:paraId="45CAA9D6">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（单位：元）</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641D">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1B99A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B0C1F">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3265">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查验阶段</w:t>
            </w:r>
          </w:p>
        </w:tc>
        <w:tc>
          <w:tcPr>
            <w:tcW w:w="1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3172">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月</w:t>
            </w:r>
            <w:r>
              <w:rPr>
                <w:rFonts w:hint="default" w:ascii="宋体" w:hAnsi="宋体"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日-6月30日</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1165">
            <w:pPr>
              <w:keepNext w:val="0"/>
              <w:keepLines w:val="0"/>
              <w:suppressLineNumbers w:val="0"/>
              <w:snapToGrid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91B7">
            <w:pPr>
              <w:keepNext w:val="0"/>
              <w:keepLines w:val="0"/>
              <w:suppressLineNumbers w:val="0"/>
              <w:snapToGrid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C13EF">
            <w:pPr>
              <w:keepNext w:val="0"/>
              <w:keepLines w:val="0"/>
              <w:suppressLineNumbers w:val="0"/>
              <w:snapToGrid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62C4">
            <w:pPr>
              <w:keepNext w:val="0"/>
              <w:keepLines w:val="0"/>
              <w:suppressLineNumbers w:val="0"/>
              <w:snapToGrid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1246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81CD1">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03727">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工开阶段</w:t>
            </w:r>
          </w:p>
        </w:tc>
        <w:tc>
          <w:tcPr>
            <w:tcW w:w="1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9E7C">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5月15日-5月19日</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77A1B">
            <w:pPr>
              <w:keepNext w:val="0"/>
              <w:keepLines w:val="0"/>
              <w:suppressLineNumbers w:val="0"/>
              <w:snapToGrid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A8A1">
            <w:pPr>
              <w:keepNext w:val="0"/>
              <w:keepLines w:val="0"/>
              <w:suppressLineNumbers w:val="0"/>
              <w:snapToGrid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3995">
            <w:pPr>
              <w:keepNext w:val="0"/>
              <w:keepLines w:val="0"/>
              <w:suppressLineNumbers w:val="0"/>
              <w:snapToGrid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598C7">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不含现场查验人员</w:t>
            </w:r>
          </w:p>
        </w:tc>
      </w:tr>
      <w:tr w14:paraId="4B02D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47DEE">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8CA32">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交付阶段</w:t>
            </w:r>
          </w:p>
        </w:tc>
        <w:tc>
          <w:tcPr>
            <w:tcW w:w="1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A39DB">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6月26日-6月30日</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415A0">
            <w:pPr>
              <w:keepNext w:val="0"/>
              <w:keepLines w:val="0"/>
              <w:suppressLineNumbers w:val="0"/>
              <w:snapToGrid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64D84">
            <w:pPr>
              <w:keepNext w:val="0"/>
              <w:keepLines w:val="0"/>
              <w:suppressLineNumbers w:val="0"/>
              <w:snapToGrid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D9D5">
            <w:pPr>
              <w:keepNext w:val="0"/>
              <w:keepLines w:val="0"/>
              <w:suppressLineNumbers w:val="0"/>
              <w:snapToGrid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0E498">
            <w:pPr>
              <w:keepNext w:val="0"/>
              <w:keepLines w:val="0"/>
              <w:suppressLineNumbers w:val="0"/>
              <w:snapToGrid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929E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FAC9">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B53D">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维保阶段</w:t>
            </w:r>
          </w:p>
        </w:tc>
        <w:tc>
          <w:tcPr>
            <w:tcW w:w="1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9995D">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7月1日-7月31日</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1B52">
            <w:pPr>
              <w:keepNext w:val="0"/>
              <w:keepLines w:val="0"/>
              <w:suppressLineNumbers w:val="0"/>
              <w:snapToGrid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63CD">
            <w:pPr>
              <w:keepNext w:val="0"/>
              <w:keepLines w:val="0"/>
              <w:suppressLineNumbers w:val="0"/>
              <w:snapToGrid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8455">
            <w:pPr>
              <w:keepNext w:val="0"/>
              <w:keepLines w:val="0"/>
              <w:suppressLineNumbers w:val="0"/>
              <w:snapToGrid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99FA8">
            <w:pPr>
              <w:keepNext w:val="0"/>
              <w:keepLines w:val="0"/>
              <w:suppressLineNumbers w:val="0"/>
              <w:snapToGrid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EB9A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FF673">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A301">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总价（含税）</w:t>
            </w:r>
          </w:p>
        </w:tc>
        <w:tc>
          <w:tcPr>
            <w:tcW w:w="1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3B287">
            <w:pPr>
              <w:keepNext w:val="0"/>
              <w:keepLines w:val="0"/>
              <w:suppressLineNumbers w:val="0"/>
              <w:snapToGrid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C1B6">
            <w:pPr>
              <w:keepNext w:val="0"/>
              <w:keepLines w:val="0"/>
              <w:suppressLineNumbers w:val="0"/>
              <w:snapToGrid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2AB88">
            <w:pPr>
              <w:keepNext w:val="0"/>
              <w:keepLines w:val="0"/>
              <w:suppressLineNumbers w:val="0"/>
              <w:snapToGrid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672E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9946">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FBDD">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税率</w:t>
            </w:r>
          </w:p>
        </w:tc>
        <w:tc>
          <w:tcPr>
            <w:tcW w:w="12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D1C6">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8AD9">
            <w:pPr>
              <w:keepNext w:val="0"/>
              <w:keepLines w:val="0"/>
              <w:suppressLineNumbers w:val="0"/>
              <w:snapToGrid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F947">
            <w:pPr>
              <w:keepNext w:val="0"/>
              <w:keepLines w:val="0"/>
              <w:suppressLineNumbers w:val="0"/>
              <w:snapToGrid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5FF1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894B">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0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BB2D">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不含税报价</w:t>
            </w:r>
          </w:p>
        </w:tc>
        <w:tc>
          <w:tcPr>
            <w:tcW w:w="12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ABC2">
            <w:pPr>
              <w:keepNext w:val="0"/>
              <w:keepLines w:val="0"/>
              <w:suppressLineNumbers w:val="0"/>
              <w:snapToGrid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375D6">
            <w:pPr>
              <w:keepNext w:val="0"/>
              <w:keepLines w:val="0"/>
              <w:suppressLineNumbers w:val="0"/>
              <w:snapToGrid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A5A8C">
            <w:pPr>
              <w:keepNext w:val="0"/>
              <w:keepLines w:val="0"/>
              <w:suppressLineNumbers w:val="0"/>
              <w:snapToGrid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B435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9F920B7">
            <w:pPr>
              <w:keepNext w:val="0"/>
              <w:keepLines w:val="0"/>
              <w:widowControl/>
              <w:suppressLineNumbers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按照招标人提供的工程量清单，自主报价，报价中含正常工期内的查验工作、乙方管理费、乙方人员住宿及餐饮费用、人员工资、津贴及保险费、通讯费、差旅费、乙方对所有用于本工程的常规检测仪器以及乙方应缴纳的税款等费用。</w:t>
            </w:r>
          </w:p>
          <w:p w14:paraId="3CDA983B">
            <w:pPr>
              <w:keepNext w:val="0"/>
              <w:keepLines w:val="0"/>
              <w:widowControl/>
              <w:suppressLineNumbers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2.工开阶段及交付阶段需所有人员提前半天进行带看培训，乙方应义务配合。</w:t>
            </w:r>
          </w:p>
          <w:p w14:paraId="1AE6C0E9">
            <w:pPr>
              <w:keepNext w:val="0"/>
              <w:keepLines w:val="0"/>
              <w:widowControl/>
              <w:suppressLineNumbers w:val="0"/>
              <w:snapToGrid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3.上述四个服务阶段若实际没有发生，结算时甲方按实进行扣减。</w:t>
            </w:r>
          </w:p>
        </w:tc>
      </w:tr>
    </w:tbl>
    <w:p w14:paraId="735247DB">
      <w:pPr>
        <w:pStyle w:val="8"/>
        <w:spacing w:line="500" w:lineRule="exact"/>
        <w:rPr>
          <w:rFonts w:ascii="仿宋" w:hAnsi="仿宋" w:eastAsia="仿宋"/>
          <w:color w:val="auto"/>
          <w:sz w:val="32"/>
          <w:szCs w:val="32"/>
          <w:highlight w:val="none"/>
        </w:rPr>
      </w:pPr>
    </w:p>
    <w:p w14:paraId="0C03AE65">
      <w:pPr>
        <w:pStyle w:val="8"/>
        <w:spacing w:line="500" w:lineRule="exact"/>
        <w:rPr>
          <w:rFonts w:ascii="仿宋" w:hAnsi="仿宋" w:eastAsia="仿宋"/>
          <w:color w:val="auto"/>
          <w:sz w:val="32"/>
          <w:szCs w:val="32"/>
          <w:highlight w:val="none"/>
        </w:rPr>
      </w:pPr>
      <w:r>
        <w:rPr>
          <w:rFonts w:ascii="仿宋" w:hAnsi="仿宋" w:eastAsia="仿宋"/>
          <w:color w:val="auto"/>
          <w:sz w:val="32"/>
          <w:szCs w:val="32"/>
          <w:highlight w:val="none"/>
        </w:rPr>
        <w:t>注：详细报价清单应另纸详列。</w:t>
      </w:r>
    </w:p>
    <w:p w14:paraId="77EB92DF">
      <w:pPr>
        <w:spacing w:line="500" w:lineRule="exact"/>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投标人（全称并加盖公章）：</w:t>
      </w:r>
    </w:p>
    <w:p w14:paraId="23C49900">
      <w:pPr>
        <w:spacing w:line="500" w:lineRule="exact"/>
        <w:jc w:val="left"/>
        <w:rPr>
          <w:rFonts w:ascii="仿宋" w:hAnsi="仿宋" w:eastAsia="仿宋"/>
          <w:color w:val="auto"/>
          <w:sz w:val="32"/>
          <w:szCs w:val="32"/>
          <w:highlight w:val="none"/>
          <w:u w:val="single"/>
        </w:rPr>
      </w:pPr>
      <w:r>
        <w:rPr>
          <w:rFonts w:hint="eastAsia" w:ascii="仿宋" w:hAnsi="仿宋" w:eastAsia="仿宋"/>
          <w:color w:val="auto"/>
          <w:sz w:val="32"/>
          <w:szCs w:val="32"/>
          <w:highlight w:val="none"/>
        </w:rPr>
        <w:t xml:space="preserve">投标人代表签字： </w:t>
      </w:r>
    </w:p>
    <w:p w14:paraId="0EE55B90">
      <w:pPr>
        <w:spacing w:line="500" w:lineRule="exact"/>
        <w:jc w:val="left"/>
        <w:rPr>
          <w:rFonts w:ascii="仿宋" w:hAnsi="仿宋" w:eastAsia="仿宋"/>
          <w:color w:val="auto"/>
          <w:sz w:val="32"/>
          <w:szCs w:val="32"/>
          <w:highlight w:val="none"/>
        </w:rPr>
        <w:sectPr>
          <w:headerReference r:id="rId3" w:type="default"/>
          <w:footerReference r:id="rId4" w:type="default"/>
          <w:pgSz w:w="11907" w:h="16840"/>
          <w:pgMar w:top="1418" w:right="1418" w:bottom="1418" w:left="1418" w:header="857" w:footer="999" w:gutter="0"/>
          <w:cols w:space="720" w:num="1"/>
          <w:docGrid w:linePitch="286" w:charSpace="0"/>
        </w:sectPr>
      </w:pPr>
      <w:r>
        <w:rPr>
          <w:rFonts w:hint="eastAsia" w:ascii="仿宋" w:hAnsi="仿宋" w:eastAsia="仿宋"/>
          <w:color w:val="auto"/>
          <w:sz w:val="32"/>
          <w:szCs w:val="32"/>
          <w:highlight w:val="none"/>
        </w:rPr>
        <w:t>日      期：</w:t>
      </w:r>
    </w:p>
    <w:p w14:paraId="07F0FA7B">
      <w:pPr>
        <w:spacing w:line="500" w:lineRule="exact"/>
        <w:rPr>
          <w:rFonts w:ascii="仿宋" w:hAnsi="仿宋" w:eastAsia="仿宋"/>
          <w:b/>
          <w:bCs/>
          <w:color w:val="auto"/>
          <w:sz w:val="32"/>
          <w:szCs w:val="32"/>
          <w:highlight w:val="none"/>
        </w:rPr>
      </w:pPr>
      <w:bookmarkStart w:id="575" w:name="_bookmark30"/>
      <w:bookmarkEnd w:id="575"/>
      <w:r>
        <w:rPr>
          <w:rFonts w:hint="eastAsia" w:ascii="仿宋" w:hAnsi="仿宋" w:eastAsia="仿宋"/>
          <w:b/>
          <w:bCs/>
          <w:color w:val="auto"/>
          <w:sz w:val="32"/>
          <w:szCs w:val="32"/>
          <w:highlight w:val="none"/>
        </w:rPr>
        <w:t>格式3</w:t>
      </w:r>
    </w:p>
    <w:p w14:paraId="0AD6D3E6">
      <w:pPr>
        <w:spacing w:line="500" w:lineRule="exact"/>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投标人业绩证明</w:t>
      </w:r>
    </w:p>
    <w:tbl>
      <w:tblPr>
        <w:tblStyle w:val="17"/>
        <w:tblpPr w:leftFromText="180" w:rightFromText="180" w:vertAnchor="page" w:horzAnchor="margin" w:tblpY="2800"/>
        <w:tblW w:w="8861" w:type="dxa"/>
        <w:tblInd w:w="0" w:type="dxa"/>
        <w:tblLayout w:type="fixed"/>
        <w:tblCellMar>
          <w:top w:w="0" w:type="dxa"/>
          <w:left w:w="108" w:type="dxa"/>
          <w:bottom w:w="0" w:type="dxa"/>
          <w:right w:w="108" w:type="dxa"/>
        </w:tblCellMar>
      </w:tblPr>
      <w:tblGrid>
        <w:gridCol w:w="902"/>
        <w:gridCol w:w="1751"/>
        <w:gridCol w:w="3555"/>
        <w:gridCol w:w="1751"/>
        <w:gridCol w:w="902"/>
      </w:tblGrid>
      <w:tr w14:paraId="6BE0EEBB">
        <w:tblPrEx>
          <w:tblCellMar>
            <w:top w:w="0" w:type="dxa"/>
            <w:left w:w="108" w:type="dxa"/>
            <w:bottom w:w="0" w:type="dxa"/>
            <w:right w:w="108" w:type="dxa"/>
          </w:tblCellMar>
        </w:tblPrEx>
        <w:trPr>
          <w:trHeight w:val="364" w:hRule="atLeast"/>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5CA15418">
            <w:pPr>
              <w:keepNext w:val="0"/>
              <w:keepLines w:val="0"/>
              <w:widowControl/>
              <w:suppressLineNumbers w:val="0"/>
              <w:spacing w:before="0" w:beforeAutospacing="0" w:after="0" w:afterAutospacing="0" w:line="360" w:lineRule="auto"/>
              <w:ind w:left="0" w:right="0"/>
              <w:jc w:val="center"/>
              <w:rPr>
                <w:rFonts w:hint="default"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序号</w:t>
            </w:r>
          </w:p>
        </w:tc>
        <w:tc>
          <w:tcPr>
            <w:tcW w:w="1751" w:type="dxa"/>
            <w:tcBorders>
              <w:top w:val="single" w:color="auto" w:sz="4" w:space="0"/>
              <w:left w:val="nil"/>
              <w:bottom w:val="single" w:color="auto" w:sz="4" w:space="0"/>
              <w:right w:val="single" w:color="auto" w:sz="4" w:space="0"/>
            </w:tcBorders>
            <w:shd w:val="clear" w:color="auto" w:fill="auto"/>
            <w:vAlign w:val="center"/>
          </w:tcPr>
          <w:p w14:paraId="6A2FBB40">
            <w:pPr>
              <w:keepNext w:val="0"/>
              <w:keepLines w:val="0"/>
              <w:widowControl/>
              <w:suppressLineNumbers w:val="0"/>
              <w:spacing w:before="0" w:beforeAutospacing="0" w:after="0" w:afterAutospacing="0" w:line="360" w:lineRule="auto"/>
              <w:ind w:left="0" w:right="0"/>
              <w:jc w:val="center"/>
              <w:rPr>
                <w:rFonts w:hint="default"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项目名称</w:t>
            </w:r>
          </w:p>
        </w:tc>
        <w:tc>
          <w:tcPr>
            <w:tcW w:w="3555" w:type="dxa"/>
            <w:tcBorders>
              <w:top w:val="single" w:color="auto" w:sz="4" w:space="0"/>
              <w:left w:val="nil"/>
              <w:bottom w:val="single" w:color="auto" w:sz="4" w:space="0"/>
              <w:right w:val="single" w:color="auto" w:sz="4" w:space="0"/>
            </w:tcBorders>
            <w:shd w:val="clear" w:color="auto" w:fill="auto"/>
            <w:vAlign w:val="center"/>
          </w:tcPr>
          <w:p w14:paraId="5F2AB1DB">
            <w:pPr>
              <w:keepNext w:val="0"/>
              <w:keepLines w:val="0"/>
              <w:widowControl/>
              <w:suppressLineNumbers w:val="0"/>
              <w:spacing w:before="0" w:beforeAutospacing="0" w:after="0" w:afterAutospacing="0" w:line="360" w:lineRule="auto"/>
              <w:ind w:left="0" w:right="0"/>
              <w:jc w:val="center"/>
              <w:rPr>
                <w:rFonts w:hint="default"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项目地址</w:t>
            </w:r>
          </w:p>
        </w:tc>
        <w:tc>
          <w:tcPr>
            <w:tcW w:w="1751" w:type="dxa"/>
            <w:tcBorders>
              <w:top w:val="single" w:color="auto" w:sz="4" w:space="0"/>
              <w:left w:val="nil"/>
              <w:bottom w:val="single" w:color="auto" w:sz="4" w:space="0"/>
              <w:right w:val="single" w:color="auto" w:sz="4" w:space="0"/>
            </w:tcBorders>
            <w:shd w:val="clear" w:color="auto" w:fill="auto"/>
            <w:vAlign w:val="center"/>
          </w:tcPr>
          <w:p w14:paraId="3C4B24DC">
            <w:pPr>
              <w:keepNext w:val="0"/>
              <w:keepLines w:val="0"/>
              <w:widowControl/>
              <w:suppressLineNumbers w:val="0"/>
              <w:spacing w:before="0" w:beforeAutospacing="0" w:after="0" w:afterAutospacing="0" w:line="360" w:lineRule="auto"/>
              <w:ind w:left="0" w:right="0"/>
              <w:jc w:val="center"/>
              <w:rPr>
                <w:rFonts w:hint="default"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lang w:val="en-US" w:eastAsia="zh-CN"/>
              </w:rPr>
              <w:t>服务</w:t>
            </w:r>
            <w:r>
              <w:rPr>
                <w:rFonts w:hint="eastAsia" w:ascii="仿宋" w:hAnsi="仿宋" w:eastAsia="仿宋" w:cs="宋体"/>
                <w:color w:val="auto"/>
                <w:kern w:val="0"/>
                <w:sz w:val="28"/>
                <w:szCs w:val="28"/>
                <w:highlight w:val="none"/>
              </w:rPr>
              <w:t>日期</w:t>
            </w:r>
          </w:p>
        </w:tc>
        <w:tc>
          <w:tcPr>
            <w:tcW w:w="902" w:type="dxa"/>
            <w:tcBorders>
              <w:top w:val="single" w:color="auto" w:sz="4" w:space="0"/>
              <w:left w:val="nil"/>
              <w:bottom w:val="single" w:color="auto" w:sz="4" w:space="0"/>
              <w:right w:val="single" w:color="auto" w:sz="4" w:space="0"/>
            </w:tcBorders>
            <w:shd w:val="clear" w:color="auto" w:fill="auto"/>
            <w:vAlign w:val="center"/>
          </w:tcPr>
          <w:p w14:paraId="4771F745">
            <w:pPr>
              <w:keepNext w:val="0"/>
              <w:keepLines w:val="0"/>
              <w:widowControl/>
              <w:suppressLineNumbers w:val="0"/>
              <w:spacing w:before="0" w:beforeAutospacing="0" w:after="0" w:afterAutospacing="0" w:line="360" w:lineRule="auto"/>
              <w:ind w:left="0" w:right="0"/>
              <w:jc w:val="center"/>
              <w:rPr>
                <w:rFonts w:hint="default"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备注</w:t>
            </w:r>
          </w:p>
        </w:tc>
      </w:tr>
      <w:tr w14:paraId="349190A8">
        <w:tblPrEx>
          <w:tblCellMar>
            <w:top w:w="0" w:type="dxa"/>
            <w:left w:w="108" w:type="dxa"/>
            <w:bottom w:w="0" w:type="dxa"/>
            <w:right w:w="108" w:type="dxa"/>
          </w:tblCellMar>
        </w:tblPrEx>
        <w:trPr>
          <w:trHeight w:val="364" w:hRule="atLeast"/>
        </w:trPr>
        <w:tc>
          <w:tcPr>
            <w:tcW w:w="902" w:type="dxa"/>
            <w:tcBorders>
              <w:top w:val="nil"/>
              <w:left w:val="single" w:color="auto" w:sz="4" w:space="0"/>
              <w:bottom w:val="single" w:color="auto" w:sz="4" w:space="0"/>
              <w:right w:val="single" w:color="auto" w:sz="4" w:space="0"/>
            </w:tcBorders>
            <w:shd w:val="clear" w:color="auto" w:fill="auto"/>
            <w:vAlign w:val="center"/>
          </w:tcPr>
          <w:p w14:paraId="387A857D">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6AE53556">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3555" w:type="dxa"/>
            <w:tcBorders>
              <w:top w:val="nil"/>
              <w:left w:val="nil"/>
              <w:bottom w:val="single" w:color="auto" w:sz="4" w:space="0"/>
              <w:right w:val="single" w:color="auto" w:sz="4" w:space="0"/>
            </w:tcBorders>
            <w:shd w:val="clear" w:color="auto" w:fill="auto"/>
            <w:vAlign w:val="center"/>
          </w:tcPr>
          <w:p w14:paraId="0D89269F">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61C3365A">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902" w:type="dxa"/>
            <w:tcBorders>
              <w:top w:val="nil"/>
              <w:left w:val="nil"/>
              <w:bottom w:val="single" w:color="auto" w:sz="4" w:space="0"/>
              <w:right w:val="single" w:color="auto" w:sz="4" w:space="0"/>
            </w:tcBorders>
            <w:shd w:val="clear" w:color="auto" w:fill="auto"/>
            <w:vAlign w:val="center"/>
          </w:tcPr>
          <w:p w14:paraId="3DDE66A6">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r>
      <w:tr w14:paraId="36831AD2">
        <w:tblPrEx>
          <w:tblCellMar>
            <w:top w:w="0" w:type="dxa"/>
            <w:left w:w="108" w:type="dxa"/>
            <w:bottom w:w="0" w:type="dxa"/>
            <w:right w:w="108" w:type="dxa"/>
          </w:tblCellMar>
        </w:tblPrEx>
        <w:trPr>
          <w:trHeight w:val="364" w:hRule="atLeast"/>
        </w:trPr>
        <w:tc>
          <w:tcPr>
            <w:tcW w:w="902" w:type="dxa"/>
            <w:tcBorders>
              <w:top w:val="nil"/>
              <w:left w:val="single" w:color="auto" w:sz="4" w:space="0"/>
              <w:bottom w:val="single" w:color="auto" w:sz="4" w:space="0"/>
              <w:right w:val="single" w:color="auto" w:sz="4" w:space="0"/>
            </w:tcBorders>
            <w:shd w:val="clear" w:color="auto" w:fill="auto"/>
            <w:vAlign w:val="center"/>
          </w:tcPr>
          <w:p w14:paraId="6162ECBB">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1D818083">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3555" w:type="dxa"/>
            <w:tcBorders>
              <w:top w:val="nil"/>
              <w:left w:val="nil"/>
              <w:bottom w:val="single" w:color="auto" w:sz="4" w:space="0"/>
              <w:right w:val="single" w:color="auto" w:sz="4" w:space="0"/>
            </w:tcBorders>
            <w:shd w:val="clear" w:color="auto" w:fill="auto"/>
            <w:vAlign w:val="center"/>
          </w:tcPr>
          <w:p w14:paraId="149FE8A0">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5DCB50BD">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902" w:type="dxa"/>
            <w:tcBorders>
              <w:top w:val="nil"/>
              <w:left w:val="nil"/>
              <w:bottom w:val="single" w:color="auto" w:sz="4" w:space="0"/>
              <w:right w:val="single" w:color="auto" w:sz="4" w:space="0"/>
            </w:tcBorders>
            <w:shd w:val="clear" w:color="auto" w:fill="auto"/>
            <w:vAlign w:val="center"/>
          </w:tcPr>
          <w:p w14:paraId="3D2D0589">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r>
      <w:tr w14:paraId="253F6238">
        <w:tblPrEx>
          <w:tblCellMar>
            <w:top w:w="0" w:type="dxa"/>
            <w:left w:w="108" w:type="dxa"/>
            <w:bottom w:w="0" w:type="dxa"/>
            <w:right w:w="108" w:type="dxa"/>
          </w:tblCellMar>
        </w:tblPrEx>
        <w:trPr>
          <w:trHeight w:val="364" w:hRule="atLeast"/>
        </w:trPr>
        <w:tc>
          <w:tcPr>
            <w:tcW w:w="902" w:type="dxa"/>
            <w:tcBorders>
              <w:top w:val="nil"/>
              <w:left w:val="single" w:color="auto" w:sz="4" w:space="0"/>
              <w:bottom w:val="single" w:color="auto" w:sz="4" w:space="0"/>
              <w:right w:val="single" w:color="auto" w:sz="4" w:space="0"/>
            </w:tcBorders>
            <w:shd w:val="clear" w:color="auto" w:fill="auto"/>
            <w:vAlign w:val="center"/>
          </w:tcPr>
          <w:p w14:paraId="763AC06A">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4CC7A2FD">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3555" w:type="dxa"/>
            <w:tcBorders>
              <w:top w:val="nil"/>
              <w:left w:val="nil"/>
              <w:bottom w:val="single" w:color="auto" w:sz="4" w:space="0"/>
              <w:right w:val="single" w:color="auto" w:sz="4" w:space="0"/>
            </w:tcBorders>
            <w:shd w:val="clear" w:color="auto" w:fill="auto"/>
            <w:vAlign w:val="center"/>
          </w:tcPr>
          <w:p w14:paraId="577BDD09">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05052B6B">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902" w:type="dxa"/>
            <w:tcBorders>
              <w:top w:val="nil"/>
              <w:left w:val="nil"/>
              <w:bottom w:val="single" w:color="auto" w:sz="4" w:space="0"/>
              <w:right w:val="single" w:color="auto" w:sz="4" w:space="0"/>
            </w:tcBorders>
            <w:shd w:val="clear" w:color="auto" w:fill="auto"/>
            <w:vAlign w:val="center"/>
          </w:tcPr>
          <w:p w14:paraId="6E1CED67">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r>
      <w:tr w14:paraId="3D9BC0AB">
        <w:tblPrEx>
          <w:tblCellMar>
            <w:top w:w="0" w:type="dxa"/>
            <w:left w:w="108" w:type="dxa"/>
            <w:bottom w:w="0" w:type="dxa"/>
            <w:right w:w="108" w:type="dxa"/>
          </w:tblCellMar>
        </w:tblPrEx>
        <w:trPr>
          <w:trHeight w:val="364" w:hRule="atLeast"/>
        </w:trPr>
        <w:tc>
          <w:tcPr>
            <w:tcW w:w="902" w:type="dxa"/>
            <w:tcBorders>
              <w:top w:val="nil"/>
              <w:left w:val="single" w:color="auto" w:sz="4" w:space="0"/>
              <w:bottom w:val="single" w:color="auto" w:sz="4" w:space="0"/>
              <w:right w:val="single" w:color="auto" w:sz="4" w:space="0"/>
            </w:tcBorders>
            <w:shd w:val="clear" w:color="auto" w:fill="auto"/>
            <w:vAlign w:val="center"/>
          </w:tcPr>
          <w:p w14:paraId="50534A2D">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3D69B0AD">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3555" w:type="dxa"/>
            <w:tcBorders>
              <w:top w:val="nil"/>
              <w:left w:val="nil"/>
              <w:bottom w:val="single" w:color="auto" w:sz="4" w:space="0"/>
              <w:right w:val="single" w:color="auto" w:sz="4" w:space="0"/>
            </w:tcBorders>
            <w:shd w:val="clear" w:color="auto" w:fill="auto"/>
            <w:vAlign w:val="center"/>
          </w:tcPr>
          <w:p w14:paraId="41A628BF">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436E4044">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902" w:type="dxa"/>
            <w:tcBorders>
              <w:top w:val="nil"/>
              <w:left w:val="nil"/>
              <w:bottom w:val="single" w:color="auto" w:sz="4" w:space="0"/>
              <w:right w:val="single" w:color="auto" w:sz="4" w:space="0"/>
            </w:tcBorders>
            <w:shd w:val="clear" w:color="auto" w:fill="auto"/>
            <w:vAlign w:val="center"/>
          </w:tcPr>
          <w:p w14:paraId="6403B46B">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r>
      <w:tr w14:paraId="5F08A63F">
        <w:tblPrEx>
          <w:tblCellMar>
            <w:top w:w="0" w:type="dxa"/>
            <w:left w:w="108" w:type="dxa"/>
            <w:bottom w:w="0" w:type="dxa"/>
            <w:right w:w="108" w:type="dxa"/>
          </w:tblCellMar>
        </w:tblPrEx>
        <w:trPr>
          <w:trHeight w:val="364" w:hRule="atLeast"/>
        </w:trPr>
        <w:tc>
          <w:tcPr>
            <w:tcW w:w="902" w:type="dxa"/>
            <w:tcBorders>
              <w:top w:val="nil"/>
              <w:left w:val="single" w:color="auto" w:sz="4" w:space="0"/>
              <w:bottom w:val="single" w:color="auto" w:sz="4" w:space="0"/>
              <w:right w:val="single" w:color="auto" w:sz="4" w:space="0"/>
            </w:tcBorders>
            <w:shd w:val="clear" w:color="auto" w:fill="auto"/>
            <w:vAlign w:val="center"/>
          </w:tcPr>
          <w:p w14:paraId="5E5337F4">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34B473A2">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3555" w:type="dxa"/>
            <w:tcBorders>
              <w:top w:val="nil"/>
              <w:left w:val="nil"/>
              <w:bottom w:val="single" w:color="auto" w:sz="4" w:space="0"/>
              <w:right w:val="single" w:color="auto" w:sz="4" w:space="0"/>
            </w:tcBorders>
            <w:shd w:val="clear" w:color="auto" w:fill="auto"/>
            <w:vAlign w:val="center"/>
          </w:tcPr>
          <w:p w14:paraId="2FA0D52A">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76915266">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902" w:type="dxa"/>
            <w:tcBorders>
              <w:top w:val="nil"/>
              <w:left w:val="nil"/>
              <w:bottom w:val="single" w:color="auto" w:sz="4" w:space="0"/>
              <w:right w:val="single" w:color="auto" w:sz="4" w:space="0"/>
            </w:tcBorders>
            <w:shd w:val="clear" w:color="auto" w:fill="auto"/>
            <w:vAlign w:val="center"/>
          </w:tcPr>
          <w:p w14:paraId="56913D61">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r>
      <w:tr w14:paraId="25031A1C">
        <w:tblPrEx>
          <w:tblCellMar>
            <w:top w:w="0" w:type="dxa"/>
            <w:left w:w="108" w:type="dxa"/>
            <w:bottom w:w="0" w:type="dxa"/>
            <w:right w:w="108" w:type="dxa"/>
          </w:tblCellMar>
        </w:tblPrEx>
        <w:trPr>
          <w:trHeight w:val="364" w:hRule="atLeast"/>
        </w:trPr>
        <w:tc>
          <w:tcPr>
            <w:tcW w:w="902" w:type="dxa"/>
            <w:tcBorders>
              <w:top w:val="nil"/>
              <w:left w:val="single" w:color="auto" w:sz="4" w:space="0"/>
              <w:bottom w:val="single" w:color="auto" w:sz="4" w:space="0"/>
              <w:right w:val="single" w:color="auto" w:sz="4" w:space="0"/>
            </w:tcBorders>
            <w:shd w:val="clear" w:color="auto" w:fill="auto"/>
            <w:vAlign w:val="center"/>
          </w:tcPr>
          <w:p w14:paraId="71969AE5">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22F81918">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3555" w:type="dxa"/>
            <w:tcBorders>
              <w:top w:val="nil"/>
              <w:left w:val="nil"/>
              <w:bottom w:val="single" w:color="auto" w:sz="4" w:space="0"/>
              <w:right w:val="single" w:color="auto" w:sz="4" w:space="0"/>
            </w:tcBorders>
            <w:shd w:val="clear" w:color="auto" w:fill="auto"/>
            <w:vAlign w:val="center"/>
          </w:tcPr>
          <w:p w14:paraId="0F20A55F">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39B451EC">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902" w:type="dxa"/>
            <w:tcBorders>
              <w:top w:val="nil"/>
              <w:left w:val="nil"/>
              <w:bottom w:val="single" w:color="auto" w:sz="4" w:space="0"/>
              <w:right w:val="single" w:color="auto" w:sz="4" w:space="0"/>
            </w:tcBorders>
            <w:shd w:val="clear" w:color="auto" w:fill="auto"/>
            <w:vAlign w:val="center"/>
          </w:tcPr>
          <w:p w14:paraId="60888694">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r>
      <w:tr w14:paraId="145CDC82">
        <w:tblPrEx>
          <w:tblCellMar>
            <w:top w:w="0" w:type="dxa"/>
            <w:left w:w="108" w:type="dxa"/>
            <w:bottom w:w="0" w:type="dxa"/>
            <w:right w:w="108" w:type="dxa"/>
          </w:tblCellMar>
        </w:tblPrEx>
        <w:trPr>
          <w:trHeight w:val="364" w:hRule="atLeast"/>
        </w:trPr>
        <w:tc>
          <w:tcPr>
            <w:tcW w:w="902" w:type="dxa"/>
            <w:tcBorders>
              <w:top w:val="nil"/>
              <w:left w:val="single" w:color="auto" w:sz="4" w:space="0"/>
              <w:bottom w:val="single" w:color="auto" w:sz="4" w:space="0"/>
              <w:right w:val="single" w:color="auto" w:sz="4" w:space="0"/>
            </w:tcBorders>
            <w:shd w:val="clear" w:color="auto" w:fill="auto"/>
            <w:vAlign w:val="center"/>
          </w:tcPr>
          <w:p w14:paraId="3E7F773D">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0AAC25A8">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3555" w:type="dxa"/>
            <w:tcBorders>
              <w:top w:val="nil"/>
              <w:left w:val="nil"/>
              <w:bottom w:val="single" w:color="auto" w:sz="4" w:space="0"/>
              <w:right w:val="single" w:color="auto" w:sz="4" w:space="0"/>
            </w:tcBorders>
            <w:shd w:val="clear" w:color="auto" w:fill="auto"/>
            <w:vAlign w:val="center"/>
          </w:tcPr>
          <w:p w14:paraId="38FF3B56">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607C977F">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902" w:type="dxa"/>
            <w:tcBorders>
              <w:top w:val="nil"/>
              <w:left w:val="nil"/>
              <w:bottom w:val="single" w:color="auto" w:sz="4" w:space="0"/>
              <w:right w:val="single" w:color="auto" w:sz="4" w:space="0"/>
            </w:tcBorders>
            <w:shd w:val="clear" w:color="auto" w:fill="auto"/>
            <w:vAlign w:val="center"/>
          </w:tcPr>
          <w:p w14:paraId="574F0D2D">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r>
      <w:tr w14:paraId="02D9C315">
        <w:tblPrEx>
          <w:tblCellMar>
            <w:top w:w="0" w:type="dxa"/>
            <w:left w:w="108" w:type="dxa"/>
            <w:bottom w:w="0" w:type="dxa"/>
            <w:right w:w="108" w:type="dxa"/>
          </w:tblCellMar>
        </w:tblPrEx>
        <w:trPr>
          <w:trHeight w:val="364" w:hRule="atLeast"/>
        </w:trPr>
        <w:tc>
          <w:tcPr>
            <w:tcW w:w="902" w:type="dxa"/>
            <w:tcBorders>
              <w:top w:val="nil"/>
              <w:left w:val="single" w:color="auto" w:sz="4" w:space="0"/>
              <w:bottom w:val="single" w:color="auto" w:sz="4" w:space="0"/>
              <w:right w:val="single" w:color="auto" w:sz="4" w:space="0"/>
            </w:tcBorders>
            <w:shd w:val="clear" w:color="auto" w:fill="auto"/>
            <w:vAlign w:val="center"/>
          </w:tcPr>
          <w:p w14:paraId="0E933A37">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307995B5">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3555" w:type="dxa"/>
            <w:tcBorders>
              <w:top w:val="nil"/>
              <w:left w:val="nil"/>
              <w:bottom w:val="single" w:color="auto" w:sz="4" w:space="0"/>
              <w:right w:val="single" w:color="auto" w:sz="4" w:space="0"/>
            </w:tcBorders>
            <w:shd w:val="clear" w:color="auto" w:fill="auto"/>
            <w:vAlign w:val="center"/>
          </w:tcPr>
          <w:p w14:paraId="11659F4C">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24657340">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902" w:type="dxa"/>
            <w:tcBorders>
              <w:top w:val="nil"/>
              <w:left w:val="nil"/>
              <w:bottom w:val="single" w:color="auto" w:sz="4" w:space="0"/>
              <w:right w:val="single" w:color="auto" w:sz="4" w:space="0"/>
            </w:tcBorders>
            <w:shd w:val="clear" w:color="auto" w:fill="auto"/>
            <w:vAlign w:val="center"/>
          </w:tcPr>
          <w:p w14:paraId="5E1B8D46">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r>
      <w:tr w14:paraId="733CB6D2">
        <w:tblPrEx>
          <w:tblCellMar>
            <w:top w:w="0" w:type="dxa"/>
            <w:left w:w="108" w:type="dxa"/>
            <w:bottom w:w="0" w:type="dxa"/>
            <w:right w:w="108" w:type="dxa"/>
          </w:tblCellMar>
        </w:tblPrEx>
        <w:trPr>
          <w:trHeight w:val="364" w:hRule="atLeast"/>
        </w:trPr>
        <w:tc>
          <w:tcPr>
            <w:tcW w:w="902" w:type="dxa"/>
            <w:tcBorders>
              <w:top w:val="nil"/>
              <w:left w:val="single" w:color="auto" w:sz="4" w:space="0"/>
              <w:bottom w:val="single" w:color="auto" w:sz="4" w:space="0"/>
              <w:right w:val="single" w:color="auto" w:sz="4" w:space="0"/>
            </w:tcBorders>
            <w:shd w:val="clear" w:color="auto" w:fill="auto"/>
            <w:vAlign w:val="center"/>
          </w:tcPr>
          <w:p w14:paraId="4A389041">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66740FBB">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3555" w:type="dxa"/>
            <w:tcBorders>
              <w:top w:val="nil"/>
              <w:left w:val="nil"/>
              <w:bottom w:val="single" w:color="auto" w:sz="4" w:space="0"/>
              <w:right w:val="single" w:color="auto" w:sz="4" w:space="0"/>
            </w:tcBorders>
            <w:shd w:val="clear" w:color="auto" w:fill="auto"/>
            <w:vAlign w:val="center"/>
          </w:tcPr>
          <w:p w14:paraId="6DE272EA">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5B3898EC">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902" w:type="dxa"/>
            <w:tcBorders>
              <w:top w:val="nil"/>
              <w:left w:val="nil"/>
              <w:bottom w:val="single" w:color="auto" w:sz="4" w:space="0"/>
              <w:right w:val="single" w:color="auto" w:sz="4" w:space="0"/>
            </w:tcBorders>
            <w:shd w:val="clear" w:color="auto" w:fill="auto"/>
            <w:vAlign w:val="center"/>
          </w:tcPr>
          <w:p w14:paraId="1F0BF975">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r>
      <w:tr w14:paraId="6D783CE5">
        <w:tblPrEx>
          <w:tblCellMar>
            <w:top w:w="0" w:type="dxa"/>
            <w:left w:w="108" w:type="dxa"/>
            <w:bottom w:w="0" w:type="dxa"/>
            <w:right w:w="108" w:type="dxa"/>
          </w:tblCellMar>
        </w:tblPrEx>
        <w:trPr>
          <w:trHeight w:val="364" w:hRule="atLeast"/>
        </w:trPr>
        <w:tc>
          <w:tcPr>
            <w:tcW w:w="902" w:type="dxa"/>
            <w:tcBorders>
              <w:top w:val="nil"/>
              <w:left w:val="single" w:color="auto" w:sz="4" w:space="0"/>
              <w:bottom w:val="single" w:color="auto" w:sz="4" w:space="0"/>
              <w:right w:val="single" w:color="auto" w:sz="4" w:space="0"/>
            </w:tcBorders>
            <w:shd w:val="clear" w:color="auto" w:fill="auto"/>
            <w:vAlign w:val="center"/>
          </w:tcPr>
          <w:p w14:paraId="35176BFA">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59CB7935">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3555" w:type="dxa"/>
            <w:tcBorders>
              <w:top w:val="nil"/>
              <w:left w:val="nil"/>
              <w:bottom w:val="single" w:color="auto" w:sz="4" w:space="0"/>
              <w:right w:val="single" w:color="auto" w:sz="4" w:space="0"/>
            </w:tcBorders>
            <w:shd w:val="clear" w:color="auto" w:fill="auto"/>
            <w:vAlign w:val="center"/>
          </w:tcPr>
          <w:p w14:paraId="477553A5">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65470294">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902" w:type="dxa"/>
            <w:tcBorders>
              <w:top w:val="nil"/>
              <w:left w:val="nil"/>
              <w:bottom w:val="single" w:color="auto" w:sz="4" w:space="0"/>
              <w:right w:val="single" w:color="auto" w:sz="4" w:space="0"/>
            </w:tcBorders>
            <w:shd w:val="clear" w:color="auto" w:fill="auto"/>
            <w:vAlign w:val="center"/>
          </w:tcPr>
          <w:p w14:paraId="677D6337">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r>
      <w:tr w14:paraId="6E524801">
        <w:tblPrEx>
          <w:tblCellMar>
            <w:top w:w="0" w:type="dxa"/>
            <w:left w:w="108" w:type="dxa"/>
            <w:bottom w:w="0" w:type="dxa"/>
            <w:right w:w="108" w:type="dxa"/>
          </w:tblCellMar>
        </w:tblPrEx>
        <w:trPr>
          <w:trHeight w:val="364" w:hRule="atLeast"/>
        </w:trPr>
        <w:tc>
          <w:tcPr>
            <w:tcW w:w="902" w:type="dxa"/>
            <w:tcBorders>
              <w:top w:val="nil"/>
              <w:left w:val="single" w:color="auto" w:sz="4" w:space="0"/>
              <w:bottom w:val="single" w:color="auto" w:sz="4" w:space="0"/>
              <w:right w:val="single" w:color="auto" w:sz="4" w:space="0"/>
            </w:tcBorders>
            <w:shd w:val="clear" w:color="auto" w:fill="auto"/>
            <w:vAlign w:val="center"/>
          </w:tcPr>
          <w:p w14:paraId="6791C52B">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4C5A6CD4">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3555" w:type="dxa"/>
            <w:tcBorders>
              <w:top w:val="nil"/>
              <w:left w:val="nil"/>
              <w:bottom w:val="single" w:color="auto" w:sz="4" w:space="0"/>
              <w:right w:val="single" w:color="auto" w:sz="4" w:space="0"/>
            </w:tcBorders>
            <w:shd w:val="clear" w:color="auto" w:fill="auto"/>
            <w:vAlign w:val="center"/>
          </w:tcPr>
          <w:p w14:paraId="7F035151">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36E5601A">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902" w:type="dxa"/>
            <w:tcBorders>
              <w:top w:val="nil"/>
              <w:left w:val="nil"/>
              <w:bottom w:val="single" w:color="auto" w:sz="4" w:space="0"/>
              <w:right w:val="single" w:color="auto" w:sz="4" w:space="0"/>
            </w:tcBorders>
            <w:shd w:val="clear" w:color="auto" w:fill="auto"/>
            <w:vAlign w:val="center"/>
          </w:tcPr>
          <w:p w14:paraId="4D6DB3F6">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r>
      <w:tr w14:paraId="3C720DD3">
        <w:tblPrEx>
          <w:tblCellMar>
            <w:top w:w="0" w:type="dxa"/>
            <w:left w:w="108" w:type="dxa"/>
            <w:bottom w:w="0" w:type="dxa"/>
            <w:right w:w="108" w:type="dxa"/>
          </w:tblCellMar>
        </w:tblPrEx>
        <w:trPr>
          <w:trHeight w:val="364" w:hRule="atLeast"/>
        </w:trPr>
        <w:tc>
          <w:tcPr>
            <w:tcW w:w="902" w:type="dxa"/>
            <w:tcBorders>
              <w:top w:val="nil"/>
              <w:left w:val="single" w:color="auto" w:sz="4" w:space="0"/>
              <w:bottom w:val="single" w:color="auto" w:sz="4" w:space="0"/>
              <w:right w:val="single" w:color="auto" w:sz="4" w:space="0"/>
            </w:tcBorders>
            <w:shd w:val="clear" w:color="auto" w:fill="auto"/>
            <w:vAlign w:val="center"/>
          </w:tcPr>
          <w:p w14:paraId="6B2CABB2">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7165E94B">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3555" w:type="dxa"/>
            <w:tcBorders>
              <w:top w:val="nil"/>
              <w:left w:val="nil"/>
              <w:bottom w:val="single" w:color="auto" w:sz="4" w:space="0"/>
              <w:right w:val="single" w:color="auto" w:sz="4" w:space="0"/>
            </w:tcBorders>
            <w:shd w:val="clear" w:color="auto" w:fill="auto"/>
            <w:vAlign w:val="center"/>
          </w:tcPr>
          <w:p w14:paraId="23D8F630">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02EFF4B3">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902" w:type="dxa"/>
            <w:tcBorders>
              <w:top w:val="nil"/>
              <w:left w:val="nil"/>
              <w:bottom w:val="single" w:color="auto" w:sz="4" w:space="0"/>
              <w:right w:val="single" w:color="auto" w:sz="4" w:space="0"/>
            </w:tcBorders>
            <w:shd w:val="clear" w:color="auto" w:fill="auto"/>
            <w:vAlign w:val="center"/>
          </w:tcPr>
          <w:p w14:paraId="60E9A0A9">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r>
    </w:tbl>
    <w:p w14:paraId="6AD3008C">
      <w:pPr>
        <w:pStyle w:val="11"/>
        <w:spacing w:line="240" w:lineRule="auto"/>
        <w:ind w:firstLine="411" w:firstLineChars="147"/>
        <w:rPr>
          <w:rFonts w:hint="eastAsia" w:ascii="仿宋" w:hAnsi="仿宋" w:eastAsia="仿宋"/>
          <w:bCs/>
          <w:color w:val="auto"/>
          <w:sz w:val="28"/>
          <w:szCs w:val="28"/>
          <w:highlight w:val="none"/>
        </w:rPr>
      </w:pPr>
    </w:p>
    <w:p w14:paraId="63DAD71C">
      <w:pPr>
        <w:pStyle w:val="11"/>
        <w:spacing w:line="240" w:lineRule="auto"/>
        <w:ind w:firstLine="411" w:firstLineChars="147"/>
        <w:rPr>
          <w:rFonts w:hint="eastAsia" w:ascii="仿宋" w:hAnsi="仿宋" w:eastAsia="仿宋"/>
          <w:bCs/>
          <w:color w:val="auto"/>
          <w:sz w:val="28"/>
          <w:szCs w:val="28"/>
          <w:highlight w:val="none"/>
        </w:rPr>
      </w:pPr>
    </w:p>
    <w:p w14:paraId="00555A57">
      <w:pPr>
        <w:pStyle w:val="11"/>
        <w:spacing w:line="240" w:lineRule="auto"/>
        <w:ind w:firstLine="411" w:firstLineChars="147"/>
        <w:rPr>
          <w:rFonts w:ascii="仿宋" w:hAnsi="仿宋" w:eastAsia="仿宋"/>
          <w:bCs/>
          <w:color w:val="auto"/>
          <w:sz w:val="28"/>
          <w:szCs w:val="28"/>
          <w:highlight w:val="none"/>
        </w:rPr>
      </w:pPr>
      <w:r>
        <w:rPr>
          <w:rFonts w:hint="eastAsia" w:ascii="仿宋" w:hAnsi="仿宋" w:eastAsia="仿宋"/>
          <w:bCs/>
          <w:color w:val="auto"/>
          <w:sz w:val="28"/>
          <w:szCs w:val="28"/>
          <w:highlight w:val="none"/>
        </w:rPr>
        <w:t>投标人承诺以上项目为投标人</w:t>
      </w:r>
      <w:r>
        <w:rPr>
          <w:rFonts w:hint="eastAsia" w:ascii="仿宋" w:hAnsi="仿宋" w:eastAsia="仿宋"/>
          <w:bCs/>
          <w:color w:val="auto"/>
          <w:sz w:val="28"/>
          <w:szCs w:val="28"/>
          <w:highlight w:val="none"/>
          <w:lang w:val="en-US" w:eastAsia="zh-CN"/>
        </w:rPr>
        <w:t>实际模拟验收查验</w:t>
      </w:r>
      <w:r>
        <w:rPr>
          <w:rFonts w:hint="eastAsia" w:ascii="仿宋" w:hAnsi="仿宋" w:eastAsia="仿宋"/>
          <w:bCs/>
          <w:color w:val="auto"/>
          <w:sz w:val="28"/>
          <w:szCs w:val="28"/>
          <w:highlight w:val="none"/>
        </w:rPr>
        <w:t>的工程项目。如投标人成为本次项目的中标人，接受招标人对上述项目的现场核实。</w:t>
      </w:r>
    </w:p>
    <w:p w14:paraId="1870E2AA">
      <w:pPr>
        <w:pStyle w:val="11"/>
        <w:spacing w:line="360" w:lineRule="auto"/>
        <w:ind w:firstLine="411" w:firstLineChars="147"/>
        <w:rPr>
          <w:rFonts w:ascii="仿宋" w:hAnsi="仿宋" w:eastAsia="仿宋"/>
          <w:bCs/>
          <w:color w:val="auto"/>
          <w:sz w:val="28"/>
          <w:szCs w:val="28"/>
          <w:highlight w:val="none"/>
        </w:rPr>
      </w:pPr>
    </w:p>
    <w:p w14:paraId="6BD2441A">
      <w:pPr>
        <w:spacing w:line="500" w:lineRule="exact"/>
        <w:ind w:firstLine="320" w:firstLineChars="100"/>
        <w:rPr>
          <w:rFonts w:ascii="仿宋" w:hAnsi="仿宋" w:eastAsia="仿宋"/>
          <w:color w:val="auto"/>
          <w:sz w:val="32"/>
          <w:szCs w:val="32"/>
          <w:highlight w:val="none"/>
        </w:rPr>
      </w:pPr>
      <w:r>
        <w:rPr>
          <w:rFonts w:hint="eastAsia" w:ascii="仿宋" w:hAnsi="仿宋" w:eastAsia="仿宋"/>
          <w:color w:val="auto"/>
          <w:sz w:val="32"/>
          <w:szCs w:val="32"/>
          <w:highlight w:val="none"/>
        </w:rPr>
        <w:t>投标人（全称并加盖公章）：</w:t>
      </w:r>
    </w:p>
    <w:p w14:paraId="254A0E0A">
      <w:pPr>
        <w:spacing w:line="500" w:lineRule="exact"/>
        <w:ind w:firstLine="320" w:firstLineChars="100"/>
        <w:rPr>
          <w:rFonts w:ascii="仿宋" w:hAnsi="仿宋" w:eastAsia="仿宋"/>
          <w:color w:val="auto"/>
          <w:sz w:val="32"/>
          <w:szCs w:val="32"/>
          <w:highlight w:val="none"/>
          <w:u w:val="single"/>
        </w:rPr>
      </w:pPr>
      <w:r>
        <w:rPr>
          <w:rFonts w:hint="eastAsia" w:ascii="仿宋" w:hAnsi="仿宋" w:eastAsia="仿宋"/>
          <w:color w:val="auto"/>
          <w:sz w:val="32"/>
          <w:szCs w:val="32"/>
          <w:highlight w:val="none"/>
        </w:rPr>
        <w:t xml:space="preserve">投标人代表签字： </w:t>
      </w:r>
    </w:p>
    <w:p w14:paraId="134827A9">
      <w:pPr>
        <w:spacing w:line="500" w:lineRule="exact"/>
        <w:ind w:firstLine="320" w:firstLineChars="1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日      期：</w:t>
      </w:r>
    </w:p>
    <w:p w14:paraId="17458EC1">
      <w:pPr>
        <w:pStyle w:val="9"/>
        <w:rPr>
          <w:rFonts w:hint="eastAsia" w:ascii="仿宋" w:hAnsi="仿宋" w:eastAsia="仿宋"/>
          <w:color w:val="auto"/>
          <w:sz w:val="32"/>
          <w:szCs w:val="32"/>
          <w:highlight w:val="none"/>
        </w:rPr>
      </w:pPr>
    </w:p>
    <w:p w14:paraId="3E019896">
      <w:pPr>
        <w:rPr>
          <w:rFonts w:hint="eastAsia" w:ascii="仿宋" w:hAnsi="仿宋" w:eastAsia="仿宋"/>
          <w:color w:val="auto"/>
          <w:sz w:val="32"/>
          <w:szCs w:val="32"/>
          <w:highlight w:val="none"/>
        </w:rPr>
      </w:pPr>
    </w:p>
    <w:p w14:paraId="0356406E">
      <w:pPr>
        <w:pStyle w:val="9"/>
        <w:rPr>
          <w:rFonts w:hint="eastAsia" w:ascii="仿宋" w:hAnsi="仿宋" w:eastAsia="仿宋"/>
          <w:color w:val="auto"/>
          <w:sz w:val="32"/>
          <w:szCs w:val="32"/>
          <w:highlight w:val="none"/>
        </w:rPr>
      </w:pPr>
    </w:p>
    <w:p w14:paraId="06199B4A">
      <w:pPr>
        <w:rPr>
          <w:rFonts w:hint="eastAsia" w:ascii="仿宋" w:hAnsi="仿宋" w:eastAsia="仿宋"/>
          <w:color w:val="auto"/>
          <w:sz w:val="32"/>
          <w:szCs w:val="32"/>
          <w:highlight w:val="none"/>
        </w:rPr>
      </w:pPr>
    </w:p>
    <w:p w14:paraId="523A06DC">
      <w:pPr>
        <w:pStyle w:val="9"/>
        <w:rPr>
          <w:rFonts w:hint="eastAsia" w:ascii="仿宋" w:hAnsi="仿宋" w:eastAsia="仿宋"/>
          <w:color w:val="auto"/>
          <w:sz w:val="32"/>
          <w:szCs w:val="32"/>
          <w:highlight w:val="none"/>
        </w:rPr>
      </w:pPr>
    </w:p>
    <w:p w14:paraId="66413DA5">
      <w:pPr>
        <w:rPr>
          <w:rFonts w:hint="eastAsia" w:ascii="仿宋" w:hAnsi="仿宋" w:eastAsia="仿宋"/>
          <w:color w:val="auto"/>
          <w:sz w:val="32"/>
          <w:szCs w:val="32"/>
          <w:highlight w:val="none"/>
        </w:rPr>
      </w:pPr>
    </w:p>
    <w:p w14:paraId="70F7C0A5">
      <w:pPr>
        <w:rPr>
          <w:rFonts w:hint="eastAsia" w:ascii="仿宋" w:hAnsi="仿宋" w:eastAsia="仿宋"/>
          <w:color w:val="auto"/>
          <w:sz w:val="32"/>
          <w:szCs w:val="32"/>
          <w:highlight w:val="none"/>
        </w:rPr>
      </w:pPr>
      <w:r>
        <w:rPr>
          <w:rFonts w:hint="eastAsia" w:ascii="仿宋" w:hAnsi="仿宋" w:eastAsia="仿宋"/>
          <w:color w:val="auto"/>
          <w:sz w:val="32"/>
          <w:szCs w:val="32"/>
          <w:highlight w:val="none"/>
        </w:rPr>
        <w:br w:type="page"/>
      </w:r>
    </w:p>
    <w:p w14:paraId="1515F8C3">
      <w:pPr>
        <w:rPr>
          <w:rFonts w:hint="eastAsia" w:ascii="仿宋" w:hAnsi="仿宋" w:eastAsia="仿宋"/>
          <w:color w:val="auto"/>
          <w:sz w:val="32"/>
          <w:szCs w:val="32"/>
          <w:highlight w:val="none"/>
        </w:rPr>
      </w:pPr>
      <w:r>
        <w:rPr>
          <w:rFonts w:hint="eastAsia" w:ascii="仿宋" w:hAnsi="仿宋" w:eastAsia="仿宋"/>
          <w:b/>
          <w:bCs/>
          <w:color w:val="auto"/>
          <w:sz w:val="32"/>
          <w:szCs w:val="32"/>
          <w:highlight w:val="none"/>
        </w:rPr>
        <w:t>格式4</w:t>
      </w:r>
    </w:p>
    <w:p w14:paraId="52CB36E2">
      <w:pPr>
        <w:pStyle w:val="9"/>
        <w:rPr>
          <w:rFonts w:hint="eastAsia" w:ascii="仿宋" w:hAnsi="仿宋" w:eastAsia="仿宋"/>
          <w:color w:val="auto"/>
          <w:sz w:val="32"/>
          <w:szCs w:val="32"/>
          <w:highlight w:val="none"/>
        </w:rPr>
      </w:pPr>
    </w:p>
    <w:p w14:paraId="6E6E3A3D">
      <w:pPr>
        <w:spacing w:line="440" w:lineRule="exact"/>
        <w:jc w:val="center"/>
        <w:rPr>
          <w:rFonts w:hint="eastAsia" w:ascii="仿宋" w:hAnsi="仿宋" w:eastAsia="仿宋"/>
          <w:color w:val="auto"/>
          <w:sz w:val="32"/>
          <w:szCs w:val="32"/>
          <w:highlight w:val="none"/>
        </w:rPr>
      </w:pPr>
      <w:r>
        <w:rPr>
          <w:rFonts w:hint="eastAsia" w:ascii="宋体" w:hAnsi="宋体"/>
          <w:b/>
          <w:bCs/>
          <w:color w:val="auto"/>
          <w:sz w:val="28"/>
          <w:szCs w:val="28"/>
          <w:highlight w:val="none"/>
        </w:rPr>
        <w:t>拟派项目其他人员履历</w:t>
      </w:r>
    </w:p>
    <w:p w14:paraId="5B7900C2">
      <w:pPr>
        <w:rPr>
          <w:color w:val="auto"/>
          <w:highlight w:val="none"/>
        </w:rPr>
      </w:pPr>
    </w:p>
    <w:tbl>
      <w:tblPr>
        <w:tblStyle w:val="17"/>
        <w:tblW w:w="0" w:type="auto"/>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897"/>
        <w:gridCol w:w="1821"/>
        <w:gridCol w:w="2100"/>
        <w:gridCol w:w="1604"/>
        <w:gridCol w:w="1921"/>
        <w:gridCol w:w="1230"/>
      </w:tblGrid>
      <w:tr w14:paraId="73CFC85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97" w:type="dxa"/>
            <w:tcBorders>
              <w:top w:val="single" w:color="auto" w:sz="6" w:space="0"/>
              <w:left w:val="single" w:color="auto" w:sz="6" w:space="0"/>
              <w:bottom w:val="single" w:color="auto" w:sz="4" w:space="0"/>
              <w:right w:val="single" w:color="auto" w:sz="4" w:space="0"/>
            </w:tcBorders>
            <w:vAlign w:val="center"/>
          </w:tcPr>
          <w:p w14:paraId="5F58968D">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序号</w:t>
            </w:r>
          </w:p>
        </w:tc>
        <w:tc>
          <w:tcPr>
            <w:tcW w:w="1821" w:type="dxa"/>
            <w:tcBorders>
              <w:top w:val="single" w:color="auto" w:sz="6" w:space="0"/>
              <w:left w:val="single" w:color="auto" w:sz="4" w:space="0"/>
              <w:bottom w:val="single" w:color="auto" w:sz="4" w:space="0"/>
              <w:right w:val="single" w:color="auto" w:sz="6" w:space="0"/>
            </w:tcBorders>
            <w:vAlign w:val="center"/>
          </w:tcPr>
          <w:p w14:paraId="0D76F00A">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姓名</w:t>
            </w:r>
          </w:p>
        </w:tc>
        <w:tc>
          <w:tcPr>
            <w:tcW w:w="2100" w:type="dxa"/>
            <w:tcBorders>
              <w:top w:val="single" w:color="auto" w:sz="6" w:space="0"/>
              <w:left w:val="single" w:color="auto" w:sz="6" w:space="0"/>
              <w:bottom w:val="single" w:color="auto" w:sz="4" w:space="0"/>
              <w:right w:val="single" w:color="auto" w:sz="6" w:space="0"/>
            </w:tcBorders>
            <w:vAlign w:val="center"/>
          </w:tcPr>
          <w:p w14:paraId="42FF67F6">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业绩经验（填写项目名称）</w:t>
            </w:r>
          </w:p>
        </w:tc>
        <w:tc>
          <w:tcPr>
            <w:tcW w:w="1604" w:type="dxa"/>
            <w:tcBorders>
              <w:top w:val="single" w:color="auto" w:sz="4" w:space="0"/>
              <w:left w:val="single" w:color="auto" w:sz="4" w:space="0"/>
              <w:bottom w:val="single" w:color="auto" w:sz="4" w:space="0"/>
              <w:right w:val="single" w:color="auto" w:sz="4" w:space="0"/>
            </w:tcBorders>
            <w:vAlign w:val="center"/>
          </w:tcPr>
          <w:p w14:paraId="78D8ECD3">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委托单位</w:t>
            </w:r>
          </w:p>
        </w:tc>
        <w:tc>
          <w:tcPr>
            <w:tcW w:w="1921" w:type="dxa"/>
            <w:tcBorders>
              <w:top w:val="single" w:color="auto" w:sz="4" w:space="0"/>
              <w:left w:val="single" w:color="auto" w:sz="4" w:space="0"/>
              <w:bottom w:val="single" w:color="auto" w:sz="6" w:space="0"/>
              <w:right w:val="single" w:color="auto" w:sz="6" w:space="0"/>
            </w:tcBorders>
            <w:vAlign w:val="center"/>
          </w:tcPr>
          <w:p w14:paraId="1A68F0DE">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委托时间</w:t>
            </w:r>
          </w:p>
        </w:tc>
        <w:tc>
          <w:tcPr>
            <w:tcW w:w="1230" w:type="dxa"/>
            <w:tcBorders>
              <w:top w:val="single" w:color="auto" w:sz="6" w:space="0"/>
              <w:left w:val="single" w:color="auto" w:sz="6" w:space="0"/>
              <w:bottom w:val="nil"/>
              <w:right w:val="single" w:color="auto" w:sz="6" w:space="0"/>
            </w:tcBorders>
            <w:vAlign w:val="center"/>
          </w:tcPr>
          <w:p w14:paraId="3406D492">
            <w:pPr>
              <w:keepNext w:val="0"/>
              <w:keepLines w:val="0"/>
              <w:suppressLineNumbers w:val="0"/>
              <w:spacing w:before="0" w:beforeAutospacing="0" w:after="0" w:afterAutospacing="0" w:line="300" w:lineRule="exact"/>
              <w:ind w:left="0" w:right="-42" w:rightChars="-20"/>
              <w:jc w:val="center"/>
              <w:rPr>
                <w:rFonts w:hint="default" w:ascii="宋体" w:hAnsi="宋体"/>
                <w:color w:val="auto"/>
                <w:sz w:val="24"/>
                <w:szCs w:val="24"/>
                <w:highlight w:val="none"/>
              </w:rPr>
            </w:pPr>
            <w:r>
              <w:rPr>
                <w:rFonts w:hint="eastAsia" w:ascii="宋体" w:hAnsi="宋体"/>
                <w:color w:val="auto"/>
                <w:sz w:val="24"/>
                <w:szCs w:val="24"/>
                <w:highlight w:val="none"/>
              </w:rPr>
              <w:t>备注</w:t>
            </w:r>
          </w:p>
        </w:tc>
      </w:tr>
      <w:tr w14:paraId="79FB991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97" w:type="dxa"/>
            <w:tcBorders>
              <w:top w:val="single" w:color="auto" w:sz="6" w:space="0"/>
              <w:left w:val="single" w:color="auto" w:sz="6" w:space="0"/>
              <w:bottom w:val="single" w:color="auto" w:sz="4" w:space="0"/>
              <w:right w:val="single" w:color="auto" w:sz="4" w:space="0"/>
            </w:tcBorders>
            <w:vAlign w:val="center"/>
          </w:tcPr>
          <w:p w14:paraId="2E863F5C">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1</w:t>
            </w:r>
          </w:p>
        </w:tc>
        <w:tc>
          <w:tcPr>
            <w:tcW w:w="1821" w:type="dxa"/>
            <w:tcBorders>
              <w:top w:val="single" w:color="auto" w:sz="6" w:space="0"/>
              <w:left w:val="single" w:color="auto" w:sz="4" w:space="0"/>
              <w:bottom w:val="single" w:color="auto" w:sz="4" w:space="0"/>
              <w:right w:val="single" w:color="auto" w:sz="6" w:space="0"/>
            </w:tcBorders>
            <w:vAlign w:val="center"/>
          </w:tcPr>
          <w:p w14:paraId="352E84FC">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2100" w:type="dxa"/>
            <w:tcBorders>
              <w:top w:val="single" w:color="auto" w:sz="6" w:space="0"/>
              <w:left w:val="single" w:color="auto" w:sz="6" w:space="0"/>
              <w:bottom w:val="single" w:color="auto" w:sz="4" w:space="0"/>
              <w:right w:val="single" w:color="auto" w:sz="6" w:space="0"/>
            </w:tcBorders>
            <w:vAlign w:val="center"/>
          </w:tcPr>
          <w:p w14:paraId="2702E197">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604" w:type="dxa"/>
            <w:tcBorders>
              <w:top w:val="single" w:color="auto" w:sz="6" w:space="0"/>
              <w:left w:val="single" w:color="auto" w:sz="6" w:space="0"/>
              <w:bottom w:val="single" w:color="auto" w:sz="4" w:space="0"/>
              <w:right w:val="single" w:color="auto" w:sz="6" w:space="0"/>
            </w:tcBorders>
            <w:vAlign w:val="center"/>
          </w:tcPr>
          <w:p w14:paraId="302BDA4C">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921" w:type="dxa"/>
            <w:tcBorders>
              <w:top w:val="single" w:color="auto" w:sz="6" w:space="0"/>
              <w:left w:val="single" w:color="auto" w:sz="6" w:space="0"/>
              <w:bottom w:val="single" w:color="auto" w:sz="4" w:space="0"/>
              <w:right w:val="single" w:color="auto" w:sz="6" w:space="0"/>
            </w:tcBorders>
            <w:vAlign w:val="center"/>
          </w:tcPr>
          <w:p w14:paraId="7FCE89AB">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230" w:type="dxa"/>
            <w:tcBorders>
              <w:top w:val="single" w:color="auto" w:sz="6" w:space="0"/>
              <w:left w:val="single" w:color="auto" w:sz="6" w:space="0"/>
              <w:bottom w:val="single" w:color="auto" w:sz="4" w:space="0"/>
              <w:right w:val="single" w:color="auto" w:sz="6" w:space="0"/>
            </w:tcBorders>
            <w:vAlign w:val="center"/>
          </w:tcPr>
          <w:p w14:paraId="6289B179">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r>
      <w:tr w14:paraId="1664D69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97" w:type="dxa"/>
            <w:tcBorders>
              <w:top w:val="single" w:color="auto" w:sz="4" w:space="0"/>
              <w:left w:val="single" w:color="auto" w:sz="6" w:space="0"/>
              <w:bottom w:val="single" w:color="auto" w:sz="4" w:space="0"/>
              <w:right w:val="single" w:color="auto" w:sz="4" w:space="0"/>
            </w:tcBorders>
            <w:vAlign w:val="center"/>
          </w:tcPr>
          <w:p w14:paraId="1B9C1C68">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2</w:t>
            </w:r>
          </w:p>
        </w:tc>
        <w:tc>
          <w:tcPr>
            <w:tcW w:w="1821" w:type="dxa"/>
            <w:tcBorders>
              <w:top w:val="single" w:color="auto" w:sz="4" w:space="0"/>
              <w:left w:val="single" w:color="auto" w:sz="4" w:space="0"/>
              <w:bottom w:val="single" w:color="auto" w:sz="4" w:space="0"/>
              <w:right w:val="single" w:color="auto" w:sz="6" w:space="0"/>
            </w:tcBorders>
            <w:vAlign w:val="center"/>
          </w:tcPr>
          <w:p w14:paraId="753D1C32">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2100" w:type="dxa"/>
            <w:tcBorders>
              <w:top w:val="single" w:color="auto" w:sz="4" w:space="0"/>
              <w:left w:val="single" w:color="auto" w:sz="6" w:space="0"/>
              <w:bottom w:val="single" w:color="auto" w:sz="4" w:space="0"/>
              <w:right w:val="single" w:color="auto" w:sz="6" w:space="0"/>
            </w:tcBorders>
            <w:vAlign w:val="center"/>
          </w:tcPr>
          <w:p w14:paraId="50062F08">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604" w:type="dxa"/>
            <w:tcBorders>
              <w:top w:val="single" w:color="auto" w:sz="4" w:space="0"/>
              <w:left w:val="single" w:color="auto" w:sz="6" w:space="0"/>
              <w:bottom w:val="single" w:color="auto" w:sz="4" w:space="0"/>
              <w:right w:val="single" w:color="auto" w:sz="6" w:space="0"/>
            </w:tcBorders>
            <w:vAlign w:val="center"/>
          </w:tcPr>
          <w:p w14:paraId="1DB1380B">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921" w:type="dxa"/>
            <w:tcBorders>
              <w:top w:val="single" w:color="auto" w:sz="4" w:space="0"/>
              <w:left w:val="single" w:color="auto" w:sz="6" w:space="0"/>
              <w:bottom w:val="single" w:color="auto" w:sz="4" w:space="0"/>
              <w:right w:val="single" w:color="auto" w:sz="6" w:space="0"/>
            </w:tcBorders>
            <w:vAlign w:val="center"/>
          </w:tcPr>
          <w:p w14:paraId="3C232B24">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230" w:type="dxa"/>
            <w:tcBorders>
              <w:top w:val="single" w:color="auto" w:sz="4" w:space="0"/>
              <w:left w:val="single" w:color="auto" w:sz="6" w:space="0"/>
              <w:bottom w:val="single" w:color="auto" w:sz="4" w:space="0"/>
              <w:right w:val="single" w:color="auto" w:sz="6" w:space="0"/>
            </w:tcBorders>
            <w:vAlign w:val="center"/>
          </w:tcPr>
          <w:p w14:paraId="4671971F">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r>
      <w:tr w14:paraId="15B1AEF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97" w:type="dxa"/>
            <w:tcBorders>
              <w:top w:val="single" w:color="auto" w:sz="4" w:space="0"/>
              <w:left w:val="single" w:color="auto" w:sz="6" w:space="0"/>
              <w:bottom w:val="single" w:color="auto" w:sz="4" w:space="0"/>
              <w:right w:val="single" w:color="auto" w:sz="4" w:space="0"/>
            </w:tcBorders>
            <w:vAlign w:val="center"/>
          </w:tcPr>
          <w:p w14:paraId="2D69E278">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3</w:t>
            </w:r>
          </w:p>
        </w:tc>
        <w:tc>
          <w:tcPr>
            <w:tcW w:w="1821" w:type="dxa"/>
            <w:tcBorders>
              <w:top w:val="single" w:color="auto" w:sz="4" w:space="0"/>
              <w:left w:val="single" w:color="auto" w:sz="4" w:space="0"/>
              <w:bottom w:val="single" w:color="auto" w:sz="4" w:space="0"/>
              <w:right w:val="single" w:color="auto" w:sz="6" w:space="0"/>
            </w:tcBorders>
            <w:vAlign w:val="center"/>
          </w:tcPr>
          <w:p w14:paraId="08D3FCFE">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2100" w:type="dxa"/>
            <w:tcBorders>
              <w:top w:val="single" w:color="auto" w:sz="4" w:space="0"/>
              <w:left w:val="single" w:color="auto" w:sz="6" w:space="0"/>
              <w:bottom w:val="single" w:color="auto" w:sz="4" w:space="0"/>
              <w:right w:val="single" w:color="auto" w:sz="6" w:space="0"/>
            </w:tcBorders>
            <w:vAlign w:val="center"/>
          </w:tcPr>
          <w:p w14:paraId="5282D3B7">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604" w:type="dxa"/>
            <w:tcBorders>
              <w:top w:val="single" w:color="auto" w:sz="4" w:space="0"/>
              <w:left w:val="single" w:color="auto" w:sz="6" w:space="0"/>
              <w:bottom w:val="single" w:color="auto" w:sz="4" w:space="0"/>
              <w:right w:val="single" w:color="auto" w:sz="6" w:space="0"/>
            </w:tcBorders>
            <w:vAlign w:val="center"/>
          </w:tcPr>
          <w:p w14:paraId="01E5C3C5">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921" w:type="dxa"/>
            <w:tcBorders>
              <w:top w:val="single" w:color="auto" w:sz="4" w:space="0"/>
              <w:left w:val="single" w:color="auto" w:sz="6" w:space="0"/>
              <w:bottom w:val="single" w:color="auto" w:sz="4" w:space="0"/>
              <w:right w:val="single" w:color="auto" w:sz="6" w:space="0"/>
            </w:tcBorders>
            <w:vAlign w:val="center"/>
          </w:tcPr>
          <w:p w14:paraId="01FC3B8D">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230" w:type="dxa"/>
            <w:tcBorders>
              <w:top w:val="single" w:color="auto" w:sz="4" w:space="0"/>
              <w:left w:val="single" w:color="auto" w:sz="6" w:space="0"/>
              <w:bottom w:val="single" w:color="auto" w:sz="4" w:space="0"/>
              <w:right w:val="single" w:color="auto" w:sz="6" w:space="0"/>
            </w:tcBorders>
            <w:vAlign w:val="center"/>
          </w:tcPr>
          <w:p w14:paraId="12951837">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r>
      <w:tr w14:paraId="0B6C43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97" w:type="dxa"/>
            <w:tcBorders>
              <w:top w:val="single" w:color="auto" w:sz="4" w:space="0"/>
              <w:left w:val="single" w:color="auto" w:sz="6" w:space="0"/>
              <w:bottom w:val="single" w:color="auto" w:sz="4" w:space="0"/>
              <w:right w:val="single" w:color="auto" w:sz="4" w:space="0"/>
            </w:tcBorders>
            <w:vAlign w:val="center"/>
          </w:tcPr>
          <w:p w14:paraId="40945FF1">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4</w:t>
            </w:r>
          </w:p>
        </w:tc>
        <w:tc>
          <w:tcPr>
            <w:tcW w:w="1821" w:type="dxa"/>
            <w:tcBorders>
              <w:top w:val="single" w:color="auto" w:sz="4" w:space="0"/>
              <w:left w:val="single" w:color="auto" w:sz="4" w:space="0"/>
              <w:bottom w:val="single" w:color="auto" w:sz="4" w:space="0"/>
              <w:right w:val="single" w:color="auto" w:sz="6" w:space="0"/>
            </w:tcBorders>
            <w:vAlign w:val="center"/>
          </w:tcPr>
          <w:p w14:paraId="31A358B6">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2100" w:type="dxa"/>
            <w:tcBorders>
              <w:top w:val="single" w:color="auto" w:sz="4" w:space="0"/>
              <w:left w:val="single" w:color="auto" w:sz="6" w:space="0"/>
              <w:bottom w:val="single" w:color="auto" w:sz="4" w:space="0"/>
              <w:right w:val="single" w:color="auto" w:sz="6" w:space="0"/>
            </w:tcBorders>
            <w:vAlign w:val="center"/>
          </w:tcPr>
          <w:p w14:paraId="080C18AF">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604" w:type="dxa"/>
            <w:tcBorders>
              <w:top w:val="single" w:color="auto" w:sz="4" w:space="0"/>
              <w:left w:val="single" w:color="auto" w:sz="6" w:space="0"/>
              <w:bottom w:val="single" w:color="auto" w:sz="4" w:space="0"/>
              <w:right w:val="single" w:color="auto" w:sz="6" w:space="0"/>
            </w:tcBorders>
            <w:vAlign w:val="center"/>
          </w:tcPr>
          <w:p w14:paraId="5C9969E6">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921" w:type="dxa"/>
            <w:tcBorders>
              <w:top w:val="single" w:color="auto" w:sz="4" w:space="0"/>
              <w:left w:val="single" w:color="auto" w:sz="6" w:space="0"/>
              <w:bottom w:val="single" w:color="auto" w:sz="4" w:space="0"/>
              <w:right w:val="single" w:color="auto" w:sz="6" w:space="0"/>
            </w:tcBorders>
            <w:vAlign w:val="center"/>
          </w:tcPr>
          <w:p w14:paraId="07D609B4">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230" w:type="dxa"/>
            <w:tcBorders>
              <w:top w:val="single" w:color="auto" w:sz="4" w:space="0"/>
              <w:left w:val="single" w:color="auto" w:sz="6" w:space="0"/>
              <w:bottom w:val="single" w:color="auto" w:sz="4" w:space="0"/>
              <w:right w:val="single" w:color="auto" w:sz="6" w:space="0"/>
            </w:tcBorders>
            <w:vAlign w:val="center"/>
          </w:tcPr>
          <w:p w14:paraId="1717716C">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r>
      <w:tr w14:paraId="092278C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97" w:type="dxa"/>
            <w:tcBorders>
              <w:top w:val="single" w:color="auto" w:sz="4" w:space="0"/>
              <w:left w:val="single" w:color="auto" w:sz="6" w:space="0"/>
              <w:bottom w:val="single" w:color="auto" w:sz="4" w:space="0"/>
              <w:right w:val="single" w:color="auto" w:sz="4" w:space="0"/>
            </w:tcBorders>
            <w:vAlign w:val="center"/>
          </w:tcPr>
          <w:p w14:paraId="300D59ED">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5</w:t>
            </w:r>
          </w:p>
        </w:tc>
        <w:tc>
          <w:tcPr>
            <w:tcW w:w="1821" w:type="dxa"/>
            <w:tcBorders>
              <w:top w:val="single" w:color="auto" w:sz="4" w:space="0"/>
              <w:left w:val="single" w:color="auto" w:sz="4" w:space="0"/>
              <w:bottom w:val="single" w:color="auto" w:sz="4" w:space="0"/>
              <w:right w:val="single" w:color="auto" w:sz="6" w:space="0"/>
            </w:tcBorders>
            <w:vAlign w:val="center"/>
          </w:tcPr>
          <w:p w14:paraId="2270EBBE">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2100" w:type="dxa"/>
            <w:tcBorders>
              <w:top w:val="single" w:color="auto" w:sz="4" w:space="0"/>
              <w:left w:val="single" w:color="auto" w:sz="6" w:space="0"/>
              <w:bottom w:val="single" w:color="auto" w:sz="4" w:space="0"/>
              <w:right w:val="single" w:color="auto" w:sz="6" w:space="0"/>
            </w:tcBorders>
            <w:vAlign w:val="center"/>
          </w:tcPr>
          <w:p w14:paraId="4F64F3C9">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604" w:type="dxa"/>
            <w:tcBorders>
              <w:top w:val="single" w:color="auto" w:sz="4" w:space="0"/>
              <w:left w:val="single" w:color="auto" w:sz="6" w:space="0"/>
              <w:bottom w:val="single" w:color="auto" w:sz="4" w:space="0"/>
              <w:right w:val="single" w:color="auto" w:sz="6" w:space="0"/>
            </w:tcBorders>
            <w:vAlign w:val="center"/>
          </w:tcPr>
          <w:p w14:paraId="15FAAB48">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921" w:type="dxa"/>
            <w:tcBorders>
              <w:top w:val="single" w:color="auto" w:sz="4" w:space="0"/>
              <w:left w:val="single" w:color="auto" w:sz="6" w:space="0"/>
              <w:bottom w:val="single" w:color="auto" w:sz="4" w:space="0"/>
              <w:right w:val="single" w:color="auto" w:sz="6" w:space="0"/>
            </w:tcBorders>
            <w:vAlign w:val="center"/>
          </w:tcPr>
          <w:p w14:paraId="29424408">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230" w:type="dxa"/>
            <w:tcBorders>
              <w:top w:val="single" w:color="auto" w:sz="4" w:space="0"/>
              <w:left w:val="single" w:color="auto" w:sz="6" w:space="0"/>
              <w:bottom w:val="single" w:color="auto" w:sz="4" w:space="0"/>
              <w:right w:val="single" w:color="auto" w:sz="6" w:space="0"/>
            </w:tcBorders>
            <w:vAlign w:val="center"/>
          </w:tcPr>
          <w:p w14:paraId="3E09EBF5">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r>
      <w:tr w14:paraId="488486F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97" w:type="dxa"/>
            <w:tcBorders>
              <w:top w:val="single" w:color="auto" w:sz="4" w:space="0"/>
              <w:left w:val="single" w:color="auto" w:sz="6" w:space="0"/>
              <w:bottom w:val="single" w:color="auto" w:sz="4" w:space="0"/>
              <w:right w:val="single" w:color="auto" w:sz="4" w:space="0"/>
            </w:tcBorders>
            <w:vAlign w:val="center"/>
          </w:tcPr>
          <w:p w14:paraId="08E47DC7">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6</w:t>
            </w:r>
          </w:p>
        </w:tc>
        <w:tc>
          <w:tcPr>
            <w:tcW w:w="1821" w:type="dxa"/>
            <w:tcBorders>
              <w:top w:val="single" w:color="auto" w:sz="4" w:space="0"/>
              <w:left w:val="single" w:color="auto" w:sz="4" w:space="0"/>
              <w:bottom w:val="single" w:color="auto" w:sz="4" w:space="0"/>
              <w:right w:val="single" w:color="auto" w:sz="6" w:space="0"/>
            </w:tcBorders>
            <w:vAlign w:val="center"/>
          </w:tcPr>
          <w:p w14:paraId="664CFABC">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2100" w:type="dxa"/>
            <w:tcBorders>
              <w:top w:val="single" w:color="auto" w:sz="4" w:space="0"/>
              <w:left w:val="single" w:color="auto" w:sz="6" w:space="0"/>
              <w:bottom w:val="single" w:color="auto" w:sz="4" w:space="0"/>
              <w:right w:val="single" w:color="auto" w:sz="6" w:space="0"/>
            </w:tcBorders>
            <w:vAlign w:val="center"/>
          </w:tcPr>
          <w:p w14:paraId="42908A2A">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604" w:type="dxa"/>
            <w:tcBorders>
              <w:top w:val="single" w:color="auto" w:sz="4" w:space="0"/>
              <w:left w:val="single" w:color="auto" w:sz="6" w:space="0"/>
              <w:bottom w:val="single" w:color="auto" w:sz="4" w:space="0"/>
              <w:right w:val="single" w:color="auto" w:sz="6" w:space="0"/>
            </w:tcBorders>
            <w:vAlign w:val="center"/>
          </w:tcPr>
          <w:p w14:paraId="47E99B1B">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921" w:type="dxa"/>
            <w:tcBorders>
              <w:top w:val="single" w:color="auto" w:sz="4" w:space="0"/>
              <w:left w:val="single" w:color="auto" w:sz="6" w:space="0"/>
              <w:bottom w:val="single" w:color="auto" w:sz="4" w:space="0"/>
              <w:right w:val="single" w:color="auto" w:sz="6" w:space="0"/>
            </w:tcBorders>
            <w:vAlign w:val="center"/>
          </w:tcPr>
          <w:p w14:paraId="1F721A92">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230" w:type="dxa"/>
            <w:tcBorders>
              <w:top w:val="single" w:color="auto" w:sz="4" w:space="0"/>
              <w:left w:val="single" w:color="auto" w:sz="6" w:space="0"/>
              <w:bottom w:val="single" w:color="auto" w:sz="4" w:space="0"/>
              <w:right w:val="single" w:color="auto" w:sz="6" w:space="0"/>
            </w:tcBorders>
            <w:vAlign w:val="center"/>
          </w:tcPr>
          <w:p w14:paraId="35579225">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r>
      <w:tr w14:paraId="452582B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97" w:type="dxa"/>
            <w:tcBorders>
              <w:top w:val="single" w:color="auto" w:sz="4" w:space="0"/>
              <w:left w:val="single" w:color="auto" w:sz="6" w:space="0"/>
              <w:bottom w:val="single" w:color="auto" w:sz="4" w:space="0"/>
              <w:right w:val="single" w:color="auto" w:sz="4" w:space="0"/>
            </w:tcBorders>
            <w:vAlign w:val="center"/>
          </w:tcPr>
          <w:p w14:paraId="5AC476CE">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7</w:t>
            </w:r>
          </w:p>
        </w:tc>
        <w:tc>
          <w:tcPr>
            <w:tcW w:w="1821" w:type="dxa"/>
            <w:tcBorders>
              <w:top w:val="single" w:color="auto" w:sz="4" w:space="0"/>
              <w:left w:val="single" w:color="auto" w:sz="4" w:space="0"/>
              <w:bottom w:val="single" w:color="auto" w:sz="4" w:space="0"/>
              <w:right w:val="single" w:color="auto" w:sz="6" w:space="0"/>
            </w:tcBorders>
            <w:vAlign w:val="center"/>
          </w:tcPr>
          <w:p w14:paraId="5C43C431">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2100" w:type="dxa"/>
            <w:tcBorders>
              <w:top w:val="single" w:color="auto" w:sz="4" w:space="0"/>
              <w:left w:val="single" w:color="auto" w:sz="6" w:space="0"/>
              <w:bottom w:val="single" w:color="auto" w:sz="4" w:space="0"/>
              <w:right w:val="single" w:color="auto" w:sz="6" w:space="0"/>
            </w:tcBorders>
            <w:vAlign w:val="center"/>
          </w:tcPr>
          <w:p w14:paraId="4254EC2A">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604" w:type="dxa"/>
            <w:tcBorders>
              <w:top w:val="single" w:color="auto" w:sz="4" w:space="0"/>
              <w:left w:val="single" w:color="auto" w:sz="6" w:space="0"/>
              <w:bottom w:val="single" w:color="auto" w:sz="4" w:space="0"/>
              <w:right w:val="single" w:color="auto" w:sz="6" w:space="0"/>
            </w:tcBorders>
            <w:vAlign w:val="center"/>
          </w:tcPr>
          <w:p w14:paraId="7821E98A">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921" w:type="dxa"/>
            <w:tcBorders>
              <w:top w:val="single" w:color="auto" w:sz="4" w:space="0"/>
              <w:left w:val="single" w:color="auto" w:sz="6" w:space="0"/>
              <w:bottom w:val="single" w:color="auto" w:sz="4" w:space="0"/>
              <w:right w:val="single" w:color="auto" w:sz="6" w:space="0"/>
            </w:tcBorders>
            <w:vAlign w:val="center"/>
          </w:tcPr>
          <w:p w14:paraId="457550F7">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230" w:type="dxa"/>
            <w:tcBorders>
              <w:top w:val="single" w:color="auto" w:sz="4" w:space="0"/>
              <w:left w:val="single" w:color="auto" w:sz="6" w:space="0"/>
              <w:bottom w:val="single" w:color="auto" w:sz="4" w:space="0"/>
              <w:right w:val="single" w:color="auto" w:sz="6" w:space="0"/>
            </w:tcBorders>
            <w:vAlign w:val="center"/>
          </w:tcPr>
          <w:p w14:paraId="70AEF854">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r>
      <w:tr w14:paraId="2EFA69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97" w:type="dxa"/>
            <w:tcBorders>
              <w:top w:val="single" w:color="auto" w:sz="4" w:space="0"/>
              <w:left w:val="single" w:color="auto" w:sz="6" w:space="0"/>
              <w:bottom w:val="single" w:color="auto" w:sz="4" w:space="0"/>
              <w:right w:val="single" w:color="auto" w:sz="4" w:space="0"/>
            </w:tcBorders>
            <w:vAlign w:val="center"/>
          </w:tcPr>
          <w:p w14:paraId="38F55FB0">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8</w:t>
            </w:r>
          </w:p>
        </w:tc>
        <w:tc>
          <w:tcPr>
            <w:tcW w:w="1821" w:type="dxa"/>
            <w:tcBorders>
              <w:top w:val="single" w:color="auto" w:sz="4" w:space="0"/>
              <w:left w:val="single" w:color="auto" w:sz="4" w:space="0"/>
              <w:bottom w:val="single" w:color="auto" w:sz="4" w:space="0"/>
              <w:right w:val="single" w:color="auto" w:sz="6" w:space="0"/>
            </w:tcBorders>
            <w:vAlign w:val="center"/>
          </w:tcPr>
          <w:p w14:paraId="2F6CD629">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2100" w:type="dxa"/>
            <w:tcBorders>
              <w:top w:val="single" w:color="auto" w:sz="4" w:space="0"/>
              <w:left w:val="single" w:color="auto" w:sz="6" w:space="0"/>
              <w:bottom w:val="single" w:color="auto" w:sz="4" w:space="0"/>
              <w:right w:val="single" w:color="auto" w:sz="6" w:space="0"/>
            </w:tcBorders>
            <w:vAlign w:val="center"/>
          </w:tcPr>
          <w:p w14:paraId="77160BE2">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604" w:type="dxa"/>
            <w:tcBorders>
              <w:top w:val="single" w:color="auto" w:sz="4" w:space="0"/>
              <w:left w:val="single" w:color="auto" w:sz="6" w:space="0"/>
              <w:bottom w:val="single" w:color="auto" w:sz="4" w:space="0"/>
              <w:right w:val="single" w:color="auto" w:sz="6" w:space="0"/>
            </w:tcBorders>
            <w:vAlign w:val="center"/>
          </w:tcPr>
          <w:p w14:paraId="14D24457">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921" w:type="dxa"/>
            <w:tcBorders>
              <w:top w:val="single" w:color="auto" w:sz="4" w:space="0"/>
              <w:left w:val="single" w:color="auto" w:sz="6" w:space="0"/>
              <w:bottom w:val="single" w:color="auto" w:sz="4" w:space="0"/>
              <w:right w:val="single" w:color="auto" w:sz="6" w:space="0"/>
            </w:tcBorders>
            <w:vAlign w:val="center"/>
          </w:tcPr>
          <w:p w14:paraId="5B9B1AAD">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230" w:type="dxa"/>
            <w:tcBorders>
              <w:top w:val="single" w:color="auto" w:sz="4" w:space="0"/>
              <w:left w:val="single" w:color="auto" w:sz="6" w:space="0"/>
              <w:bottom w:val="single" w:color="auto" w:sz="4" w:space="0"/>
              <w:right w:val="single" w:color="auto" w:sz="6" w:space="0"/>
            </w:tcBorders>
            <w:vAlign w:val="center"/>
          </w:tcPr>
          <w:p w14:paraId="2D9358B2">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r>
      <w:tr w14:paraId="67287A4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97" w:type="dxa"/>
            <w:tcBorders>
              <w:top w:val="single" w:color="auto" w:sz="4" w:space="0"/>
              <w:left w:val="single" w:color="auto" w:sz="6" w:space="0"/>
              <w:bottom w:val="single" w:color="auto" w:sz="4" w:space="0"/>
              <w:right w:val="single" w:color="auto" w:sz="4" w:space="0"/>
            </w:tcBorders>
            <w:vAlign w:val="center"/>
          </w:tcPr>
          <w:p w14:paraId="78A1FE9F">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9</w:t>
            </w:r>
          </w:p>
        </w:tc>
        <w:tc>
          <w:tcPr>
            <w:tcW w:w="1821" w:type="dxa"/>
            <w:tcBorders>
              <w:top w:val="single" w:color="auto" w:sz="4" w:space="0"/>
              <w:left w:val="single" w:color="auto" w:sz="4" w:space="0"/>
              <w:bottom w:val="single" w:color="auto" w:sz="4" w:space="0"/>
              <w:right w:val="single" w:color="auto" w:sz="6" w:space="0"/>
            </w:tcBorders>
            <w:vAlign w:val="center"/>
          </w:tcPr>
          <w:p w14:paraId="7D0835F7">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2100" w:type="dxa"/>
            <w:tcBorders>
              <w:top w:val="single" w:color="auto" w:sz="4" w:space="0"/>
              <w:left w:val="single" w:color="auto" w:sz="6" w:space="0"/>
              <w:bottom w:val="single" w:color="auto" w:sz="4" w:space="0"/>
              <w:right w:val="single" w:color="auto" w:sz="6" w:space="0"/>
            </w:tcBorders>
            <w:vAlign w:val="center"/>
          </w:tcPr>
          <w:p w14:paraId="2F17E616">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604" w:type="dxa"/>
            <w:tcBorders>
              <w:top w:val="single" w:color="auto" w:sz="4" w:space="0"/>
              <w:left w:val="single" w:color="auto" w:sz="6" w:space="0"/>
              <w:bottom w:val="single" w:color="auto" w:sz="4" w:space="0"/>
              <w:right w:val="single" w:color="auto" w:sz="6" w:space="0"/>
            </w:tcBorders>
            <w:vAlign w:val="center"/>
          </w:tcPr>
          <w:p w14:paraId="5C5DC4B6">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921" w:type="dxa"/>
            <w:tcBorders>
              <w:top w:val="single" w:color="auto" w:sz="4" w:space="0"/>
              <w:left w:val="single" w:color="auto" w:sz="6" w:space="0"/>
              <w:bottom w:val="single" w:color="auto" w:sz="4" w:space="0"/>
              <w:right w:val="single" w:color="auto" w:sz="6" w:space="0"/>
            </w:tcBorders>
            <w:vAlign w:val="center"/>
          </w:tcPr>
          <w:p w14:paraId="53339859">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230" w:type="dxa"/>
            <w:tcBorders>
              <w:top w:val="single" w:color="auto" w:sz="4" w:space="0"/>
              <w:left w:val="single" w:color="auto" w:sz="6" w:space="0"/>
              <w:bottom w:val="single" w:color="auto" w:sz="4" w:space="0"/>
              <w:right w:val="single" w:color="auto" w:sz="6" w:space="0"/>
            </w:tcBorders>
            <w:vAlign w:val="center"/>
          </w:tcPr>
          <w:p w14:paraId="72568D7B">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r>
      <w:tr w14:paraId="490175A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97" w:type="dxa"/>
            <w:tcBorders>
              <w:top w:val="single" w:color="auto" w:sz="4" w:space="0"/>
              <w:left w:val="single" w:color="auto" w:sz="6" w:space="0"/>
              <w:bottom w:val="single" w:color="auto" w:sz="4" w:space="0"/>
              <w:right w:val="single" w:color="auto" w:sz="4" w:space="0"/>
            </w:tcBorders>
            <w:vAlign w:val="center"/>
          </w:tcPr>
          <w:p w14:paraId="1B683471">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10</w:t>
            </w:r>
          </w:p>
        </w:tc>
        <w:tc>
          <w:tcPr>
            <w:tcW w:w="1821" w:type="dxa"/>
            <w:tcBorders>
              <w:top w:val="single" w:color="auto" w:sz="4" w:space="0"/>
              <w:left w:val="single" w:color="auto" w:sz="4" w:space="0"/>
              <w:bottom w:val="single" w:color="auto" w:sz="4" w:space="0"/>
              <w:right w:val="single" w:color="auto" w:sz="6" w:space="0"/>
            </w:tcBorders>
            <w:vAlign w:val="center"/>
          </w:tcPr>
          <w:p w14:paraId="33ADAD6F">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2100" w:type="dxa"/>
            <w:tcBorders>
              <w:top w:val="single" w:color="auto" w:sz="4" w:space="0"/>
              <w:left w:val="single" w:color="auto" w:sz="6" w:space="0"/>
              <w:bottom w:val="single" w:color="auto" w:sz="4" w:space="0"/>
              <w:right w:val="single" w:color="auto" w:sz="6" w:space="0"/>
            </w:tcBorders>
            <w:vAlign w:val="center"/>
          </w:tcPr>
          <w:p w14:paraId="55EE9270">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604" w:type="dxa"/>
            <w:tcBorders>
              <w:top w:val="single" w:color="auto" w:sz="4" w:space="0"/>
              <w:left w:val="single" w:color="auto" w:sz="6" w:space="0"/>
              <w:bottom w:val="single" w:color="auto" w:sz="4" w:space="0"/>
              <w:right w:val="single" w:color="auto" w:sz="6" w:space="0"/>
            </w:tcBorders>
            <w:vAlign w:val="center"/>
          </w:tcPr>
          <w:p w14:paraId="1C8D13DD">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921" w:type="dxa"/>
            <w:tcBorders>
              <w:top w:val="single" w:color="auto" w:sz="4" w:space="0"/>
              <w:left w:val="single" w:color="auto" w:sz="6" w:space="0"/>
              <w:bottom w:val="single" w:color="auto" w:sz="4" w:space="0"/>
              <w:right w:val="single" w:color="auto" w:sz="6" w:space="0"/>
            </w:tcBorders>
            <w:vAlign w:val="center"/>
          </w:tcPr>
          <w:p w14:paraId="42F8C947">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230" w:type="dxa"/>
            <w:tcBorders>
              <w:top w:val="single" w:color="auto" w:sz="4" w:space="0"/>
              <w:left w:val="single" w:color="auto" w:sz="6" w:space="0"/>
              <w:bottom w:val="single" w:color="auto" w:sz="4" w:space="0"/>
              <w:right w:val="single" w:color="auto" w:sz="6" w:space="0"/>
            </w:tcBorders>
            <w:vAlign w:val="center"/>
          </w:tcPr>
          <w:p w14:paraId="7C9CF849">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r>
      <w:tr w14:paraId="67E4DA4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97" w:type="dxa"/>
            <w:tcBorders>
              <w:top w:val="single" w:color="auto" w:sz="4" w:space="0"/>
              <w:left w:val="single" w:color="auto" w:sz="6" w:space="0"/>
              <w:bottom w:val="single" w:color="auto" w:sz="4" w:space="0"/>
              <w:right w:val="single" w:color="auto" w:sz="4" w:space="0"/>
            </w:tcBorders>
            <w:vAlign w:val="center"/>
          </w:tcPr>
          <w:p w14:paraId="426414CF">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w:t>
            </w:r>
          </w:p>
        </w:tc>
        <w:tc>
          <w:tcPr>
            <w:tcW w:w="1821" w:type="dxa"/>
            <w:tcBorders>
              <w:top w:val="single" w:color="auto" w:sz="4" w:space="0"/>
              <w:left w:val="single" w:color="auto" w:sz="4" w:space="0"/>
              <w:bottom w:val="single" w:color="auto" w:sz="4" w:space="0"/>
              <w:right w:val="single" w:color="auto" w:sz="6" w:space="0"/>
            </w:tcBorders>
            <w:vAlign w:val="center"/>
          </w:tcPr>
          <w:p w14:paraId="2E1FE904">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2100" w:type="dxa"/>
            <w:tcBorders>
              <w:top w:val="single" w:color="auto" w:sz="4" w:space="0"/>
              <w:left w:val="single" w:color="auto" w:sz="6" w:space="0"/>
              <w:bottom w:val="single" w:color="auto" w:sz="4" w:space="0"/>
              <w:right w:val="single" w:color="auto" w:sz="6" w:space="0"/>
            </w:tcBorders>
            <w:vAlign w:val="center"/>
          </w:tcPr>
          <w:p w14:paraId="76327D61">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604" w:type="dxa"/>
            <w:tcBorders>
              <w:top w:val="single" w:color="auto" w:sz="4" w:space="0"/>
              <w:left w:val="single" w:color="auto" w:sz="6" w:space="0"/>
              <w:bottom w:val="single" w:color="auto" w:sz="4" w:space="0"/>
              <w:right w:val="single" w:color="auto" w:sz="6" w:space="0"/>
            </w:tcBorders>
            <w:vAlign w:val="center"/>
          </w:tcPr>
          <w:p w14:paraId="132DBF3F">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921" w:type="dxa"/>
            <w:tcBorders>
              <w:top w:val="single" w:color="auto" w:sz="4" w:space="0"/>
              <w:left w:val="single" w:color="auto" w:sz="6" w:space="0"/>
              <w:bottom w:val="single" w:color="auto" w:sz="4" w:space="0"/>
              <w:right w:val="single" w:color="auto" w:sz="6" w:space="0"/>
            </w:tcBorders>
            <w:vAlign w:val="center"/>
          </w:tcPr>
          <w:p w14:paraId="1667A9BD">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230" w:type="dxa"/>
            <w:tcBorders>
              <w:top w:val="single" w:color="auto" w:sz="4" w:space="0"/>
              <w:left w:val="single" w:color="auto" w:sz="6" w:space="0"/>
              <w:bottom w:val="single" w:color="auto" w:sz="4" w:space="0"/>
              <w:right w:val="single" w:color="auto" w:sz="6" w:space="0"/>
            </w:tcBorders>
            <w:vAlign w:val="center"/>
          </w:tcPr>
          <w:p w14:paraId="041119E9">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r>
    </w:tbl>
    <w:p w14:paraId="7284B857">
      <w:pPr>
        <w:spacing w:line="500" w:lineRule="exact"/>
        <w:rPr>
          <w:rFonts w:ascii="宋体" w:hAnsi="宋体"/>
          <w:color w:val="auto"/>
          <w:sz w:val="24"/>
          <w:szCs w:val="24"/>
          <w:highlight w:val="none"/>
        </w:rPr>
      </w:pPr>
      <w:r>
        <w:rPr>
          <w:rFonts w:hint="eastAsia" w:ascii="宋体" w:hAnsi="宋体"/>
          <w:color w:val="auto"/>
          <w:sz w:val="24"/>
          <w:szCs w:val="24"/>
          <w:highlight w:val="none"/>
        </w:rPr>
        <w:t>注：</w:t>
      </w:r>
    </w:p>
    <w:p w14:paraId="308D3E2B">
      <w:pPr>
        <w:spacing w:line="500" w:lineRule="exact"/>
        <w:rPr>
          <w:rFonts w:ascii="宋体" w:hAnsi="宋体"/>
          <w:color w:val="auto"/>
          <w:sz w:val="24"/>
          <w:szCs w:val="24"/>
          <w:highlight w:val="none"/>
        </w:rPr>
      </w:pPr>
      <w:r>
        <w:rPr>
          <w:rFonts w:hint="eastAsia" w:ascii="宋体" w:hAnsi="宋体"/>
          <w:color w:val="auto"/>
          <w:sz w:val="24"/>
          <w:szCs w:val="24"/>
          <w:highlight w:val="none"/>
        </w:rPr>
        <w:t>1、业绩为第三方房屋质量查验、交付陪验及维保服务业绩；</w:t>
      </w:r>
    </w:p>
    <w:p w14:paraId="183EEDFC">
      <w:pPr>
        <w:spacing w:line="500" w:lineRule="exact"/>
        <w:outlineLvl w:val="9"/>
        <w:rPr>
          <w:rFonts w:ascii="宋体" w:hAnsi="宋体"/>
          <w:color w:val="auto"/>
          <w:sz w:val="24"/>
          <w:szCs w:val="24"/>
          <w:highlight w:val="none"/>
        </w:rPr>
      </w:pPr>
      <w:bookmarkStart w:id="576" w:name="_Toc15724"/>
      <w:bookmarkStart w:id="577" w:name="_Toc10929"/>
      <w:r>
        <w:rPr>
          <w:rFonts w:hint="eastAsia" w:ascii="宋体" w:hAnsi="宋体"/>
          <w:color w:val="auto"/>
          <w:sz w:val="24"/>
          <w:szCs w:val="24"/>
          <w:highlight w:val="none"/>
        </w:rPr>
        <w:t>2、业绩必须是</w:t>
      </w:r>
      <w:r>
        <w:rPr>
          <w:rFonts w:hint="eastAsia" w:ascii="宋体" w:hAnsi="宋体"/>
          <w:color w:val="auto"/>
          <w:sz w:val="24"/>
          <w:szCs w:val="24"/>
          <w:highlight w:val="none"/>
          <w:lang w:val="en-US" w:eastAsia="zh-CN"/>
        </w:rPr>
        <w:t>自</w:t>
      </w:r>
      <w:r>
        <w:rPr>
          <w:rFonts w:hint="eastAsia" w:ascii="宋体" w:hAnsi="宋体"/>
          <w:color w:val="auto"/>
          <w:sz w:val="24"/>
          <w:szCs w:val="24"/>
          <w:highlight w:val="none"/>
        </w:rPr>
        <w:t>20</w:t>
      </w:r>
      <w:r>
        <w:rPr>
          <w:rFonts w:hint="eastAsia" w:ascii="宋体" w:hAnsi="宋体"/>
          <w:color w:val="auto"/>
          <w:sz w:val="24"/>
          <w:szCs w:val="24"/>
          <w:highlight w:val="none"/>
          <w:lang w:val="en-US" w:eastAsia="zh-CN"/>
        </w:rPr>
        <w:t>22</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月</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含</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起至今</w:t>
      </w:r>
      <w:r>
        <w:rPr>
          <w:rFonts w:hint="eastAsia" w:ascii="宋体" w:hAnsi="宋体"/>
          <w:color w:val="auto"/>
          <w:sz w:val="24"/>
          <w:szCs w:val="24"/>
          <w:highlight w:val="none"/>
        </w:rPr>
        <w:t>的项目；</w:t>
      </w:r>
      <w:bookmarkEnd w:id="576"/>
      <w:bookmarkEnd w:id="577"/>
    </w:p>
    <w:p w14:paraId="7EB648D0">
      <w:pPr>
        <w:spacing w:line="500" w:lineRule="exact"/>
        <w:ind w:firstLine="320" w:firstLineChars="100"/>
        <w:rPr>
          <w:rFonts w:hint="eastAsia" w:ascii="仿宋" w:hAnsi="仿宋" w:eastAsia="仿宋"/>
          <w:color w:val="auto"/>
          <w:sz w:val="32"/>
          <w:szCs w:val="32"/>
          <w:highlight w:val="none"/>
        </w:rPr>
      </w:pPr>
    </w:p>
    <w:p w14:paraId="23B642C1">
      <w:pPr>
        <w:spacing w:line="500" w:lineRule="exact"/>
        <w:ind w:firstLine="320" w:firstLineChars="100"/>
        <w:rPr>
          <w:rFonts w:hint="eastAsia" w:ascii="仿宋" w:hAnsi="仿宋" w:eastAsia="仿宋"/>
          <w:color w:val="auto"/>
          <w:sz w:val="32"/>
          <w:szCs w:val="32"/>
          <w:highlight w:val="none"/>
        </w:rPr>
      </w:pPr>
    </w:p>
    <w:p w14:paraId="4F2F69D1">
      <w:pPr>
        <w:spacing w:line="500" w:lineRule="exact"/>
        <w:ind w:firstLine="320" w:firstLineChars="100"/>
        <w:rPr>
          <w:rFonts w:ascii="仿宋" w:hAnsi="仿宋" w:eastAsia="仿宋"/>
          <w:color w:val="auto"/>
          <w:sz w:val="32"/>
          <w:szCs w:val="32"/>
          <w:highlight w:val="none"/>
        </w:rPr>
      </w:pPr>
      <w:r>
        <w:rPr>
          <w:rFonts w:hint="eastAsia" w:ascii="仿宋" w:hAnsi="仿宋" w:eastAsia="仿宋"/>
          <w:color w:val="auto"/>
          <w:sz w:val="32"/>
          <w:szCs w:val="32"/>
          <w:highlight w:val="none"/>
        </w:rPr>
        <w:t>投标人（全称并加盖公章）：</w:t>
      </w:r>
    </w:p>
    <w:p w14:paraId="5938D3A6">
      <w:pPr>
        <w:spacing w:line="500" w:lineRule="exact"/>
        <w:ind w:firstLine="320" w:firstLineChars="100"/>
        <w:rPr>
          <w:rFonts w:ascii="仿宋" w:hAnsi="仿宋" w:eastAsia="仿宋"/>
          <w:color w:val="auto"/>
          <w:sz w:val="32"/>
          <w:szCs w:val="32"/>
          <w:highlight w:val="none"/>
          <w:u w:val="single"/>
        </w:rPr>
      </w:pPr>
      <w:r>
        <w:rPr>
          <w:rFonts w:hint="eastAsia" w:ascii="仿宋" w:hAnsi="仿宋" w:eastAsia="仿宋"/>
          <w:color w:val="auto"/>
          <w:sz w:val="32"/>
          <w:szCs w:val="32"/>
          <w:highlight w:val="none"/>
        </w:rPr>
        <w:t xml:space="preserve">投标人代表签字： </w:t>
      </w:r>
    </w:p>
    <w:p w14:paraId="2B8FF548">
      <w:pPr>
        <w:spacing w:line="500" w:lineRule="exact"/>
        <w:ind w:firstLine="320" w:firstLineChars="1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日      期：</w:t>
      </w:r>
    </w:p>
    <w:p w14:paraId="4E1BDD7B">
      <w:pPr>
        <w:spacing w:line="240" w:lineRule="auto"/>
        <w:rPr>
          <w:rFonts w:ascii="仿宋" w:hAnsi="仿宋" w:eastAsia="仿宋"/>
          <w:bCs/>
          <w:color w:val="auto"/>
          <w:sz w:val="28"/>
          <w:szCs w:val="28"/>
          <w:highlight w:val="none"/>
        </w:rPr>
      </w:pPr>
      <w:r>
        <w:rPr>
          <w:rFonts w:ascii="仿宋" w:hAnsi="仿宋" w:eastAsia="仿宋"/>
          <w:bCs/>
          <w:color w:val="auto"/>
          <w:sz w:val="28"/>
          <w:szCs w:val="28"/>
          <w:highlight w:val="none"/>
        </w:rPr>
        <w:br w:type="page"/>
      </w:r>
    </w:p>
    <w:p w14:paraId="06C03EE8">
      <w:pPr>
        <w:spacing w:line="500" w:lineRule="exact"/>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格式</w:t>
      </w:r>
      <w:r>
        <w:rPr>
          <w:rFonts w:hint="eastAsia" w:ascii="仿宋" w:hAnsi="仿宋" w:eastAsia="仿宋"/>
          <w:b/>
          <w:bCs/>
          <w:color w:val="auto"/>
          <w:sz w:val="32"/>
          <w:szCs w:val="32"/>
          <w:highlight w:val="none"/>
          <w:lang w:val="en-US" w:eastAsia="zh-CN"/>
        </w:rPr>
        <w:t>5</w:t>
      </w:r>
      <w:r>
        <w:rPr>
          <w:rFonts w:hint="eastAsia" w:ascii="仿宋" w:hAnsi="仿宋" w:eastAsia="仿宋"/>
          <w:b/>
          <w:bCs/>
          <w:color w:val="auto"/>
          <w:sz w:val="32"/>
          <w:szCs w:val="32"/>
          <w:highlight w:val="none"/>
        </w:rPr>
        <w:t xml:space="preserve">  </w:t>
      </w:r>
    </w:p>
    <w:p w14:paraId="256E2E27">
      <w:pPr>
        <w:spacing w:line="500" w:lineRule="exact"/>
        <w:rPr>
          <w:rFonts w:ascii="仿宋" w:hAnsi="仿宋" w:eastAsia="仿宋"/>
          <w:b/>
          <w:bCs/>
          <w:color w:val="auto"/>
          <w:sz w:val="32"/>
          <w:szCs w:val="32"/>
          <w:highlight w:val="none"/>
        </w:rPr>
      </w:pPr>
    </w:p>
    <w:p w14:paraId="4F5187B0">
      <w:pPr>
        <w:spacing w:line="500" w:lineRule="exact"/>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lang w:val="en-US" w:eastAsia="zh-CN"/>
        </w:rPr>
        <w:t>模拟验收</w:t>
      </w:r>
      <w:r>
        <w:rPr>
          <w:rFonts w:hint="eastAsia" w:ascii="仿宋" w:hAnsi="仿宋" w:eastAsia="仿宋"/>
          <w:b/>
          <w:bCs/>
          <w:color w:val="auto"/>
          <w:sz w:val="32"/>
          <w:szCs w:val="32"/>
          <w:highlight w:val="none"/>
        </w:rPr>
        <w:t>服务承诺函</w:t>
      </w:r>
      <w:r>
        <w:rPr>
          <w:rFonts w:hint="eastAsia" w:ascii="仿宋" w:hAnsi="仿宋" w:eastAsia="仿宋"/>
          <w:b/>
          <w:bCs/>
          <w:color w:val="auto"/>
          <w:sz w:val="32"/>
          <w:szCs w:val="32"/>
          <w:highlight w:val="none"/>
        </w:rPr>
        <w:cr/>
      </w:r>
    </w:p>
    <w:p w14:paraId="523A929F">
      <w:pPr>
        <w:pStyle w:val="8"/>
        <w:tabs>
          <w:tab w:val="left" w:pos="4580"/>
        </w:tabs>
        <w:spacing w:line="500" w:lineRule="exact"/>
        <w:ind w:firstLine="960" w:firstLineChars="300"/>
        <w:rPr>
          <w:rFonts w:ascii="仿宋" w:hAnsi="仿宋" w:eastAsia="仿宋"/>
          <w:color w:val="auto"/>
          <w:sz w:val="32"/>
          <w:szCs w:val="32"/>
          <w:highlight w:val="none"/>
        </w:rPr>
      </w:pPr>
      <w:r>
        <w:rPr>
          <w:rFonts w:ascii="仿宋" w:hAnsi="仿宋" w:eastAsia="仿宋"/>
          <w:color w:val="auto"/>
          <w:sz w:val="32"/>
          <w:szCs w:val="32"/>
          <w:highlight w:val="none"/>
        </w:rPr>
        <w:t>根据贵方为</w:t>
      </w:r>
      <w:r>
        <w:rPr>
          <w:rFonts w:ascii="仿宋" w:hAnsi="仿宋" w:eastAsia="仿宋"/>
          <w:color w:val="auto"/>
          <w:sz w:val="32"/>
          <w:szCs w:val="32"/>
          <w:highlight w:val="none"/>
          <w:u w:val="single"/>
        </w:rPr>
        <w:tab/>
      </w:r>
      <w:r>
        <w:rPr>
          <w:rFonts w:ascii="仿宋" w:hAnsi="仿宋" w:eastAsia="仿宋"/>
          <w:color w:val="auto"/>
          <w:sz w:val="32"/>
          <w:szCs w:val="32"/>
          <w:highlight w:val="none"/>
        </w:rPr>
        <w:t>招标项目的投标</w:t>
      </w:r>
      <w:r>
        <w:rPr>
          <w:rFonts w:hint="eastAsia" w:ascii="仿宋" w:hAnsi="仿宋" w:eastAsia="仿宋"/>
          <w:color w:val="auto"/>
          <w:sz w:val="32"/>
          <w:szCs w:val="32"/>
          <w:highlight w:val="none"/>
        </w:rPr>
        <w:t>要求</w:t>
      </w:r>
      <w:r>
        <w:rPr>
          <w:rFonts w:ascii="仿宋" w:hAnsi="仿宋" w:eastAsia="仿宋"/>
          <w:color w:val="auto"/>
          <w:sz w:val="32"/>
          <w:szCs w:val="32"/>
          <w:highlight w:val="none"/>
        </w:rPr>
        <w:t>，我公司对该项目做出如下</w:t>
      </w:r>
      <w:r>
        <w:rPr>
          <w:rFonts w:hint="eastAsia" w:ascii="仿宋" w:hAnsi="仿宋" w:eastAsia="仿宋"/>
          <w:color w:val="auto"/>
          <w:sz w:val="32"/>
          <w:szCs w:val="32"/>
          <w:highlight w:val="none"/>
          <w:lang w:val="en-US" w:eastAsia="zh-CN"/>
        </w:rPr>
        <w:t>模拟验收</w:t>
      </w:r>
      <w:r>
        <w:rPr>
          <w:rFonts w:ascii="仿宋" w:hAnsi="仿宋" w:eastAsia="仿宋"/>
          <w:color w:val="auto"/>
          <w:sz w:val="32"/>
          <w:szCs w:val="32"/>
          <w:highlight w:val="none"/>
        </w:rPr>
        <w:t>服务方案：</w:t>
      </w:r>
    </w:p>
    <w:p w14:paraId="2EFE59FB">
      <w:pPr>
        <w:spacing w:line="500" w:lineRule="exact"/>
        <w:rPr>
          <w:rFonts w:ascii="仿宋" w:hAnsi="仿宋" w:eastAsia="仿宋"/>
          <w:color w:val="auto"/>
          <w:sz w:val="32"/>
          <w:szCs w:val="32"/>
          <w:highlight w:val="none"/>
        </w:rPr>
      </w:pPr>
    </w:p>
    <w:p w14:paraId="5BDBD00B">
      <w:pPr>
        <w:spacing w:line="500" w:lineRule="exact"/>
        <w:rPr>
          <w:rFonts w:ascii="仿宋" w:hAnsi="仿宋" w:eastAsia="仿宋"/>
          <w:color w:val="auto"/>
          <w:sz w:val="32"/>
          <w:szCs w:val="32"/>
          <w:highlight w:val="none"/>
        </w:rPr>
      </w:pPr>
    </w:p>
    <w:p w14:paraId="67D3D1BE">
      <w:pPr>
        <w:pStyle w:val="8"/>
        <w:spacing w:line="500" w:lineRule="exact"/>
        <w:ind w:left="3042" w:right="146"/>
        <w:rPr>
          <w:rFonts w:ascii="仿宋" w:hAnsi="仿宋" w:eastAsia="仿宋"/>
          <w:color w:val="auto"/>
          <w:sz w:val="32"/>
          <w:szCs w:val="32"/>
          <w:highlight w:val="none"/>
        </w:rPr>
      </w:pPr>
      <w:r>
        <w:rPr>
          <w:rFonts w:ascii="仿宋" w:hAnsi="仿宋" w:eastAsia="仿宋"/>
          <w:color w:val="auto"/>
          <w:sz w:val="32"/>
          <w:szCs w:val="32"/>
          <w:highlight w:val="none"/>
        </w:rPr>
        <w:t>（内容根据招标文件要求自拟）</w:t>
      </w:r>
    </w:p>
    <w:p w14:paraId="4A9802D6">
      <w:pPr>
        <w:spacing w:line="500" w:lineRule="exact"/>
        <w:ind w:firstLine="640" w:firstLineChars="200"/>
        <w:rPr>
          <w:rFonts w:ascii="仿宋" w:hAnsi="仿宋" w:eastAsia="仿宋"/>
          <w:color w:val="auto"/>
          <w:sz w:val="32"/>
          <w:szCs w:val="32"/>
          <w:highlight w:val="none"/>
        </w:rPr>
      </w:pPr>
    </w:p>
    <w:p w14:paraId="22423161">
      <w:pPr>
        <w:tabs>
          <w:tab w:val="left" w:pos="6814"/>
        </w:tabs>
        <w:spacing w:line="500" w:lineRule="exact"/>
        <w:rPr>
          <w:rFonts w:ascii="仿宋" w:hAnsi="仿宋" w:eastAsia="仿宋"/>
          <w:color w:val="auto"/>
          <w:sz w:val="32"/>
          <w:szCs w:val="32"/>
          <w:highlight w:val="none"/>
        </w:rPr>
      </w:pPr>
      <w:r>
        <w:rPr>
          <w:rFonts w:ascii="仿宋" w:hAnsi="仿宋" w:eastAsia="仿宋"/>
          <w:color w:val="auto"/>
          <w:sz w:val="32"/>
          <w:szCs w:val="32"/>
          <w:highlight w:val="none"/>
        </w:rPr>
        <w:tab/>
      </w:r>
    </w:p>
    <w:p w14:paraId="241341C3">
      <w:pPr>
        <w:spacing w:line="500" w:lineRule="exact"/>
        <w:rPr>
          <w:rFonts w:ascii="仿宋" w:hAnsi="仿宋" w:eastAsia="仿宋"/>
          <w:color w:val="auto"/>
          <w:sz w:val="32"/>
          <w:szCs w:val="32"/>
          <w:highlight w:val="none"/>
        </w:rPr>
      </w:pPr>
    </w:p>
    <w:p w14:paraId="78542946">
      <w:pPr>
        <w:spacing w:line="500" w:lineRule="exact"/>
        <w:ind w:firstLine="5600" w:firstLineChars="1750"/>
        <w:rPr>
          <w:rFonts w:ascii="仿宋" w:hAnsi="仿宋" w:eastAsia="仿宋"/>
          <w:color w:val="auto"/>
          <w:sz w:val="32"/>
          <w:szCs w:val="32"/>
          <w:highlight w:val="none"/>
        </w:rPr>
      </w:pPr>
      <w:r>
        <w:rPr>
          <w:rFonts w:hint="eastAsia" w:ascii="仿宋" w:hAnsi="仿宋" w:eastAsia="仿宋"/>
          <w:color w:val="auto"/>
          <w:sz w:val="32"/>
          <w:szCs w:val="32"/>
          <w:highlight w:val="none"/>
        </w:rPr>
        <w:t>投标人全称(加盖公章)：</w:t>
      </w:r>
    </w:p>
    <w:p w14:paraId="2A7ED5AD">
      <w:pPr>
        <w:spacing w:line="500" w:lineRule="exact"/>
        <w:ind w:firstLine="5600" w:firstLineChars="1750"/>
        <w:rPr>
          <w:rFonts w:ascii="仿宋" w:hAnsi="仿宋" w:eastAsia="仿宋"/>
          <w:color w:val="auto"/>
          <w:sz w:val="32"/>
          <w:szCs w:val="32"/>
          <w:highlight w:val="none"/>
          <w:u w:val="single"/>
        </w:rPr>
      </w:pPr>
      <w:r>
        <w:rPr>
          <w:rFonts w:hint="eastAsia" w:ascii="仿宋" w:hAnsi="仿宋" w:eastAsia="仿宋"/>
          <w:color w:val="auto"/>
          <w:sz w:val="32"/>
          <w:szCs w:val="32"/>
          <w:highlight w:val="none"/>
        </w:rPr>
        <w:t>投标人代表签字：</w:t>
      </w:r>
    </w:p>
    <w:p w14:paraId="6ADCFFD3">
      <w:pPr>
        <w:spacing w:line="500" w:lineRule="exact"/>
        <w:ind w:firstLine="5600" w:firstLineChars="1750"/>
        <w:rPr>
          <w:rFonts w:ascii="仿宋" w:hAnsi="仿宋" w:eastAsia="仿宋"/>
          <w:color w:val="auto"/>
          <w:sz w:val="32"/>
          <w:szCs w:val="32"/>
          <w:highlight w:val="none"/>
          <w:u w:val="single"/>
        </w:rPr>
      </w:pPr>
      <w:r>
        <w:rPr>
          <w:rFonts w:hint="eastAsia" w:ascii="仿宋" w:hAnsi="仿宋" w:eastAsia="仿宋"/>
          <w:color w:val="auto"/>
          <w:sz w:val="32"/>
          <w:szCs w:val="32"/>
          <w:highlight w:val="none"/>
        </w:rPr>
        <w:t>日          期：</w:t>
      </w:r>
    </w:p>
    <w:p w14:paraId="406B2887">
      <w:pPr>
        <w:spacing w:line="500" w:lineRule="exact"/>
        <w:rPr>
          <w:rFonts w:ascii="仿宋" w:hAnsi="仿宋" w:eastAsia="仿宋"/>
          <w:color w:val="auto"/>
          <w:sz w:val="32"/>
          <w:szCs w:val="32"/>
          <w:highlight w:val="none"/>
        </w:rPr>
      </w:pPr>
    </w:p>
    <w:p w14:paraId="79A470D7">
      <w:pPr>
        <w:spacing w:line="500" w:lineRule="exact"/>
        <w:rPr>
          <w:rFonts w:ascii="仿宋" w:hAnsi="仿宋" w:eastAsia="仿宋"/>
          <w:b/>
          <w:bCs/>
          <w:color w:val="auto"/>
          <w:sz w:val="32"/>
          <w:szCs w:val="32"/>
          <w:highlight w:val="none"/>
        </w:rPr>
      </w:pPr>
    </w:p>
    <w:p w14:paraId="434CFAAC">
      <w:pPr>
        <w:spacing w:line="500" w:lineRule="exact"/>
        <w:rPr>
          <w:rFonts w:ascii="仿宋" w:hAnsi="仿宋" w:eastAsia="仿宋"/>
          <w:b/>
          <w:bCs/>
          <w:color w:val="auto"/>
          <w:sz w:val="32"/>
          <w:szCs w:val="32"/>
          <w:highlight w:val="none"/>
        </w:rPr>
      </w:pPr>
    </w:p>
    <w:p w14:paraId="22D63A32">
      <w:pPr>
        <w:spacing w:line="500" w:lineRule="exact"/>
        <w:rPr>
          <w:rFonts w:ascii="仿宋" w:hAnsi="仿宋" w:eastAsia="仿宋"/>
          <w:b/>
          <w:bCs/>
          <w:color w:val="auto"/>
          <w:sz w:val="32"/>
          <w:szCs w:val="32"/>
          <w:highlight w:val="none"/>
        </w:rPr>
      </w:pPr>
    </w:p>
    <w:p w14:paraId="0DF8A2E2">
      <w:pPr>
        <w:spacing w:line="500" w:lineRule="exact"/>
        <w:rPr>
          <w:rFonts w:ascii="仿宋" w:hAnsi="仿宋" w:eastAsia="仿宋"/>
          <w:b/>
          <w:bCs/>
          <w:color w:val="auto"/>
          <w:sz w:val="32"/>
          <w:szCs w:val="32"/>
          <w:highlight w:val="none"/>
        </w:rPr>
      </w:pPr>
    </w:p>
    <w:p w14:paraId="5BDEE4C8">
      <w:pPr>
        <w:spacing w:line="500" w:lineRule="exact"/>
        <w:rPr>
          <w:rFonts w:ascii="仿宋" w:hAnsi="仿宋" w:eastAsia="仿宋"/>
          <w:b/>
          <w:bCs/>
          <w:color w:val="auto"/>
          <w:sz w:val="32"/>
          <w:szCs w:val="32"/>
          <w:highlight w:val="none"/>
        </w:rPr>
      </w:pPr>
    </w:p>
    <w:p w14:paraId="0846E2E3">
      <w:pPr>
        <w:spacing w:line="500" w:lineRule="exact"/>
        <w:rPr>
          <w:rFonts w:ascii="仿宋" w:hAnsi="仿宋" w:eastAsia="仿宋"/>
          <w:b/>
          <w:bCs/>
          <w:color w:val="auto"/>
          <w:sz w:val="32"/>
          <w:szCs w:val="32"/>
          <w:highlight w:val="none"/>
        </w:rPr>
      </w:pPr>
    </w:p>
    <w:p w14:paraId="00078369">
      <w:pPr>
        <w:spacing w:line="500" w:lineRule="exact"/>
        <w:rPr>
          <w:rFonts w:ascii="仿宋" w:hAnsi="仿宋" w:eastAsia="仿宋"/>
          <w:b/>
          <w:bCs/>
          <w:color w:val="auto"/>
          <w:sz w:val="32"/>
          <w:szCs w:val="32"/>
          <w:highlight w:val="none"/>
        </w:rPr>
      </w:pPr>
    </w:p>
    <w:p w14:paraId="7ED8BCBC">
      <w:pPr>
        <w:spacing w:line="500" w:lineRule="exact"/>
        <w:rPr>
          <w:rFonts w:ascii="仿宋" w:hAnsi="仿宋" w:eastAsia="仿宋"/>
          <w:b/>
          <w:bCs/>
          <w:color w:val="auto"/>
          <w:sz w:val="32"/>
          <w:szCs w:val="32"/>
          <w:highlight w:val="none"/>
        </w:rPr>
      </w:pPr>
    </w:p>
    <w:p w14:paraId="32CE3BF2">
      <w:pPr>
        <w:spacing w:line="500" w:lineRule="exact"/>
        <w:rPr>
          <w:rFonts w:ascii="仿宋" w:hAnsi="仿宋" w:eastAsia="仿宋"/>
          <w:b/>
          <w:bCs/>
          <w:color w:val="auto"/>
          <w:sz w:val="32"/>
          <w:szCs w:val="32"/>
          <w:highlight w:val="none"/>
        </w:rPr>
      </w:pPr>
    </w:p>
    <w:p w14:paraId="4041F6AB">
      <w:pPr>
        <w:spacing w:line="500" w:lineRule="exact"/>
        <w:rPr>
          <w:rFonts w:ascii="仿宋" w:hAnsi="仿宋" w:eastAsia="仿宋"/>
          <w:b/>
          <w:bCs/>
          <w:color w:val="auto"/>
          <w:sz w:val="32"/>
          <w:szCs w:val="32"/>
          <w:highlight w:val="none"/>
        </w:rPr>
      </w:pPr>
    </w:p>
    <w:p w14:paraId="3575279B">
      <w:pPr>
        <w:spacing w:line="240" w:lineRule="auto"/>
        <w:rPr>
          <w:rFonts w:ascii="仿宋" w:hAnsi="仿宋" w:eastAsia="仿宋"/>
          <w:b/>
          <w:bCs/>
          <w:color w:val="auto"/>
          <w:sz w:val="32"/>
          <w:szCs w:val="32"/>
          <w:highlight w:val="none"/>
        </w:rPr>
      </w:pPr>
      <w:r>
        <w:rPr>
          <w:rFonts w:ascii="仿宋" w:hAnsi="仿宋" w:eastAsia="仿宋"/>
          <w:b/>
          <w:bCs/>
          <w:color w:val="auto"/>
          <w:sz w:val="32"/>
          <w:szCs w:val="32"/>
          <w:highlight w:val="none"/>
        </w:rPr>
        <w:br w:type="page"/>
      </w:r>
    </w:p>
    <w:p w14:paraId="4F0DE352">
      <w:pPr>
        <w:spacing w:line="500" w:lineRule="exact"/>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格式</w:t>
      </w:r>
      <w:r>
        <w:rPr>
          <w:rFonts w:hint="eastAsia" w:ascii="仿宋" w:hAnsi="仿宋" w:eastAsia="仿宋"/>
          <w:b/>
          <w:bCs/>
          <w:color w:val="auto"/>
          <w:sz w:val="32"/>
          <w:szCs w:val="32"/>
          <w:highlight w:val="none"/>
          <w:lang w:val="en-US" w:eastAsia="zh-CN"/>
        </w:rPr>
        <w:t>6</w:t>
      </w:r>
      <w:r>
        <w:rPr>
          <w:rFonts w:hint="eastAsia" w:ascii="仿宋" w:hAnsi="仿宋" w:eastAsia="仿宋"/>
          <w:b/>
          <w:bCs/>
          <w:color w:val="auto"/>
          <w:sz w:val="32"/>
          <w:szCs w:val="32"/>
          <w:highlight w:val="none"/>
        </w:rPr>
        <w:t xml:space="preserve">   </w:t>
      </w:r>
    </w:p>
    <w:p w14:paraId="1256A1E4">
      <w:pPr>
        <w:spacing w:line="500" w:lineRule="exact"/>
        <w:jc w:val="center"/>
        <w:rPr>
          <w:rFonts w:ascii="仿宋" w:hAnsi="仿宋" w:eastAsia="仿宋"/>
          <w:b/>
          <w:bCs/>
          <w:color w:val="auto"/>
          <w:sz w:val="32"/>
          <w:szCs w:val="32"/>
        </w:rPr>
      </w:pPr>
      <w:r>
        <w:rPr>
          <w:rFonts w:hint="eastAsia" w:ascii="仿宋" w:hAnsi="仿宋" w:eastAsia="仿宋"/>
          <w:b/>
          <w:bCs/>
          <w:color w:val="auto"/>
          <w:sz w:val="32"/>
          <w:szCs w:val="32"/>
        </w:rPr>
        <w:t>法定代表人授权书</w:t>
      </w:r>
    </w:p>
    <w:p w14:paraId="6E42358D">
      <w:pPr>
        <w:spacing w:line="500" w:lineRule="exact"/>
        <w:rPr>
          <w:rFonts w:hint="default" w:ascii="仿宋" w:hAnsi="仿宋" w:eastAsia="仿宋"/>
          <w:color w:val="auto"/>
          <w:sz w:val="32"/>
          <w:szCs w:val="32"/>
          <w:u w:val="single"/>
          <w:lang w:val="en-US" w:eastAsia="zh-CN"/>
        </w:rPr>
      </w:pPr>
      <w:r>
        <w:rPr>
          <w:rFonts w:hint="eastAsia" w:ascii="仿宋" w:hAnsi="仿宋" w:eastAsia="仿宋"/>
          <w:color w:val="auto"/>
          <w:sz w:val="32"/>
          <w:szCs w:val="32"/>
          <w:lang w:val="en-US" w:eastAsia="zh-CN"/>
        </w:rPr>
        <w:t>致：</w:t>
      </w:r>
      <w:r>
        <w:rPr>
          <w:rFonts w:hint="eastAsia" w:ascii="仿宋" w:hAnsi="仿宋" w:eastAsia="仿宋"/>
          <w:color w:val="auto"/>
          <w:sz w:val="32"/>
          <w:szCs w:val="32"/>
          <w:u w:val="single"/>
          <w:lang w:val="en-US" w:eastAsia="zh-CN"/>
        </w:rPr>
        <w:t xml:space="preserve"> 招标人     </w:t>
      </w:r>
    </w:p>
    <w:p w14:paraId="24F15A59">
      <w:pPr>
        <w:pStyle w:val="11"/>
        <w:snapToGrid w:val="0"/>
        <w:spacing w:line="5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u w:val="none"/>
          <w:lang w:val="en-US" w:eastAsia="zh-CN"/>
        </w:rPr>
        <w:t>本人</w:t>
      </w:r>
      <w:r>
        <w:rPr>
          <w:rFonts w:hint="eastAsia" w:ascii="仿宋" w:hAnsi="仿宋" w:eastAsia="仿宋"/>
          <w:color w:val="auto"/>
          <w:sz w:val="32"/>
          <w:szCs w:val="32"/>
          <w:u w:val="single"/>
          <w:lang w:val="en-US" w:eastAsia="zh-CN"/>
        </w:rPr>
        <w:t>（姓名）</w:t>
      </w:r>
      <w:r>
        <w:rPr>
          <w:rFonts w:hint="eastAsia" w:ascii="仿宋" w:hAnsi="仿宋" w:eastAsia="仿宋"/>
          <w:color w:val="auto"/>
          <w:sz w:val="32"/>
          <w:szCs w:val="32"/>
          <w:u w:val="none"/>
          <w:lang w:val="en-US" w:eastAsia="zh-CN"/>
        </w:rPr>
        <w:t>系</w:t>
      </w:r>
      <w:r>
        <w:rPr>
          <w:rFonts w:hint="eastAsia" w:ascii="仿宋" w:hAnsi="仿宋" w:eastAsia="仿宋"/>
          <w:color w:val="auto"/>
          <w:sz w:val="32"/>
          <w:szCs w:val="32"/>
          <w:u w:val="single"/>
        </w:rPr>
        <w:t>（投标人全称）</w:t>
      </w:r>
      <w:r>
        <w:rPr>
          <w:rFonts w:hint="eastAsia" w:ascii="仿宋" w:hAnsi="仿宋" w:eastAsia="仿宋"/>
          <w:color w:val="auto"/>
          <w:sz w:val="32"/>
          <w:szCs w:val="32"/>
        </w:rPr>
        <w:t>法定代表人</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现</w:t>
      </w:r>
      <w:r>
        <w:rPr>
          <w:rFonts w:hint="eastAsia" w:ascii="仿宋" w:hAnsi="仿宋" w:eastAsia="仿宋"/>
          <w:color w:val="auto"/>
          <w:sz w:val="32"/>
          <w:szCs w:val="32"/>
        </w:rPr>
        <w:t>授权</w:t>
      </w:r>
      <w:r>
        <w:rPr>
          <w:rFonts w:hint="eastAsia" w:ascii="仿宋" w:hAnsi="仿宋" w:eastAsia="仿宋"/>
          <w:color w:val="auto"/>
          <w:sz w:val="32"/>
          <w:szCs w:val="32"/>
          <w:u w:val="single"/>
        </w:rPr>
        <w:t xml:space="preserve"> （投标人代表姓名）</w:t>
      </w:r>
      <w:r>
        <w:rPr>
          <w:rFonts w:hint="eastAsia" w:ascii="仿宋" w:hAnsi="仿宋" w:eastAsia="仿宋"/>
          <w:color w:val="auto"/>
          <w:sz w:val="32"/>
          <w:szCs w:val="32"/>
        </w:rPr>
        <w:t>为投标人代表，代表本公司参加贵司组织的</w:t>
      </w:r>
      <w:r>
        <w:rPr>
          <w:rFonts w:hint="eastAsia" w:ascii="仿宋" w:hAnsi="仿宋" w:eastAsia="仿宋"/>
          <w:color w:val="auto"/>
          <w:sz w:val="32"/>
          <w:szCs w:val="32"/>
          <w:u w:val="single"/>
          <w:lang w:eastAsia="zh-CN"/>
        </w:rPr>
        <w:t>（</w:t>
      </w:r>
      <w:r>
        <w:rPr>
          <w:rFonts w:hint="eastAsia" w:ascii="仿宋" w:hAnsi="仿宋" w:eastAsia="仿宋"/>
          <w:color w:val="auto"/>
          <w:sz w:val="32"/>
          <w:szCs w:val="32"/>
          <w:u w:val="single"/>
          <w:lang w:val="en-US" w:eastAsia="zh-CN"/>
        </w:rPr>
        <w:t>项目名称）</w:t>
      </w:r>
      <w:r>
        <w:rPr>
          <w:rFonts w:hint="eastAsia" w:ascii="仿宋" w:hAnsi="仿宋" w:eastAsia="仿宋"/>
          <w:color w:val="auto"/>
          <w:sz w:val="32"/>
          <w:szCs w:val="32"/>
        </w:rPr>
        <w:t>项目</w:t>
      </w:r>
      <w:r>
        <w:rPr>
          <w:rFonts w:hint="eastAsia" w:ascii="仿宋" w:hAnsi="仿宋" w:eastAsia="仿宋"/>
          <w:color w:val="auto"/>
          <w:sz w:val="32"/>
          <w:szCs w:val="32"/>
          <w:u w:val="single"/>
        </w:rPr>
        <w:t>（招标编号</w:t>
      </w:r>
      <w:r>
        <w:rPr>
          <w:rFonts w:hint="eastAsia" w:ascii="仿宋" w:hAnsi="仿宋" w:eastAsia="仿宋"/>
          <w:color w:val="auto"/>
          <w:sz w:val="32"/>
          <w:szCs w:val="32"/>
          <w:u w:val="single"/>
          <w:lang w:eastAsia="zh-CN"/>
        </w:rPr>
        <w:t>：</w:t>
      </w:r>
      <w:r>
        <w:rPr>
          <w:rFonts w:hint="eastAsia" w:ascii="仿宋" w:hAnsi="仿宋" w:eastAsia="仿宋"/>
          <w:color w:val="auto"/>
          <w:sz w:val="32"/>
          <w:szCs w:val="32"/>
          <w:u w:val="single"/>
        </w:rPr>
        <w:t>）</w:t>
      </w:r>
      <w:r>
        <w:rPr>
          <w:rFonts w:hint="eastAsia" w:ascii="仿宋" w:hAnsi="仿宋" w:eastAsia="仿宋"/>
          <w:color w:val="auto"/>
          <w:sz w:val="32"/>
          <w:szCs w:val="32"/>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w:t>
      </w:r>
    </w:p>
    <w:p w14:paraId="1B36A74A">
      <w:pPr>
        <w:pStyle w:val="11"/>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特此授权。</w:t>
      </w:r>
    </w:p>
    <w:p w14:paraId="2EFF68BA">
      <w:pPr>
        <w:pStyle w:val="11"/>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本授权书自出具之日起生效。</w:t>
      </w:r>
    </w:p>
    <w:p w14:paraId="4B77D4B8">
      <w:pPr>
        <w:spacing w:line="500" w:lineRule="exact"/>
        <w:ind w:firstLine="640" w:firstLineChars="200"/>
        <w:rPr>
          <w:rFonts w:hint="eastAsia" w:ascii="仿宋" w:hAnsi="仿宋" w:eastAsia="仿宋"/>
          <w:color w:val="auto"/>
          <w:sz w:val="32"/>
          <w:szCs w:val="32"/>
          <w:u w:val="single"/>
          <w:lang w:val="en-US" w:eastAsia="zh-CN"/>
        </w:rPr>
      </w:pPr>
      <w:r>
        <w:rPr>
          <w:rFonts w:hint="eastAsia" w:ascii="仿宋" w:hAnsi="仿宋" w:eastAsia="仿宋"/>
          <w:color w:val="auto"/>
          <w:sz w:val="32"/>
          <w:szCs w:val="32"/>
        </w:rPr>
        <w:t>投标人代表：</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rPr>
        <w:t>性别：</w:t>
      </w:r>
      <w:r>
        <w:rPr>
          <w:rFonts w:hint="eastAsia" w:ascii="仿宋" w:hAnsi="仿宋" w:eastAsia="仿宋"/>
          <w:color w:val="auto"/>
          <w:sz w:val="32"/>
          <w:szCs w:val="32"/>
          <w:u w:val="single"/>
          <w:lang w:val="en-US" w:eastAsia="zh-CN"/>
        </w:rPr>
        <w:t xml:space="preserve">              </w:t>
      </w:r>
    </w:p>
    <w:p w14:paraId="550AB48E">
      <w:pPr>
        <w:spacing w:line="50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rPr>
        <w:t>身份证号：</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rPr>
        <w:t>单位：</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lang w:val="en-US" w:eastAsia="zh-CN"/>
        </w:rPr>
        <w:t xml:space="preserve">       </w:t>
      </w:r>
    </w:p>
    <w:p w14:paraId="0AF0B711">
      <w:pPr>
        <w:spacing w:line="500" w:lineRule="exact"/>
        <w:rPr>
          <w:rFonts w:hint="default" w:ascii="仿宋" w:hAnsi="仿宋" w:eastAsia="仿宋"/>
          <w:color w:val="auto"/>
          <w:sz w:val="32"/>
          <w:szCs w:val="32"/>
          <w:u w:val="single"/>
          <w:lang w:val="en-US" w:eastAsia="zh-CN"/>
        </w:rPr>
      </w:pP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部门：</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rPr>
        <w:t>职务：</w:t>
      </w:r>
      <w:r>
        <w:rPr>
          <w:rFonts w:hint="eastAsia" w:ascii="仿宋" w:hAnsi="仿宋" w:eastAsia="仿宋"/>
          <w:color w:val="auto"/>
          <w:sz w:val="32"/>
          <w:szCs w:val="32"/>
          <w:u w:val="single"/>
          <w:lang w:val="en-US" w:eastAsia="zh-CN"/>
        </w:rPr>
        <w:t xml:space="preserve">              </w:t>
      </w:r>
    </w:p>
    <w:p w14:paraId="29F5B2D0">
      <w:pPr>
        <w:spacing w:line="500" w:lineRule="exact"/>
        <w:ind w:firstLine="640" w:firstLineChars="200"/>
        <w:rPr>
          <w:rFonts w:hint="eastAsia" w:ascii="仿宋" w:hAnsi="仿宋" w:eastAsia="仿宋"/>
          <w:color w:val="auto"/>
          <w:sz w:val="32"/>
          <w:szCs w:val="32"/>
          <w:u w:val="single"/>
          <w:lang w:val="en-US" w:eastAsia="zh-CN"/>
        </w:rPr>
      </w:pPr>
      <w:r>
        <w:rPr>
          <w:rFonts w:hint="eastAsia" w:ascii="仿宋" w:hAnsi="仿宋" w:eastAsia="仿宋"/>
          <w:color w:val="auto"/>
          <w:sz w:val="32"/>
          <w:szCs w:val="32"/>
        </w:rPr>
        <w:t>详细通讯地址：</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rPr>
        <w:t>邮政编码</w:t>
      </w:r>
      <w:r>
        <w:rPr>
          <w:rFonts w:ascii="仿宋" w:hAnsi="仿宋" w:eastAsia="仿宋"/>
          <w:color w:val="auto"/>
          <w:sz w:val="32"/>
          <w:szCs w:val="32"/>
        </w:rPr>
        <w:t>:</w:t>
      </w:r>
      <w:r>
        <w:rPr>
          <w:rFonts w:hint="eastAsia" w:ascii="仿宋" w:hAnsi="仿宋" w:eastAsia="仿宋"/>
          <w:color w:val="auto"/>
          <w:sz w:val="32"/>
          <w:szCs w:val="32"/>
          <w:u w:val="single"/>
          <w:lang w:val="en-US" w:eastAsia="zh-CN"/>
        </w:rPr>
        <w:t xml:space="preserve">           </w:t>
      </w:r>
    </w:p>
    <w:p w14:paraId="7634854F">
      <w:pPr>
        <w:spacing w:line="500" w:lineRule="exact"/>
        <w:ind w:firstLine="640" w:firstLineChars="200"/>
        <w:rPr>
          <w:rFonts w:hint="default" w:ascii="仿宋" w:hAnsi="仿宋" w:eastAsia="仿宋"/>
          <w:color w:val="auto"/>
          <w:sz w:val="32"/>
          <w:szCs w:val="32"/>
          <w:u w:val="single"/>
          <w:lang w:val="en-US" w:eastAsia="zh-CN"/>
        </w:rPr>
      </w:pPr>
      <w:r>
        <w:rPr>
          <w:rFonts w:hint="eastAsia" w:ascii="仿宋" w:hAnsi="仿宋" w:eastAsia="仿宋"/>
          <w:color w:val="auto"/>
          <w:sz w:val="32"/>
          <w:szCs w:val="32"/>
        </w:rPr>
        <w:t>电话：</w:t>
      </w:r>
      <w:r>
        <w:rPr>
          <w:rFonts w:hint="eastAsia" w:ascii="仿宋" w:hAnsi="仿宋" w:eastAsia="仿宋"/>
          <w:color w:val="auto"/>
          <w:sz w:val="32"/>
          <w:szCs w:val="32"/>
          <w:u w:val="single"/>
          <w:lang w:val="en-US" w:eastAsia="zh-CN"/>
        </w:rPr>
        <w:t xml:space="preserve">                     </w:t>
      </w:r>
    </w:p>
    <w:p w14:paraId="61A7CB60">
      <w:pPr>
        <w:spacing w:line="500" w:lineRule="exact"/>
        <w:ind w:firstLine="5120" w:firstLineChars="1600"/>
        <w:rPr>
          <w:rFonts w:hint="eastAsia" w:ascii="仿宋" w:hAnsi="仿宋" w:eastAsia="仿宋"/>
          <w:color w:val="auto"/>
          <w:sz w:val="32"/>
          <w:szCs w:val="32"/>
        </w:rPr>
      </w:pPr>
    </w:p>
    <w:p w14:paraId="0E9997F0">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授权方</w:t>
      </w:r>
    </w:p>
    <w:p w14:paraId="0FE23823">
      <w:pPr>
        <w:spacing w:line="500" w:lineRule="exact"/>
        <w:ind w:firstLine="640" w:firstLineChars="200"/>
        <w:rPr>
          <w:rFonts w:hint="default" w:ascii="仿宋" w:hAnsi="仿宋" w:eastAsia="仿宋"/>
          <w:color w:val="auto"/>
          <w:sz w:val="32"/>
          <w:szCs w:val="32"/>
          <w:lang w:val="en-US" w:eastAsia="zh-CN"/>
        </w:rPr>
      </w:pPr>
      <w:r>
        <w:rPr>
          <w:rFonts w:hint="eastAsia" w:ascii="仿宋" w:hAnsi="仿宋" w:eastAsia="仿宋"/>
          <w:color w:val="auto"/>
          <w:sz w:val="32"/>
          <w:szCs w:val="32"/>
        </w:rPr>
        <w:t>投标人：</w:t>
      </w:r>
      <w:r>
        <w:rPr>
          <w:rFonts w:hint="eastAsia" w:ascii="仿宋" w:hAnsi="仿宋" w:eastAsia="仿宋"/>
          <w:color w:val="auto"/>
          <w:sz w:val="32"/>
          <w:szCs w:val="32"/>
          <w:u w:val="single"/>
        </w:rPr>
        <w:t>（全称并加盖公章）</w:t>
      </w:r>
      <w:r>
        <w:rPr>
          <w:rFonts w:hint="eastAsia" w:ascii="仿宋" w:hAnsi="仿宋" w:eastAsia="仿宋"/>
          <w:color w:val="auto"/>
          <w:sz w:val="32"/>
          <w:szCs w:val="32"/>
          <w:u w:val="single"/>
          <w:lang w:val="en-US" w:eastAsia="zh-CN"/>
        </w:rPr>
        <w:t xml:space="preserve">    </w:t>
      </w:r>
    </w:p>
    <w:p w14:paraId="123452D2">
      <w:pPr>
        <w:spacing w:line="500" w:lineRule="exact"/>
        <w:ind w:firstLine="640" w:firstLineChars="200"/>
        <w:rPr>
          <w:rFonts w:hint="eastAsia" w:ascii="仿宋" w:hAnsi="仿宋" w:eastAsia="仿宋"/>
          <w:color w:val="auto"/>
          <w:sz w:val="32"/>
          <w:szCs w:val="32"/>
          <w:u w:val="single"/>
          <w:lang w:val="en-US" w:eastAsia="zh-CN"/>
        </w:rPr>
      </w:pPr>
      <w:r>
        <w:rPr>
          <w:rFonts w:hint="eastAsia" w:ascii="仿宋" w:hAnsi="仿宋" w:eastAsia="仿宋"/>
          <w:color w:val="auto"/>
          <w:sz w:val="32"/>
          <w:szCs w:val="32"/>
        </w:rPr>
        <w:t>法定代表人签字：</w:t>
      </w:r>
      <w:r>
        <w:rPr>
          <w:rFonts w:hint="eastAsia" w:ascii="仿宋" w:hAnsi="仿宋" w:eastAsia="仿宋"/>
          <w:color w:val="auto"/>
          <w:sz w:val="32"/>
          <w:szCs w:val="32"/>
          <w:u w:val="single"/>
          <w:lang w:val="en-US" w:eastAsia="zh-CN"/>
        </w:rPr>
        <w:t xml:space="preserve">              </w:t>
      </w:r>
    </w:p>
    <w:p w14:paraId="0DE80597">
      <w:pPr>
        <w:spacing w:line="500" w:lineRule="exact"/>
        <w:ind w:firstLine="640" w:firstLineChars="200"/>
        <w:rPr>
          <w:rFonts w:hint="default" w:ascii="仿宋" w:hAnsi="仿宋" w:eastAsia="仿宋"/>
          <w:color w:val="auto"/>
          <w:sz w:val="32"/>
          <w:szCs w:val="32"/>
          <w:u w:val="single"/>
          <w:lang w:val="en-US" w:eastAsia="zh-CN"/>
        </w:rPr>
      </w:pPr>
      <w:r>
        <w:rPr>
          <w:rFonts w:hint="eastAsia" w:ascii="仿宋" w:hAnsi="仿宋" w:eastAsia="仿宋"/>
          <w:color w:val="auto"/>
          <w:sz w:val="32"/>
          <w:szCs w:val="32"/>
        </w:rPr>
        <w:t>日</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期：</w:t>
      </w:r>
      <w:r>
        <w:rPr>
          <w:rFonts w:hint="eastAsia" w:ascii="仿宋" w:hAnsi="仿宋" w:eastAsia="仿宋"/>
          <w:color w:val="auto"/>
          <w:sz w:val="32"/>
          <w:szCs w:val="32"/>
          <w:u w:val="single"/>
          <w:lang w:val="en-US" w:eastAsia="zh-CN"/>
        </w:rPr>
        <w:t xml:space="preserve">                      </w:t>
      </w:r>
    </w:p>
    <w:p w14:paraId="0A73E760">
      <w:pPr>
        <w:spacing w:line="500" w:lineRule="exact"/>
        <w:ind w:firstLine="5120" w:firstLineChars="1600"/>
        <w:rPr>
          <w:rFonts w:hint="eastAsia" w:ascii="仿宋" w:hAnsi="仿宋" w:eastAsia="仿宋"/>
          <w:color w:val="auto"/>
          <w:sz w:val="32"/>
          <w:szCs w:val="32"/>
        </w:rPr>
      </w:pPr>
    </w:p>
    <w:p w14:paraId="69B58148">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接受授权方</w:t>
      </w:r>
    </w:p>
    <w:p w14:paraId="14E19D8F">
      <w:pPr>
        <w:spacing w:line="500" w:lineRule="exact"/>
        <w:ind w:firstLine="640" w:firstLineChars="200"/>
        <w:rPr>
          <w:rFonts w:hint="default" w:ascii="仿宋" w:hAnsi="仿宋" w:eastAsia="仿宋"/>
          <w:color w:val="auto"/>
          <w:sz w:val="32"/>
          <w:szCs w:val="32"/>
          <w:u w:val="single"/>
          <w:lang w:val="en-US" w:eastAsia="zh-CN"/>
        </w:rPr>
      </w:pPr>
      <w:r>
        <w:rPr>
          <w:rFonts w:hint="eastAsia" w:ascii="仿宋" w:hAnsi="仿宋" w:eastAsia="仿宋"/>
          <w:color w:val="auto"/>
          <w:sz w:val="32"/>
          <w:szCs w:val="32"/>
        </w:rPr>
        <w:t>投标人代表签字：</w:t>
      </w:r>
      <w:r>
        <w:rPr>
          <w:rFonts w:hint="eastAsia" w:ascii="仿宋" w:hAnsi="仿宋" w:eastAsia="仿宋"/>
          <w:color w:val="auto"/>
          <w:sz w:val="32"/>
          <w:szCs w:val="32"/>
          <w:u w:val="single"/>
          <w:lang w:val="en-US" w:eastAsia="zh-CN"/>
        </w:rPr>
        <w:t xml:space="preserve">             </w:t>
      </w:r>
    </w:p>
    <w:p w14:paraId="3E36470C">
      <w:pPr>
        <w:spacing w:line="500" w:lineRule="exact"/>
        <w:ind w:firstLine="640" w:firstLineChars="200"/>
        <w:rPr>
          <w:rFonts w:hint="eastAsia" w:ascii="仿宋" w:hAnsi="仿宋" w:eastAsia="仿宋"/>
          <w:color w:val="auto"/>
          <w:sz w:val="32"/>
          <w:szCs w:val="32"/>
          <w:u w:val="single"/>
          <w:lang w:val="en-US" w:eastAsia="zh-CN"/>
        </w:rPr>
      </w:pPr>
      <w:r>
        <w:rPr>
          <w:rFonts w:hint="eastAsia" w:ascii="仿宋" w:hAnsi="仿宋" w:eastAsia="仿宋"/>
          <w:color w:val="auto"/>
          <w:sz w:val="32"/>
          <w:szCs w:val="32"/>
        </w:rPr>
        <w:t>日</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期：</w:t>
      </w:r>
      <w:r>
        <w:rPr>
          <w:rFonts w:hint="eastAsia" w:ascii="仿宋" w:hAnsi="仿宋" w:eastAsia="仿宋"/>
          <w:color w:val="auto"/>
          <w:sz w:val="32"/>
          <w:szCs w:val="32"/>
          <w:u w:val="single"/>
          <w:lang w:val="en-US" w:eastAsia="zh-CN"/>
        </w:rPr>
        <w:t xml:space="preserve">                     </w:t>
      </w:r>
    </w:p>
    <w:p w14:paraId="37E3A1DF">
      <w:pPr>
        <w:pStyle w:val="9"/>
        <w:rPr>
          <w:rFonts w:hint="eastAsia"/>
          <w:color w:val="auto"/>
          <w:lang w:val="en-US" w:eastAsia="zh-CN"/>
        </w:rPr>
      </w:pPr>
    </w:p>
    <w:p w14:paraId="67498488">
      <w:pPr>
        <w:wordWrap w:val="0"/>
        <w:spacing w:line="360" w:lineRule="auto"/>
        <w:ind w:firstLine="723" w:firstLineChars="300"/>
        <w:rPr>
          <w:rFonts w:hint="eastAsia" w:ascii="宋体" w:hAnsi="宋体"/>
          <w:b/>
          <w:color w:val="auto"/>
          <w:sz w:val="24"/>
        </w:rPr>
      </w:pPr>
      <w:r>
        <w:rPr>
          <w:rFonts w:hint="eastAsia" w:ascii="宋体" w:hAnsi="宋体" w:cs="Times New Roman"/>
          <w:b/>
          <w:color w:val="auto"/>
          <w:sz w:val="24"/>
        </w:rPr>
        <w:t>后附：法定代表人身份证</w:t>
      </w:r>
      <w:r>
        <w:rPr>
          <w:rFonts w:hint="eastAsia" w:ascii="宋体" w:hAnsi="宋体" w:cs="Times New Roman"/>
          <w:b/>
          <w:color w:val="auto"/>
          <w:sz w:val="24"/>
          <w:lang w:val="en-US" w:eastAsia="zh-CN"/>
        </w:rPr>
        <w:t>正反面</w:t>
      </w:r>
      <w:r>
        <w:rPr>
          <w:rFonts w:hint="eastAsia" w:ascii="宋体" w:hAnsi="宋体" w:cs="Times New Roman"/>
          <w:b/>
          <w:color w:val="auto"/>
          <w:sz w:val="24"/>
        </w:rPr>
        <w:t>复印件、投标</w:t>
      </w:r>
      <w:r>
        <w:rPr>
          <w:rFonts w:hint="eastAsia" w:ascii="宋体" w:hAnsi="宋体"/>
          <w:b/>
          <w:color w:val="auto"/>
          <w:sz w:val="24"/>
        </w:rPr>
        <w:t>人代表身份证正反面复印件</w:t>
      </w:r>
      <w:r>
        <w:rPr>
          <w:rFonts w:hint="eastAsia" w:ascii="宋体" w:hAnsi="宋体"/>
          <w:b/>
          <w:color w:val="auto"/>
          <w:sz w:val="24"/>
        </w:rPr>
        <w:br w:type="page"/>
      </w:r>
    </w:p>
    <w:p w14:paraId="0B9640BE">
      <w:pPr>
        <w:wordWrap w:val="0"/>
        <w:spacing w:line="360" w:lineRule="auto"/>
        <w:ind w:firstLine="0" w:firstLineChars="0"/>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格式</w:t>
      </w:r>
      <w:r>
        <w:rPr>
          <w:rFonts w:hint="eastAsia" w:ascii="仿宋" w:hAnsi="仿宋" w:eastAsia="仿宋"/>
          <w:b/>
          <w:bCs/>
          <w:color w:val="auto"/>
          <w:sz w:val="32"/>
          <w:szCs w:val="32"/>
          <w:highlight w:val="none"/>
          <w:lang w:val="en-US" w:eastAsia="zh-CN"/>
        </w:rPr>
        <w:t>7</w:t>
      </w:r>
      <w:r>
        <w:rPr>
          <w:rFonts w:hint="eastAsia" w:ascii="仿宋" w:hAnsi="仿宋" w:eastAsia="仿宋"/>
          <w:b/>
          <w:bCs/>
          <w:color w:val="auto"/>
          <w:sz w:val="32"/>
          <w:szCs w:val="32"/>
          <w:highlight w:val="none"/>
        </w:rPr>
        <w:t xml:space="preserve">  </w:t>
      </w:r>
    </w:p>
    <w:p w14:paraId="4778F720">
      <w:pPr>
        <w:spacing w:line="500" w:lineRule="exact"/>
        <w:rPr>
          <w:rFonts w:ascii="仿宋" w:hAnsi="仿宋" w:eastAsia="仿宋"/>
          <w:b/>
          <w:bCs/>
          <w:color w:val="auto"/>
          <w:sz w:val="32"/>
          <w:szCs w:val="32"/>
          <w:highlight w:val="none"/>
        </w:rPr>
      </w:pPr>
    </w:p>
    <w:p w14:paraId="34D50ECD">
      <w:pPr>
        <w:spacing w:line="500" w:lineRule="exact"/>
        <w:jc w:val="center"/>
        <w:rPr>
          <w:rFonts w:ascii="仿宋" w:hAnsi="仿宋" w:eastAsia="仿宋"/>
          <w:b/>
          <w:bCs/>
          <w:color w:val="auto"/>
          <w:sz w:val="32"/>
          <w:szCs w:val="32"/>
        </w:rPr>
      </w:pPr>
      <w:r>
        <w:rPr>
          <w:rFonts w:hint="eastAsia" w:ascii="仿宋" w:hAnsi="仿宋" w:eastAsia="仿宋"/>
          <w:b/>
          <w:bCs/>
          <w:color w:val="auto"/>
          <w:sz w:val="32"/>
          <w:szCs w:val="32"/>
        </w:rPr>
        <w:t>法人营业执照</w:t>
      </w:r>
    </w:p>
    <w:p w14:paraId="60373337">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auto"/>
          <w:sz w:val="32"/>
          <w:szCs w:val="32"/>
        </w:rPr>
      </w:pPr>
    </w:p>
    <w:p w14:paraId="526E2F23">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auto"/>
          <w:sz w:val="32"/>
          <w:szCs w:val="32"/>
        </w:rPr>
      </w:pPr>
      <w:r>
        <w:rPr>
          <w:rFonts w:hint="eastAsia" w:ascii="仿宋" w:hAnsi="仿宋" w:eastAsia="仿宋"/>
          <w:color w:val="auto"/>
          <w:sz w:val="32"/>
          <w:szCs w:val="32"/>
          <w:u w:val="single"/>
          <w:lang w:val="en-US" w:eastAsia="zh-CN"/>
        </w:rPr>
        <w:t xml:space="preserve">招标人 </w:t>
      </w:r>
      <w:r>
        <w:rPr>
          <w:rFonts w:hint="eastAsia" w:ascii="仿宋" w:hAnsi="仿宋" w:eastAsia="仿宋"/>
          <w:color w:val="auto"/>
          <w:sz w:val="32"/>
          <w:szCs w:val="32"/>
        </w:rPr>
        <w:t>：</w:t>
      </w:r>
    </w:p>
    <w:p w14:paraId="33C1B4C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color w:val="auto"/>
          <w:sz w:val="32"/>
          <w:szCs w:val="32"/>
          <w:u w:val="single"/>
        </w:rPr>
      </w:pPr>
      <w:r>
        <w:rPr>
          <w:rFonts w:hint="eastAsia" w:ascii="仿宋" w:hAnsi="仿宋" w:eastAsia="仿宋"/>
          <w:color w:val="auto"/>
          <w:sz w:val="32"/>
          <w:szCs w:val="32"/>
        </w:rPr>
        <w:t>现附上由</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u w:val="single"/>
        </w:rPr>
        <w:t>（签发机关名称）</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rPr>
        <w:t>签发的我方营业执照复印件，该执照</w:t>
      </w:r>
      <w:r>
        <w:rPr>
          <w:rFonts w:hint="eastAsia" w:ascii="仿宋" w:hAnsi="仿宋" w:eastAsia="仿宋"/>
          <w:color w:val="auto"/>
          <w:sz w:val="32"/>
          <w:szCs w:val="32"/>
          <w:lang w:val="en-US" w:eastAsia="zh-CN"/>
        </w:rPr>
        <w:t>复印件与原件一致，</w:t>
      </w:r>
      <w:r>
        <w:rPr>
          <w:rFonts w:hint="eastAsia" w:ascii="仿宋" w:hAnsi="仿宋" w:eastAsia="仿宋"/>
          <w:color w:val="auto"/>
          <w:sz w:val="32"/>
          <w:szCs w:val="32"/>
        </w:rPr>
        <w:t>真实有效。</w:t>
      </w:r>
    </w:p>
    <w:p w14:paraId="0C12718C">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auto"/>
          <w:sz w:val="32"/>
          <w:szCs w:val="32"/>
        </w:rPr>
      </w:pPr>
    </w:p>
    <w:p w14:paraId="0B84CF12">
      <w:pPr>
        <w:pStyle w:val="9"/>
        <w:keepNext w:val="0"/>
        <w:keepLines w:val="0"/>
        <w:pageBreakBefore w:val="0"/>
        <w:widowControl w:val="0"/>
        <w:kinsoku/>
        <w:wordWrap/>
        <w:overflowPunct/>
        <w:topLinePunct w:val="0"/>
        <w:autoSpaceDE/>
        <w:autoSpaceDN/>
        <w:bidi w:val="0"/>
        <w:adjustRightInd/>
        <w:snapToGrid/>
        <w:spacing w:line="500" w:lineRule="exact"/>
        <w:textAlignment w:val="auto"/>
        <w:rPr>
          <w:color w:val="auto"/>
        </w:rPr>
      </w:pPr>
    </w:p>
    <w:p w14:paraId="2161F571">
      <w:pPr>
        <w:keepNext w:val="0"/>
        <w:keepLines w:val="0"/>
        <w:pageBreakBefore w:val="0"/>
        <w:widowControl w:val="0"/>
        <w:kinsoku/>
        <w:wordWrap/>
        <w:overflowPunct/>
        <w:topLinePunct w:val="0"/>
        <w:autoSpaceDE/>
        <w:autoSpaceDN/>
        <w:bidi w:val="0"/>
        <w:adjustRightInd/>
        <w:snapToGrid/>
        <w:spacing w:line="500" w:lineRule="exact"/>
        <w:ind w:firstLine="2560" w:firstLineChars="800"/>
        <w:textAlignment w:val="auto"/>
        <w:rPr>
          <w:rFonts w:hint="eastAsia" w:ascii="仿宋" w:hAnsi="仿宋" w:eastAsia="仿宋"/>
          <w:color w:val="auto"/>
          <w:sz w:val="32"/>
          <w:szCs w:val="32"/>
          <w:u w:val="single"/>
          <w:lang w:val="en-US" w:eastAsia="zh-CN"/>
        </w:rPr>
      </w:pPr>
      <w:r>
        <w:rPr>
          <w:rFonts w:hint="eastAsia" w:ascii="仿宋" w:hAnsi="仿宋" w:eastAsia="仿宋"/>
          <w:color w:val="auto"/>
          <w:sz w:val="32"/>
          <w:szCs w:val="32"/>
        </w:rPr>
        <w:t>投 标 人（全称并加盖公章）：</w:t>
      </w:r>
      <w:r>
        <w:rPr>
          <w:rFonts w:hint="eastAsia" w:ascii="仿宋" w:hAnsi="仿宋" w:eastAsia="仿宋"/>
          <w:color w:val="auto"/>
          <w:sz w:val="32"/>
          <w:szCs w:val="32"/>
          <w:u w:val="single"/>
          <w:lang w:val="en-US" w:eastAsia="zh-CN"/>
        </w:rPr>
        <w:t xml:space="preserve">         </w:t>
      </w:r>
    </w:p>
    <w:p w14:paraId="248A4638">
      <w:pPr>
        <w:keepNext w:val="0"/>
        <w:keepLines w:val="0"/>
        <w:pageBreakBefore w:val="0"/>
        <w:widowControl w:val="0"/>
        <w:kinsoku/>
        <w:wordWrap/>
        <w:overflowPunct/>
        <w:topLinePunct w:val="0"/>
        <w:autoSpaceDE/>
        <w:autoSpaceDN/>
        <w:bidi w:val="0"/>
        <w:adjustRightInd/>
        <w:snapToGrid/>
        <w:spacing w:line="500" w:lineRule="exact"/>
        <w:ind w:firstLine="2560" w:firstLineChars="800"/>
        <w:textAlignment w:val="auto"/>
        <w:rPr>
          <w:rFonts w:hint="default" w:ascii="仿宋" w:hAnsi="仿宋" w:eastAsia="仿宋"/>
          <w:color w:val="auto"/>
          <w:sz w:val="32"/>
          <w:szCs w:val="32"/>
          <w:u w:val="single"/>
          <w:lang w:val="en-US" w:eastAsia="zh-CN"/>
        </w:rPr>
      </w:pPr>
      <w:r>
        <w:rPr>
          <w:rFonts w:hint="eastAsia" w:ascii="仿宋" w:hAnsi="仿宋" w:eastAsia="仿宋"/>
          <w:color w:val="auto"/>
          <w:sz w:val="32"/>
          <w:szCs w:val="32"/>
        </w:rPr>
        <w:t>投标人代表签字：</w:t>
      </w:r>
      <w:r>
        <w:rPr>
          <w:rFonts w:hint="eastAsia" w:ascii="仿宋" w:hAnsi="仿宋" w:eastAsia="仿宋"/>
          <w:color w:val="auto"/>
          <w:sz w:val="32"/>
          <w:szCs w:val="32"/>
          <w:u w:val="single"/>
          <w:lang w:val="en-US" w:eastAsia="zh-CN"/>
        </w:rPr>
        <w:t xml:space="preserve">                     </w:t>
      </w:r>
    </w:p>
    <w:p w14:paraId="7EDB6707">
      <w:pPr>
        <w:keepNext w:val="0"/>
        <w:keepLines w:val="0"/>
        <w:pageBreakBefore w:val="0"/>
        <w:widowControl w:val="0"/>
        <w:kinsoku/>
        <w:wordWrap/>
        <w:overflowPunct/>
        <w:topLinePunct w:val="0"/>
        <w:autoSpaceDE/>
        <w:autoSpaceDN/>
        <w:bidi w:val="0"/>
        <w:adjustRightInd/>
        <w:snapToGrid/>
        <w:spacing w:line="500" w:lineRule="exact"/>
        <w:ind w:firstLine="2560" w:firstLineChars="800"/>
        <w:textAlignment w:val="auto"/>
        <w:rPr>
          <w:rFonts w:hint="default" w:ascii="仿宋" w:hAnsi="仿宋" w:eastAsia="仿宋"/>
          <w:color w:val="auto"/>
          <w:sz w:val="32"/>
          <w:szCs w:val="32"/>
          <w:u w:val="single"/>
          <w:lang w:val="en-US" w:eastAsia="zh-CN"/>
        </w:rPr>
      </w:pPr>
      <w:r>
        <w:rPr>
          <w:rFonts w:hint="eastAsia" w:ascii="仿宋" w:hAnsi="仿宋" w:eastAsia="仿宋"/>
          <w:color w:val="auto"/>
          <w:sz w:val="32"/>
          <w:szCs w:val="32"/>
        </w:rPr>
        <w:t>日</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期：</w:t>
      </w:r>
      <w:r>
        <w:rPr>
          <w:rFonts w:hint="eastAsia" w:ascii="仿宋" w:hAnsi="仿宋" w:eastAsia="仿宋"/>
          <w:color w:val="auto"/>
          <w:sz w:val="32"/>
          <w:szCs w:val="32"/>
          <w:u w:val="single"/>
          <w:lang w:val="en-US" w:eastAsia="zh-CN"/>
        </w:rPr>
        <w:t xml:space="preserve">                             </w:t>
      </w:r>
    </w:p>
    <w:p w14:paraId="3113A040">
      <w:pPr>
        <w:spacing w:line="220" w:lineRule="atLeast"/>
        <w:jc w:val="left"/>
        <w:rPr>
          <w:rFonts w:hint="eastAsia" w:ascii="仿宋" w:hAnsi="仿宋" w:eastAsia="仿宋"/>
          <w:b/>
          <w:bCs/>
          <w:color w:val="auto"/>
          <w:sz w:val="32"/>
          <w:szCs w:val="32"/>
          <w:highlight w:val="none"/>
        </w:rPr>
      </w:pPr>
    </w:p>
    <w:p w14:paraId="3EC73430">
      <w:pPr>
        <w:spacing w:line="220" w:lineRule="atLeast"/>
        <w:jc w:val="left"/>
        <w:rPr>
          <w:rFonts w:hint="eastAsia" w:ascii="仿宋" w:hAnsi="仿宋" w:eastAsia="仿宋"/>
          <w:b/>
          <w:bCs/>
          <w:color w:val="auto"/>
          <w:sz w:val="32"/>
          <w:szCs w:val="32"/>
          <w:highlight w:val="none"/>
        </w:rPr>
      </w:pPr>
    </w:p>
    <w:p w14:paraId="4FCAD7D2">
      <w:pPr>
        <w:spacing w:line="220" w:lineRule="atLeast"/>
        <w:jc w:val="left"/>
        <w:rPr>
          <w:rFonts w:hint="eastAsia" w:ascii="仿宋" w:hAnsi="仿宋" w:eastAsia="仿宋"/>
          <w:b/>
          <w:bCs/>
          <w:color w:val="auto"/>
          <w:sz w:val="32"/>
          <w:szCs w:val="32"/>
          <w:highlight w:val="none"/>
        </w:rPr>
      </w:pPr>
    </w:p>
    <w:p w14:paraId="2E5A9E04">
      <w:pPr>
        <w:spacing w:line="220" w:lineRule="atLeast"/>
        <w:jc w:val="left"/>
        <w:rPr>
          <w:rFonts w:hint="eastAsia" w:ascii="仿宋" w:hAnsi="仿宋" w:eastAsia="仿宋"/>
          <w:b/>
          <w:bCs/>
          <w:color w:val="auto"/>
          <w:sz w:val="32"/>
          <w:szCs w:val="32"/>
          <w:highlight w:val="none"/>
        </w:rPr>
      </w:pPr>
    </w:p>
    <w:p w14:paraId="0012D4DA">
      <w:pPr>
        <w:spacing w:line="220" w:lineRule="atLeast"/>
        <w:jc w:val="left"/>
        <w:rPr>
          <w:rFonts w:hint="eastAsia" w:ascii="仿宋" w:hAnsi="仿宋" w:eastAsia="仿宋"/>
          <w:b/>
          <w:bCs/>
          <w:color w:val="auto"/>
          <w:sz w:val="32"/>
          <w:szCs w:val="32"/>
          <w:highlight w:val="none"/>
        </w:rPr>
      </w:pPr>
    </w:p>
    <w:p w14:paraId="6DDBB2C6">
      <w:pPr>
        <w:spacing w:line="220" w:lineRule="atLeast"/>
        <w:jc w:val="left"/>
        <w:rPr>
          <w:rFonts w:hint="eastAsia" w:ascii="仿宋" w:hAnsi="仿宋" w:eastAsia="仿宋"/>
          <w:b/>
          <w:bCs/>
          <w:color w:val="auto"/>
          <w:sz w:val="32"/>
          <w:szCs w:val="32"/>
          <w:highlight w:val="none"/>
        </w:rPr>
      </w:pPr>
    </w:p>
    <w:p w14:paraId="1DE96F99">
      <w:pPr>
        <w:spacing w:line="220" w:lineRule="atLeast"/>
        <w:jc w:val="left"/>
        <w:rPr>
          <w:rFonts w:hint="eastAsia" w:ascii="仿宋" w:hAnsi="仿宋" w:eastAsia="仿宋"/>
          <w:b/>
          <w:bCs/>
          <w:color w:val="auto"/>
          <w:sz w:val="32"/>
          <w:szCs w:val="32"/>
          <w:highlight w:val="none"/>
        </w:rPr>
      </w:pPr>
    </w:p>
    <w:p w14:paraId="3E9EA57D">
      <w:pPr>
        <w:spacing w:line="220" w:lineRule="atLeast"/>
        <w:jc w:val="left"/>
        <w:rPr>
          <w:rFonts w:hint="eastAsia" w:ascii="仿宋" w:hAnsi="仿宋" w:eastAsia="仿宋"/>
          <w:b/>
          <w:bCs/>
          <w:color w:val="auto"/>
          <w:sz w:val="32"/>
          <w:szCs w:val="32"/>
          <w:highlight w:val="none"/>
        </w:rPr>
      </w:pPr>
    </w:p>
    <w:p w14:paraId="7BB7F578">
      <w:pPr>
        <w:spacing w:line="220" w:lineRule="atLeast"/>
        <w:jc w:val="left"/>
        <w:rPr>
          <w:rFonts w:hint="eastAsia" w:ascii="仿宋" w:hAnsi="仿宋" w:eastAsia="仿宋"/>
          <w:b/>
          <w:bCs/>
          <w:color w:val="auto"/>
          <w:sz w:val="32"/>
          <w:szCs w:val="32"/>
          <w:highlight w:val="none"/>
        </w:rPr>
      </w:pPr>
    </w:p>
    <w:p w14:paraId="3F9C6CBB">
      <w:pPr>
        <w:spacing w:line="220" w:lineRule="atLeast"/>
        <w:jc w:val="left"/>
        <w:rPr>
          <w:rFonts w:hint="eastAsia" w:ascii="仿宋" w:hAnsi="仿宋" w:eastAsia="仿宋"/>
          <w:b/>
          <w:bCs/>
          <w:color w:val="auto"/>
          <w:sz w:val="32"/>
          <w:szCs w:val="32"/>
          <w:highlight w:val="none"/>
        </w:rPr>
      </w:pPr>
    </w:p>
    <w:p w14:paraId="23DFA2C0">
      <w:pPr>
        <w:spacing w:line="220" w:lineRule="atLeast"/>
        <w:jc w:val="left"/>
        <w:rPr>
          <w:rFonts w:hint="eastAsia" w:ascii="仿宋" w:hAnsi="仿宋" w:eastAsia="仿宋"/>
          <w:b/>
          <w:bCs/>
          <w:color w:val="auto"/>
          <w:sz w:val="32"/>
          <w:szCs w:val="32"/>
          <w:highlight w:val="none"/>
        </w:rPr>
      </w:pPr>
    </w:p>
    <w:p w14:paraId="6B540AF1">
      <w:pPr>
        <w:spacing w:line="220" w:lineRule="atLeast"/>
        <w:jc w:val="left"/>
        <w:rPr>
          <w:rFonts w:hint="eastAsia" w:ascii="仿宋" w:hAnsi="仿宋" w:eastAsia="仿宋"/>
          <w:b/>
          <w:bCs/>
          <w:color w:val="auto"/>
          <w:sz w:val="32"/>
          <w:szCs w:val="32"/>
          <w:highlight w:val="none"/>
        </w:rPr>
      </w:pPr>
    </w:p>
    <w:p w14:paraId="4D24B286">
      <w:pPr>
        <w:spacing w:line="220" w:lineRule="atLeast"/>
        <w:jc w:val="left"/>
        <w:rPr>
          <w:rFonts w:hint="eastAsia" w:ascii="仿宋" w:hAnsi="仿宋" w:eastAsia="仿宋"/>
          <w:b/>
          <w:bCs/>
          <w:color w:val="auto"/>
          <w:sz w:val="32"/>
          <w:szCs w:val="32"/>
          <w:highlight w:val="none"/>
        </w:rPr>
      </w:pPr>
    </w:p>
    <w:p w14:paraId="5DBF407A">
      <w:pPr>
        <w:spacing w:line="220" w:lineRule="atLeast"/>
        <w:jc w:val="left"/>
        <w:rPr>
          <w:rFonts w:hint="eastAsia" w:ascii="仿宋" w:hAnsi="仿宋" w:eastAsia="仿宋"/>
          <w:b/>
          <w:bCs/>
          <w:color w:val="auto"/>
          <w:sz w:val="32"/>
          <w:szCs w:val="32"/>
          <w:highlight w:val="none"/>
        </w:rPr>
      </w:pPr>
    </w:p>
    <w:p w14:paraId="478EEDC0">
      <w:pPr>
        <w:spacing w:line="220" w:lineRule="atLeast"/>
        <w:jc w:val="left"/>
        <w:rPr>
          <w:rFonts w:hint="eastAsia" w:ascii="仿宋" w:hAnsi="仿宋" w:eastAsia="仿宋"/>
          <w:b/>
          <w:bCs/>
          <w:color w:val="auto"/>
          <w:sz w:val="32"/>
          <w:szCs w:val="32"/>
          <w:highlight w:val="none"/>
        </w:rPr>
      </w:pPr>
    </w:p>
    <w:p w14:paraId="183C53BE">
      <w:pPr>
        <w:spacing w:line="220" w:lineRule="atLeast"/>
        <w:jc w:val="left"/>
        <w:rPr>
          <w:rFonts w:hint="eastAsia" w:ascii="仿宋" w:hAnsi="仿宋" w:eastAsia="仿宋"/>
          <w:b/>
          <w:bCs/>
          <w:color w:val="auto"/>
          <w:sz w:val="32"/>
          <w:szCs w:val="32"/>
          <w:highlight w:val="none"/>
        </w:rPr>
      </w:pPr>
    </w:p>
    <w:p w14:paraId="4C0AC5AE">
      <w:pPr>
        <w:spacing w:line="240" w:lineRule="auto"/>
        <w:jc w:val="left"/>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br w:type="page"/>
      </w:r>
    </w:p>
    <w:p w14:paraId="54AAA92A">
      <w:pPr>
        <w:spacing w:line="220" w:lineRule="atLeast"/>
        <w:jc w:val="left"/>
        <w:rPr>
          <w:rFonts w:hint="eastAsia" w:ascii="仿宋" w:hAnsi="仿宋" w:eastAsia="仿宋"/>
          <w:b/>
          <w:bCs/>
          <w:color w:val="auto"/>
          <w:sz w:val="32"/>
          <w:szCs w:val="32"/>
          <w:highlight w:val="none"/>
          <w:lang w:eastAsia="zh-CN"/>
        </w:rPr>
      </w:pPr>
      <w:r>
        <w:rPr>
          <w:rFonts w:hint="eastAsia" w:ascii="仿宋" w:hAnsi="仿宋" w:eastAsia="仿宋"/>
          <w:b/>
          <w:bCs/>
          <w:color w:val="auto"/>
          <w:sz w:val="32"/>
          <w:szCs w:val="32"/>
          <w:highlight w:val="none"/>
        </w:rPr>
        <w:t>格式</w:t>
      </w:r>
      <w:r>
        <w:rPr>
          <w:rFonts w:hint="eastAsia" w:ascii="仿宋" w:hAnsi="仿宋" w:eastAsia="仿宋"/>
          <w:b/>
          <w:bCs/>
          <w:color w:val="auto"/>
          <w:sz w:val="32"/>
          <w:szCs w:val="32"/>
          <w:highlight w:val="none"/>
          <w:lang w:val="en-US" w:eastAsia="zh-CN"/>
        </w:rPr>
        <w:t>8</w:t>
      </w:r>
    </w:p>
    <w:p w14:paraId="5C05DFF3">
      <w:pPr>
        <w:spacing w:line="220" w:lineRule="atLeast"/>
        <w:jc w:val="center"/>
        <w:rPr>
          <w:rFonts w:ascii="仿宋" w:hAnsi="仿宋" w:eastAsia="仿宋"/>
          <w:b/>
          <w:color w:val="auto"/>
          <w:sz w:val="32"/>
          <w:szCs w:val="32"/>
          <w:highlight w:val="none"/>
        </w:rPr>
      </w:pPr>
      <w:r>
        <w:rPr>
          <w:rFonts w:hint="eastAsia" w:ascii="仿宋" w:hAnsi="仿宋" w:eastAsia="仿宋"/>
          <w:b/>
          <w:color w:val="auto"/>
          <w:sz w:val="32"/>
          <w:szCs w:val="32"/>
          <w:highlight w:val="none"/>
        </w:rPr>
        <w:t>廉洁诚信承诺书</w:t>
      </w:r>
    </w:p>
    <w:p w14:paraId="7B37CFA2">
      <w:pPr>
        <w:spacing w:line="300" w:lineRule="exact"/>
        <w:jc w:val="center"/>
        <w:rPr>
          <w:rFonts w:ascii="仿宋" w:hAnsi="仿宋" w:eastAsia="仿宋"/>
          <w:b/>
          <w:color w:val="auto"/>
          <w:sz w:val="28"/>
          <w:szCs w:val="28"/>
          <w:highlight w:val="none"/>
        </w:rPr>
      </w:pPr>
    </w:p>
    <w:p w14:paraId="1C22CAB4">
      <w:pPr>
        <w:spacing w:line="360" w:lineRule="auto"/>
        <w:ind w:left="-401" w:leftChars="-191"/>
        <w:rPr>
          <w:rFonts w:ascii="仿宋" w:hAnsi="仿宋" w:eastAsia="仿宋"/>
          <w:color w:val="auto"/>
          <w:sz w:val="32"/>
          <w:szCs w:val="32"/>
          <w:highlight w:val="none"/>
        </w:rPr>
      </w:pPr>
      <w:r>
        <w:rPr>
          <w:rFonts w:hint="eastAsia" w:ascii="仿宋" w:hAnsi="仿宋" w:eastAsia="仿宋"/>
          <w:color w:val="auto"/>
          <w:sz w:val="32"/>
          <w:szCs w:val="32"/>
          <w:highlight w:val="none"/>
        </w:rPr>
        <w:t>致</w:t>
      </w:r>
      <w:r>
        <w:rPr>
          <w:rFonts w:hint="eastAsia" w:ascii="仿宋" w:hAnsi="仿宋" w:eastAsia="仿宋"/>
          <w:color w:val="auto"/>
          <w:sz w:val="32"/>
          <w:szCs w:val="32"/>
          <w:highlight w:val="none"/>
          <w:u w:val="single"/>
          <w:lang w:eastAsia="zh-CN"/>
        </w:rPr>
        <w:t>厦门国贸物业服务有限公司</w:t>
      </w:r>
      <w:r>
        <w:rPr>
          <w:rFonts w:hint="eastAsia" w:ascii="仿宋" w:hAnsi="仿宋" w:eastAsia="仿宋"/>
          <w:color w:val="auto"/>
          <w:sz w:val="32"/>
          <w:szCs w:val="32"/>
          <w:highlight w:val="none"/>
        </w:rPr>
        <w:t>：</w:t>
      </w:r>
    </w:p>
    <w:p w14:paraId="70D5B65F">
      <w:pPr>
        <w:spacing w:line="300" w:lineRule="auto"/>
        <w:ind w:left="-405" w:leftChars="-193"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承诺方系</w:t>
      </w:r>
      <w:r>
        <w:rPr>
          <w:rFonts w:hint="eastAsia" w:ascii="仿宋" w:hAnsi="仿宋" w:eastAsia="仿宋"/>
          <w:color w:val="auto"/>
          <w:sz w:val="32"/>
          <w:szCs w:val="32"/>
          <w:highlight w:val="none"/>
          <w:u w:val="single"/>
          <w:lang w:eastAsia="zh-CN"/>
        </w:rPr>
        <w:t>厦门国贸物业服务有限公司</w:t>
      </w:r>
      <w:r>
        <w:rPr>
          <w:rFonts w:hint="eastAsia" w:ascii="仿宋" w:hAnsi="仿宋" w:eastAsia="仿宋"/>
          <w:color w:val="auto"/>
          <w:sz w:val="32"/>
          <w:szCs w:val="32"/>
          <w:highlight w:val="none"/>
        </w:rPr>
        <w:t>（以下简称“</w:t>
      </w:r>
      <w:r>
        <w:rPr>
          <w:rFonts w:hint="eastAsia" w:ascii="仿宋" w:hAnsi="仿宋" w:eastAsia="仿宋"/>
          <w:color w:val="auto"/>
          <w:sz w:val="32"/>
          <w:szCs w:val="32"/>
          <w:highlight w:val="none"/>
          <w:u w:val="single"/>
          <w:lang w:val="en-US" w:eastAsia="zh-CN"/>
        </w:rPr>
        <w:t>厦门国贸物业</w:t>
      </w:r>
      <w:r>
        <w:rPr>
          <w:rFonts w:hint="eastAsia" w:ascii="仿宋" w:hAnsi="仿宋" w:eastAsia="仿宋"/>
          <w:color w:val="auto"/>
          <w:sz w:val="32"/>
          <w:szCs w:val="32"/>
          <w:highlight w:val="none"/>
          <w:u w:val="single"/>
        </w:rPr>
        <w:t>”</w:t>
      </w:r>
      <w:r>
        <w:rPr>
          <w:rFonts w:hint="eastAsia" w:ascii="仿宋" w:hAnsi="仿宋" w:eastAsia="仿宋"/>
          <w:color w:val="auto"/>
          <w:sz w:val="32"/>
          <w:szCs w:val="32"/>
          <w:highlight w:val="none"/>
        </w:rPr>
        <w:t>）的供应商、服务商或合作商，在相关业务活动(包括但不限于交易洽谈、供货、服务、承揽、技术合作交流、付款)中接触</w:t>
      </w:r>
      <w:r>
        <w:rPr>
          <w:rFonts w:hint="eastAsia" w:ascii="仿宋" w:hAnsi="仿宋" w:eastAsia="仿宋"/>
          <w:color w:val="auto"/>
          <w:sz w:val="32"/>
          <w:szCs w:val="32"/>
          <w:highlight w:val="none"/>
          <w:u w:val="single"/>
          <w:lang w:val="en-US" w:eastAsia="zh-CN"/>
        </w:rPr>
        <w:t>厦门国贸物业</w:t>
      </w:r>
      <w:r>
        <w:rPr>
          <w:rFonts w:hint="eastAsia" w:ascii="仿宋" w:hAnsi="仿宋" w:eastAsia="仿宋"/>
          <w:color w:val="auto"/>
          <w:sz w:val="32"/>
          <w:szCs w:val="32"/>
          <w:highlight w:val="none"/>
        </w:rPr>
        <w:t>相关人员和资讯，在廉洁义务和操守方面做出如下承诺：</w:t>
      </w:r>
    </w:p>
    <w:p w14:paraId="52C5B4F8">
      <w:pPr>
        <w:spacing w:line="300" w:lineRule="auto"/>
        <w:ind w:left="-405" w:leftChars="-193"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一、自觉遵守国家法律、法规，按照《中国共产党纪律处分条例》、《中华人民共和国反不正当竞争法》、《关于禁止商业贿赂行为的暂行规定》、《中华人民共和国招投标法》以及有关要求进行各项业务活动。</w:t>
      </w:r>
    </w:p>
    <w:p w14:paraId="42654521">
      <w:pPr>
        <w:spacing w:line="300" w:lineRule="auto"/>
        <w:ind w:left="-405" w:leftChars="-193"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二、不向</w:t>
      </w:r>
      <w:r>
        <w:rPr>
          <w:rFonts w:hint="eastAsia" w:ascii="仿宋" w:hAnsi="仿宋" w:eastAsia="仿宋"/>
          <w:color w:val="auto"/>
          <w:sz w:val="32"/>
          <w:szCs w:val="32"/>
          <w:highlight w:val="none"/>
          <w:u w:val="single"/>
          <w:lang w:val="en-US" w:eastAsia="zh-CN"/>
        </w:rPr>
        <w:t>厦门国贸物业</w:t>
      </w:r>
      <w:r>
        <w:rPr>
          <w:rFonts w:hint="eastAsia" w:ascii="仿宋" w:hAnsi="仿宋" w:eastAsia="仿宋"/>
          <w:color w:val="auto"/>
          <w:sz w:val="32"/>
          <w:szCs w:val="32"/>
          <w:highlight w:val="none"/>
        </w:rPr>
        <w:t>的工作人员及其亲属馈赠礼金、礼品（含有价证券）；不向</w:t>
      </w:r>
      <w:r>
        <w:rPr>
          <w:rFonts w:hint="eastAsia" w:ascii="仿宋" w:hAnsi="仿宋" w:eastAsia="仿宋"/>
          <w:color w:val="auto"/>
          <w:sz w:val="32"/>
          <w:szCs w:val="32"/>
          <w:highlight w:val="none"/>
          <w:u w:val="single"/>
          <w:lang w:val="en-US" w:eastAsia="zh-CN"/>
        </w:rPr>
        <w:t>厦门国贸物业</w:t>
      </w:r>
      <w:r>
        <w:rPr>
          <w:rFonts w:hint="eastAsia" w:ascii="仿宋" w:hAnsi="仿宋" w:eastAsia="仿宋"/>
          <w:color w:val="auto"/>
          <w:sz w:val="32"/>
          <w:szCs w:val="32"/>
          <w:highlight w:val="none"/>
        </w:rPr>
        <w:t>的工作人员提供任何应由其个人支付报酬的劳务和其它服务；不为</w:t>
      </w:r>
      <w:r>
        <w:rPr>
          <w:rFonts w:hint="eastAsia" w:ascii="仿宋" w:hAnsi="仿宋" w:eastAsia="仿宋"/>
          <w:color w:val="auto"/>
          <w:sz w:val="32"/>
          <w:szCs w:val="32"/>
          <w:highlight w:val="none"/>
          <w:u w:val="single"/>
          <w:lang w:val="en-US" w:eastAsia="zh-CN"/>
        </w:rPr>
        <w:t>厦门国贸物业</w:t>
      </w:r>
      <w:r>
        <w:rPr>
          <w:rFonts w:hint="eastAsia" w:ascii="仿宋" w:hAnsi="仿宋" w:eastAsia="仿宋"/>
          <w:color w:val="auto"/>
          <w:sz w:val="32"/>
          <w:szCs w:val="32"/>
          <w:highlight w:val="none"/>
        </w:rPr>
        <w:t>的工作人员安排可能影响公正执行公务的任何活动；不为</w:t>
      </w:r>
      <w:r>
        <w:rPr>
          <w:rFonts w:hint="eastAsia" w:ascii="仿宋" w:hAnsi="仿宋" w:eastAsia="仿宋"/>
          <w:color w:val="auto"/>
          <w:sz w:val="32"/>
          <w:szCs w:val="32"/>
          <w:highlight w:val="none"/>
          <w:u w:val="single"/>
          <w:lang w:val="en-US" w:eastAsia="zh-CN"/>
        </w:rPr>
        <w:t>厦门国贸物业</w:t>
      </w:r>
      <w:r>
        <w:rPr>
          <w:rFonts w:hint="eastAsia" w:ascii="仿宋" w:hAnsi="仿宋" w:eastAsia="仿宋"/>
          <w:color w:val="auto"/>
          <w:sz w:val="32"/>
          <w:szCs w:val="32"/>
          <w:highlight w:val="none"/>
        </w:rPr>
        <w:t>的工作人员支付应由其个人支付的任何赞助费、宣传费、咨询费、劳务费等；不为</w:t>
      </w:r>
      <w:r>
        <w:rPr>
          <w:rFonts w:hint="eastAsia" w:ascii="仿宋" w:hAnsi="仿宋" w:eastAsia="仿宋"/>
          <w:color w:val="auto"/>
          <w:sz w:val="32"/>
          <w:szCs w:val="32"/>
          <w:highlight w:val="none"/>
          <w:u w:val="single"/>
          <w:lang w:val="en-US" w:eastAsia="zh-CN"/>
        </w:rPr>
        <w:t>厦门国贸物业</w:t>
      </w:r>
      <w:r>
        <w:rPr>
          <w:rFonts w:hint="eastAsia" w:ascii="仿宋" w:hAnsi="仿宋" w:eastAsia="仿宋"/>
          <w:color w:val="auto"/>
          <w:sz w:val="32"/>
          <w:szCs w:val="32"/>
          <w:highlight w:val="none"/>
        </w:rPr>
        <w:t>工作人员报销任何名义的个人消费凭证。一经发现有上述行为，招标人有权取消中标资格。</w:t>
      </w:r>
    </w:p>
    <w:p w14:paraId="543EB164">
      <w:pPr>
        <w:spacing w:line="300" w:lineRule="auto"/>
        <w:ind w:left="-405" w:leftChars="-193"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三、不与其他经营者串通报价和投标，不排挤其他经营者的公平竞争，损害其他经营者的合法权益；不在工程建设的预决算编制工作中弄虚作假、高估冒算。</w:t>
      </w:r>
    </w:p>
    <w:p w14:paraId="1D048432">
      <w:pPr>
        <w:spacing w:line="300" w:lineRule="auto"/>
        <w:ind w:left="-405" w:leftChars="-193"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四、承诺方在与</w:t>
      </w:r>
      <w:r>
        <w:rPr>
          <w:rFonts w:hint="eastAsia" w:ascii="仿宋" w:hAnsi="仿宋" w:eastAsia="仿宋"/>
          <w:color w:val="auto"/>
          <w:sz w:val="32"/>
          <w:szCs w:val="32"/>
          <w:highlight w:val="none"/>
          <w:u w:val="single"/>
          <w:lang w:val="en-US" w:eastAsia="zh-CN"/>
        </w:rPr>
        <w:t>厦门国贸物业</w:t>
      </w:r>
      <w:r>
        <w:rPr>
          <w:rFonts w:hint="eastAsia" w:ascii="仿宋" w:hAnsi="仿宋" w:eastAsia="仿宋"/>
          <w:color w:val="auto"/>
          <w:sz w:val="32"/>
          <w:szCs w:val="32"/>
          <w:highlight w:val="none"/>
        </w:rPr>
        <w:t>达成和交易履行过程中，提供的资质证明、证照、企业及个人资料、住所、产品名称、规格、品质、服务标准、票据、权证、权利限制均为真实，不存在虚假、期满、伪造、变造行为，如上述情况发生变更，承诺方需在5个工作日内通知</w:t>
      </w:r>
      <w:r>
        <w:rPr>
          <w:rFonts w:hint="eastAsia" w:ascii="仿宋" w:hAnsi="仿宋" w:eastAsia="仿宋"/>
          <w:color w:val="auto"/>
          <w:sz w:val="32"/>
          <w:szCs w:val="32"/>
          <w:highlight w:val="none"/>
          <w:u w:val="single"/>
          <w:lang w:val="en-US" w:eastAsia="zh-CN"/>
        </w:rPr>
        <w:t>厦门国贸物业</w:t>
      </w:r>
      <w:r>
        <w:rPr>
          <w:rFonts w:hint="eastAsia" w:ascii="仿宋" w:hAnsi="仿宋" w:eastAsia="仿宋"/>
          <w:color w:val="auto"/>
          <w:sz w:val="32"/>
          <w:szCs w:val="32"/>
          <w:highlight w:val="none"/>
        </w:rPr>
        <w:t>备案存档。</w:t>
      </w:r>
    </w:p>
    <w:p w14:paraId="183B63AD">
      <w:pPr>
        <w:spacing w:line="300" w:lineRule="auto"/>
        <w:ind w:left="-405" w:leftChars="-193"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五、承诺方禁止提供仿冒品（包括但不限于如贴牌、掺杂掺假，以次充好，以旧冒新、以不合格冒充合格）或不符合</w:t>
      </w:r>
      <w:r>
        <w:rPr>
          <w:rFonts w:hint="eastAsia" w:ascii="仿宋" w:hAnsi="仿宋" w:eastAsia="仿宋"/>
          <w:color w:val="auto"/>
          <w:sz w:val="32"/>
          <w:szCs w:val="32"/>
          <w:highlight w:val="none"/>
          <w:u w:val="single"/>
          <w:lang w:val="en-US" w:eastAsia="zh-CN"/>
        </w:rPr>
        <w:t>厦门国贸物业</w:t>
      </w:r>
      <w:r>
        <w:rPr>
          <w:rFonts w:hint="eastAsia" w:ascii="仿宋" w:hAnsi="仿宋" w:eastAsia="仿宋"/>
          <w:color w:val="auto"/>
          <w:sz w:val="32"/>
          <w:szCs w:val="32"/>
          <w:highlight w:val="none"/>
        </w:rPr>
        <w:t>所需规格之商品提供</w:t>
      </w:r>
      <w:r>
        <w:rPr>
          <w:rFonts w:hint="eastAsia" w:ascii="仿宋" w:hAnsi="仿宋" w:eastAsia="仿宋"/>
          <w:color w:val="auto"/>
          <w:sz w:val="32"/>
          <w:szCs w:val="32"/>
          <w:highlight w:val="none"/>
          <w:u w:val="single"/>
          <w:lang w:val="en-US" w:eastAsia="zh-CN"/>
        </w:rPr>
        <w:t>厦门国贸物业</w:t>
      </w:r>
      <w:r>
        <w:rPr>
          <w:rFonts w:hint="eastAsia" w:ascii="仿宋" w:hAnsi="仿宋" w:eastAsia="仿宋"/>
          <w:color w:val="auto"/>
          <w:sz w:val="32"/>
          <w:szCs w:val="32"/>
          <w:highlight w:val="none"/>
        </w:rPr>
        <w:t>使用。</w:t>
      </w:r>
    </w:p>
    <w:p w14:paraId="10A7E70D">
      <w:pPr>
        <w:spacing w:line="300" w:lineRule="auto"/>
        <w:ind w:left="-405" w:leftChars="-193"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六、承诺方同意</w:t>
      </w:r>
      <w:r>
        <w:rPr>
          <w:rFonts w:hint="eastAsia" w:ascii="仿宋" w:hAnsi="仿宋" w:eastAsia="仿宋"/>
          <w:color w:val="auto"/>
          <w:sz w:val="32"/>
          <w:szCs w:val="32"/>
          <w:highlight w:val="none"/>
          <w:u w:val="single"/>
          <w:lang w:val="en-US" w:eastAsia="zh-CN"/>
        </w:rPr>
        <w:t>厦门国贸物业</w:t>
      </w:r>
      <w:r>
        <w:rPr>
          <w:rFonts w:hint="eastAsia" w:ascii="仿宋" w:hAnsi="仿宋" w:eastAsia="仿宋"/>
          <w:color w:val="auto"/>
          <w:sz w:val="32"/>
          <w:szCs w:val="32"/>
          <w:highlight w:val="none"/>
        </w:rPr>
        <w:t>依其保密制度所划列的机密资料可包括一切关于</w:t>
      </w:r>
      <w:r>
        <w:rPr>
          <w:rFonts w:hint="eastAsia" w:ascii="仿宋" w:hAnsi="仿宋" w:eastAsia="仿宋"/>
          <w:color w:val="auto"/>
          <w:sz w:val="32"/>
          <w:szCs w:val="32"/>
          <w:highlight w:val="none"/>
          <w:u w:val="single"/>
          <w:lang w:val="en-US" w:eastAsia="zh-CN"/>
        </w:rPr>
        <w:t>厦门国贸物业</w:t>
      </w:r>
      <w:r>
        <w:rPr>
          <w:rFonts w:hint="eastAsia" w:ascii="仿宋" w:hAnsi="仿宋" w:eastAsia="仿宋"/>
          <w:color w:val="auto"/>
          <w:sz w:val="32"/>
          <w:szCs w:val="32"/>
          <w:highlight w:val="none"/>
        </w:rPr>
        <w:t>，无论是否有价值，被公开或正在采取保密措施的书面、口头或以其他形式呈现、保存之资讯、承诺方与接受机密资料五年内均有保密义务，未经</w:t>
      </w:r>
      <w:r>
        <w:rPr>
          <w:rFonts w:hint="eastAsia" w:ascii="仿宋" w:hAnsi="仿宋" w:eastAsia="仿宋"/>
          <w:color w:val="auto"/>
          <w:sz w:val="32"/>
          <w:szCs w:val="32"/>
          <w:highlight w:val="none"/>
          <w:u w:val="single"/>
          <w:lang w:val="en-US" w:eastAsia="zh-CN"/>
        </w:rPr>
        <w:t>厦门国贸物业</w:t>
      </w:r>
      <w:r>
        <w:rPr>
          <w:rFonts w:hint="eastAsia" w:ascii="仿宋" w:hAnsi="仿宋" w:eastAsia="仿宋"/>
          <w:color w:val="auto"/>
          <w:sz w:val="32"/>
          <w:szCs w:val="32"/>
          <w:highlight w:val="none"/>
        </w:rPr>
        <w:t>同意不得利用或向任何第三方泄露、交付。</w:t>
      </w:r>
    </w:p>
    <w:p w14:paraId="33F22815">
      <w:pPr>
        <w:spacing w:line="300" w:lineRule="auto"/>
        <w:ind w:left="-405" w:leftChars="-193"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七、为净化采购相关秩序及环境，可至</w:t>
      </w:r>
      <w:r>
        <w:rPr>
          <w:rFonts w:hint="eastAsia" w:ascii="仿宋" w:hAnsi="仿宋" w:eastAsia="仿宋"/>
          <w:color w:val="auto"/>
          <w:sz w:val="32"/>
          <w:szCs w:val="32"/>
          <w:highlight w:val="none"/>
          <w:u w:val="single"/>
          <w:lang w:val="en-US" w:eastAsia="zh-CN"/>
        </w:rPr>
        <w:t>厦门国贸物业</w:t>
      </w:r>
      <w:r>
        <w:rPr>
          <w:rFonts w:hint="eastAsia" w:ascii="仿宋" w:hAnsi="仿宋" w:eastAsia="仿宋"/>
          <w:color w:val="auto"/>
          <w:sz w:val="32"/>
          <w:szCs w:val="32"/>
          <w:highlight w:val="none"/>
        </w:rPr>
        <w:t>进行投诉或申报。</w:t>
      </w:r>
    </w:p>
    <w:p w14:paraId="7DA77F47">
      <w:pPr>
        <w:spacing w:line="300" w:lineRule="auto"/>
        <w:ind w:left="-405" w:leftChars="-193"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八、违约责任</w:t>
      </w:r>
    </w:p>
    <w:p w14:paraId="40F7D514">
      <w:pPr>
        <w:spacing w:line="300" w:lineRule="auto"/>
        <w:ind w:left="-405" w:leftChars="-193"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承诺方承诺如违反本承诺书所述任何义务，无论是否给</w:t>
      </w:r>
      <w:r>
        <w:rPr>
          <w:rFonts w:hint="eastAsia" w:ascii="仿宋" w:hAnsi="仿宋" w:eastAsia="仿宋"/>
          <w:color w:val="auto"/>
          <w:sz w:val="32"/>
          <w:szCs w:val="32"/>
          <w:highlight w:val="none"/>
          <w:u w:val="single"/>
          <w:lang w:val="en-US" w:eastAsia="zh-CN"/>
        </w:rPr>
        <w:t>厦门国贸物业</w:t>
      </w:r>
      <w:r>
        <w:rPr>
          <w:rFonts w:hint="eastAsia" w:ascii="仿宋" w:hAnsi="仿宋" w:eastAsia="仿宋"/>
          <w:color w:val="auto"/>
          <w:sz w:val="32"/>
          <w:szCs w:val="32"/>
          <w:highlight w:val="none"/>
        </w:rPr>
        <w:t>造成损失，承诺方将承担一切责任，并就</w:t>
      </w:r>
      <w:r>
        <w:rPr>
          <w:rFonts w:hint="eastAsia" w:ascii="仿宋" w:hAnsi="仿宋" w:eastAsia="仿宋"/>
          <w:color w:val="auto"/>
          <w:sz w:val="32"/>
          <w:szCs w:val="32"/>
          <w:highlight w:val="none"/>
          <w:u w:val="single"/>
          <w:lang w:val="en-US" w:eastAsia="zh-CN"/>
        </w:rPr>
        <w:t>厦门国贸物业</w:t>
      </w:r>
      <w:r>
        <w:rPr>
          <w:rFonts w:hint="eastAsia" w:ascii="仿宋" w:hAnsi="仿宋" w:eastAsia="仿宋"/>
          <w:color w:val="auto"/>
          <w:sz w:val="32"/>
          <w:szCs w:val="32"/>
          <w:highlight w:val="none"/>
        </w:rPr>
        <w:t>实际造成的经济、名誉损失进行赔偿。</w:t>
      </w:r>
      <w:r>
        <w:rPr>
          <w:rFonts w:hint="eastAsia" w:ascii="仿宋" w:hAnsi="仿宋" w:eastAsia="仿宋"/>
          <w:color w:val="auto"/>
          <w:sz w:val="32"/>
          <w:szCs w:val="32"/>
          <w:highlight w:val="none"/>
          <w:u w:val="single"/>
          <w:lang w:val="en-US" w:eastAsia="zh-CN"/>
        </w:rPr>
        <w:t>厦门国贸物业</w:t>
      </w:r>
      <w:r>
        <w:rPr>
          <w:rFonts w:hint="eastAsia" w:ascii="仿宋" w:hAnsi="仿宋" w:eastAsia="仿宋"/>
          <w:color w:val="auto"/>
          <w:sz w:val="32"/>
          <w:szCs w:val="32"/>
          <w:highlight w:val="none"/>
        </w:rPr>
        <w:t>有权解除双方合同并不负任何违约责任，有权从应付承诺方账款中扣罚，并可采用法律手段索赔。</w:t>
      </w:r>
    </w:p>
    <w:p w14:paraId="74D109F7">
      <w:pPr>
        <w:spacing w:line="300" w:lineRule="auto"/>
        <w:ind w:left="-405" w:leftChars="-193"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九、自觉接受监督。</w:t>
      </w:r>
    </w:p>
    <w:p w14:paraId="089E74DE">
      <w:pPr>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特此承诺。</w:t>
      </w:r>
    </w:p>
    <w:p w14:paraId="74740887">
      <w:pPr>
        <w:spacing w:line="240" w:lineRule="atLeast"/>
        <w:ind w:left="-105" w:leftChars="-50"/>
        <w:jc w:val="center"/>
        <w:rPr>
          <w:rFonts w:ascii="仿宋" w:hAnsi="仿宋" w:eastAsia="仿宋"/>
          <w:color w:val="auto"/>
          <w:sz w:val="32"/>
          <w:szCs w:val="32"/>
          <w:highlight w:val="none"/>
        </w:rPr>
      </w:pPr>
    </w:p>
    <w:p w14:paraId="75AF1A90">
      <w:pPr>
        <w:spacing w:line="240" w:lineRule="atLeast"/>
        <w:ind w:left="-105" w:leftChars="-50"/>
        <w:jc w:val="center"/>
        <w:rPr>
          <w:rFonts w:ascii="仿宋" w:hAnsi="仿宋" w:eastAsia="仿宋"/>
          <w:color w:val="auto"/>
          <w:sz w:val="32"/>
          <w:szCs w:val="32"/>
          <w:highlight w:val="none"/>
        </w:rPr>
      </w:pPr>
    </w:p>
    <w:p w14:paraId="68F9654F">
      <w:pPr>
        <w:spacing w:line="240" w:lineRule="atLeast"/>
        <w:ind w:left="-105" w:leftChars="-5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承诺人（投标人）名称（盖章）：</w:t>
      </w:r>
    </w:p>
    <w:p w14:paraId="66E982B1">
      <w:pPr>
        <w:spacing w:line="240" w:lineRule="atLeast"/>
        <w:ind w:left="-105" w:leftChars="-5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法定代表人（或投标人代表）：</w:t>
      </w:r>
    </w:p>
    <w:p w14:paraId="2D309CF9">
      <w:pPr>
        <w:spacing w:line="240" w:lineRule="atLeast"/>
        <w:ind w:firstLine="3840" w:firstLineChars="1200"/>
        <w:rPr>
          <w:rFonts w:ascii="仿宋" w:hAnsi="仿宋" w:eastAsia="仿宋"/>
          <w:color w:val="auto"/>
          <w:sz w:val="32"/>
          <w:szCs w:val="32"/>
          <w:highlight w:val="none"/>
        </w:rPr>
      </w:pPr>
      <w:r>
        <w:rPr>
          <w:rFonts w:hint="eastAsia" w:ascii="仿宋" w:hAnsi="仿宋" w:eastAsia="仿宋"/>
          <w:color w:val="auto"/>
          <w:sz w:val="32"/>
          <w:szCs w:val="32"/>
          <w:highlight w:val="none"/>
        </w:rPr>
        <w:t>日期：</w:t>
      </w:r>
    </w:p>
    <w:p w14:paraId="7C9AF165">
      <w:pPr>
        <w:spacing w:line="500" w:lineRule="exact"/>
        <w:rPr>
          <w:rFonts w:ascii="仿宋" w:hAnsi="仿宋" w:eastAsia="仿宋"/>
          <w:color w:val="auto"/>
          <w:sz w:val="32"/>
          <w:szCs w:val="32"/>
          <w:highlight w:val="none"/>
        </w:rPr>
      </w:pPr>
    </w:p>
    <w:p w14:paraId="336EBF97">
      <w:pPr>
        <w:spacing w:line="500" w:lineRule="exact"/>
        <w:rPr>
          <w:rFonts w:ascii="仿宋" w:hAnsi="仿宋" w:eastAsia="仿宋"/>
          <w:color w:val="auto"/>
          <w:sz w:val="32"/>
          <w:szCs w:val="32"/>
          <w:highlight w:val="none"/>
        </w:rPr>
      </w:pPr>
    </w:p>
    <w:p w14:paraId="4CD62914">
      <w:pPr>
        <w:spacing w:line="500" w:lineRule="exact"/>
        <w:rPr>
          <w:rFonts w:ascii="仿宋" w:hAnsi="仿宋" w:eastAsia="仿宋"/>
          <w:color w:val="auto"/>
          <w:sz w:val="32"/>
          <w:szCs w:val="32"/>
          <w:highlight w:val="none"/>
        </w:rPr>
      </w:pPr>
    </w:p>
    <w:p w14:paraId="2F4C0915">
      <w:pPr>
        <w:spacing w:line="240" w:lineRule="auto"/>
        <w:rPr>
          <w:rFonts w:ascii="仿宋" w:hAnsi="仿宋" w:eastAsia="仿宋"/>
          <w:color w:val="auto"/>
          <w:sz w:val="32"/>
          <w:szCs w:val="32"/>
          <w:highlight w:val="none"/>
        </w:rPr>
      </w:pPr>
      <w:r>
        <w:rPr>
          <w:rFonts w:ascii="仿宋" w:hAnsi="仿宋" w:eastAsia="仿宋"/>
          <w:color w:val="auto"/>
          <w:sz w:val="32"/>
          <w:szCs w:val="32"/>
          <w:highlight w:val="none"/>
        </w:rPr>
        <w:br w:type="page"/>
      </w:r>
    </w:p>
    <w:p w14:paraId="4CF5F7ED">
      <w:pPr>
        <w:spacing w:line="500" w:lineRule="exact"/>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格式</w:t>
      </w:r>
      <w:r>
        <w:rPr>
          <w:rFonts w:hint="eastAsia" w:ascii="仿宋" w:hAnsi="仿宋" w:eastAsia="仿宋"/>
          <w:b/>
          <w:bCs/>
          <w:color w:val="auto"/>
          <w:sz w:val="32"/>
          <w:szCs w:val="32"/>
          <w:highlight w:val="none"/>
          <w:lang w:val="en-US" w:eastAsia="zh-CN"/>
        </w:rPr>
        <w:t>9</w:t>
      </w:r>
      <w:r>
        <w:rPr>
          <w:rFonts w:hint="eastAsia" w:ascii="仿宋" w:hAnsi="仿宋" w:eastAsia="仿宋"/>
          <w:b/>
          <w:bCs/>
          <w:color w:val="auto"/>
          <w:sz w:val="32"/>
          <w:szCs w:val="32"/>
          <w:highlight w:val="none"/>
        </w:rPr>
        <w:t xml:space="preserve">  </w:t>
      </w:r>
    </w:p>
    <w:p w14:paraId="32BAF4E1">
      <w:pPr>
        <w:spacing w:before="0" w:beforeLines="-2147483648" w:after="0" w:afterLines="-2147483648" w:line="500" w:lineRule="exact"/>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带“★”号条款逐条响应情况表</w:t>
      </w:r>
    </w:p>
    <w:p w14:paraId="3A781BBA">
      <w:pPr>
        <w:spacing w:line="380" w:lineRule="exact"/>
        <w:rPr>
          <w:rFonts w:ascii="仿宋" w:hAnsi="仿宋" w:eastAsia="仿宋"/>
          <w:color w:val="auto"/>
          <w:sz w:val="32"/>
          <w:szCs w:val="32"/>
          <w:highlight w:val="none"/>
        </w:rPr>
      </w:pPr>
      <w:r>
        <w:rPr>
          <w:rFonts w:hint="eastAsia" w:ascii="仿宋" w:hAnsi="仿宋" w:eastAsia="仿宋" w:cs="宋体"/>
          <w:color w:val="auto"/>
          <w:sz w:val="32"/>
          <w:szCs w:val="32"/>
          <w:highlight w:val="none"/>
        </w:rPr>
        <w:t>项目名称：</w:t>
      </w:r>
      <w:r>
        <w:rPr>
          <w:rFonts w:hint="eastAsia" w:ascii="仿宋" w:hAnsi="仿宋" w:eastAsia="仿宋"/>
          <w:color w:val="auto"/>
          <w:sz w:val="32"/>
          <w:szCs w:val="32"/>
          <w:highlight w:val="none"/>
        </w:rPr>
        <w:t xml:space="preserve">        招标编号</w:t>
      </w:r>
      <w:r>
        <w:rPr>
          <w:rFonts w:hint="eastAsia" w:ascii="仿宋" w:hAnsi="仿宋" w:eastAsia="仿宋" w:cs="宋体"/>
          <w:color w:val="auto"/>
          <w:sz w:val="32"/>
          <w:szCs w:val="32"/>
          <w:highlight w:val="none"/>
        </w:rPr>
        <w:t>：</w:t>
      </w:r>
    </w:p>
    <w:tbl>
      <w:tblPr>
        <w:tblStyle w:val="17"/>
        <w:tblW w:w="8955"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67"/>
        <w:gridCol w:w="3276"/>
        <w:gridCol w:w="1836"/>
        <w:gridCol w:w="2676"/>
      </w:tblGrid>
      <w:tr w14:paraId="3D8BC9F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217" w:hRule="atLeast"/>
          <w:jc w:val="center"/>
        </w:trPr>
        <w:tc>
          <w:tcPr>
            <w:tcW w:w="1167" w:type="dxa"/>
            <w:vAlign w:val="center"/>
          </w:tcPr>
          <w:p w14:paraId="16C7BED9">
            <w:pPr>
              <w:keepNext w:val="0"/>
              <w:keepLines w:val="0"/>
              <w:suppressLineNumbers w:val="0"/>
              <w:spacing w:before="0" w:beforeAutospacing="0" w:after="0" w:afterAutospacing="0" w:line="300" w:lineRule="exact"/>
              <w:ind w:left="0" w:right="0"/>
              <w:jc w:val="center"/>
              <w:rPr>
                <w:rFonts w:hint="default" w:ascii="仿宋" w:hAnsi="仿宋" w:eastAsia="仿宋"/>
                <w:color w:val="auto"/>
                <w:sz w:val="32"/>
                <w:szCs w:val="32"/>
                <w:highlight w:val="none"/>
              </w:rPr>
            </w:pPr>
            <w:r>
              <w:rPr>
                <w:rFonts w:hint="eastAsia" w:ascii="仿宋" w:hAnsi="仿宋" w:eastAsia="仿宋"/>
                <w:color w:val="auto"/>
                <w:sz w:val="32"/>
                <w:szCs w:val="32"/>
                <w:highlight w:val="none"/>
              </w:rPr>
              <w:t>序号</w:t>
            </w:r>
          </w:p>
        </w:tc>
        <w:tc>
          <w:tcPr>
            <w:tcW w:w="3276" w:type="dxa"/>
            <w:vAlign w:val="center"/>
          </w:tcPr>
          <w:p w14:paraId="2880815B">
            <w:pPr>
              <w:keepNext w:val="0"/>
              <w:keepLines w:val="0"/>
              <w:suppressLineNumbers w:val="0"/>
              <w:spacing w:before="0" w:beforeAutospacing="0" w:after="0" w:afterAutospacing="0" w:line="300" w:lineRule="exact"/>
              <w:ind w:left="0" w:right="0"/>
              <w:jc w:val="center"/>
              <w:rPr>
                <w:rFonts w:hint="default" w:ascii="仿宋" w:hAnsi="仿宋" w:eastAsia="仿宋"/>
                <w:color w:val="auto"/>
                <w:sz w:val="32"/>
                <w:szCs w:val="32"/>
                <w:highlight w:val="none"/>
              </w:rPr>
            </w:pPr>
            <w:r>
              <w:rPr>
                <w:rFonts w:hint="eastAsia" w:ascii="仿宋" w:hAnsi="仿宋" w:eastAsia="仿宋"/>
                <w:color w:val="auto"/>
                <w:sz w:val="32"/>
                <w:szCs w:val="32"/>
                <w:highlight w:val="none"/>
              </w:rPr>
              <w:t>招标文件中带“★”号的条款</w:t>
            </w:r>
          </w:p>
        </w:tc>
        <w:tc>
          <w:tcPr>
            <w:tcW w:w="1836" w:type="dxa"/>
            <w:vAlign w:val="center"/>
          </w:tcPr>
          <w:p w14:paraId="31963B4B">
            <w:pPr>
              <w:keepNext w:val="0"/>
              <w:keepLines w:val="0"/>
              <w:suppressLineNumbers w:val="0"/>
              <w:spacing w:before="0" w:beforeAutospacing="0" w:after="0" w:afterAutospacing="0" w:line="300" w:lineRule="exact"/>
              <w:ind w:left="0" w:right="0"/>
              <w:jc w:val="center"/>
              <w:rPr>
                <w:rFonts w:hint="default" w:ascii="仿宋" w:hAnsi="仿宋" w:eastAsia="仿宋"/>
                <w:color w:val="auto"/>
                <w:sz w:val="32"/>
                <w:szCs w:val="32"/>
                <w:highlight w:val="none"/>
              </w:rPr>
            </w:pPr>
            <w:r>
              <w:rPr>
                <w:rFonts w:hint="default" w:ascii="仿宋" w:hAnsi="仿宋" w:eastAsia="仿宋"/>
                <w:color w:val="auto"/>
                <w:sz w:val="32"/>
                <w:szCs w:val="32"/>
                <w:highlight w:val="none"/>
              </w:rPr>
              <w:t>投标响应</w:t>
            </w:r>
            <w:r>
              <w:rPr>
                <w:rFonts w:hint="eastAsia" w:ascii="仿宋" w:hAnsi="仿宋" w:eastAsia="仿宋"/>
                <w:color w:val="auto"/>
                <w:sz w:val="32"/>
                <w:szCs w:val="32"/>
                <w:highlight w:val="none"/>
              </w:rPr>
              <w:t>内容</w:t>
            </w:r>
          </w:p>
        </w:tc>
        <w:tc>
          <w:tcPr>
            <w:tcW w:w="2676" w:type="dxa"/>
            <w:vAlign w:val="center"/>
          </w:tcPr>
          <w:p w14:paraId="4D729D86">
            <w:pPr>
              <w:keepNext w:val="0"/>
              <w:keepLines w:val="0"/>
              <w:suppressLineNumbers w:val="0"/>
              <w:spacing w:before="0" w:beforeAutospacing="0" w:after="0" w:afterAutospacing="0" w:line="300" w:lineRule="exact"/>
              <w:ind w:left="0" w:right="0"/>
              <w:jc w:val="center"/>
              <w:rPr>
                <w:rFonts w:hint="default" w:ascii="仿宋" w:hAnsi="仿宋" w:eastAsia="仿宋"/>
                <w:color w:val="auto"/>
                <w:sz w:val="32"/>
                <w:szCs w:val="32"/>
                <w:highlight w:val="none"/>
              </w:rPr>
            </w:pPr>
            <w:r>
              <w:rPr>
                <w:rFonts w:hint="eastAsia" w:ascii="仿宋" w:hAnsi="仿宋" w:eastAsia="仿宋"/>
                <w:color w:val="auto"/>
                <w:sz w:val="32"/>
                <w:szCs w:val="32"/>
                <w:highlight w:val="none"/>
              </w:rPr>
              <w:t>对应投标文件页码</w:t>
            </w:r>
          </w:p>
        </w:tc>
      </w:tr>
      <w:tr w14:paraId="2EA8897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1167" w:type="dxa"/>
            <w:vAlign w:val="center"/>
          </w:tcPr>
          <w:p w14:paraId="1D06942C">
            <w:pPr>
              <w:keepNext w:val="0"/>
              <w:keepLines w:val="0"/>
              <w:suppressLineNumbers w:val="0"/>
              <w:spacing w:before="0" w:beforeAutospacing="0" w:after="0" w:afterAutospacing="0" w:line="300" w:lineRule="exact"/>
              <w:ind w:left="0" w:right="0"/>
              <w:jc w:val="center"/>
              <w:rPr>
                <w:rFonts w:hint="default" w:ascii="仿宋" w:hAnsi="仿宋" w:eastAsia="仿宋"/>
                <w:color w:val="auto"/>
                <w:sz w:val="32"/>
                <w:szCs w:val="32"/>
                <w:highlight w:val="none"/>
              </w:rPr>
            </w:pPr>
          </w:p>
        </w:tc>
        <w:tc>
          <w:tcPr>
            <w:tcW w:w="3276" w:type="dxa"/>
            <w:vAlign w:val="center"/>
          </w:tcPr>
          <w:p w14:paraId="024A9D15">
            <w:pPr>
              <w:keepNext w:val="0"/>
              <w:keepLines w:val="0"/>
              <w:suppressLineNumbers w:val="0"/>
              <w:spacing w:before="0" w:beforeAutospacing="0" w:after="0" w:afterAutospacing="0" w:line="300" w:lineRule="exact"/>
              <w:ind w:left="0" w:right="0"/>
              <w:rPr>
                <w:rFonts w:hint="default" w:ascii="仿宋" w:hAnsi="仿宋" w:eastAsia="仿宋" w:cs="宋体"/>
                <w:bCs/>
                <w:color w:val="auto"/>
                <w:kern w:val="0"/>
                <w:sz w:val="32"/>
                <w:szCs w:val="32"/>
                <w:highlight w:val="none"/>
              </w:rPr>
            </w:pPr>
          </w:p>
        </w:tc>
        <w:tc>
          <w:tcPr>
            <w:tcW w:w="1836" w:type="dxa"/>
            <w:vAlign w:val="center"/>
          </w:tcPr>
          <w:p w14:paraId="4D6B09AA">
            <w:pPr>
              <w:keepNext w:val="0"/>
              <w:keepLines w:val="0"/>
              <w:suppressLineNumbers w:val="0"/>
              <w:spacing w:before="0" w:beforeAutospacing="0" w:after="0" w:afterAutospacing="0" w:line="300" w:lineRule="exact"/>
              <w:ind w:left="0" w:right="0"/>
              <w:rPr>
                <w:rFonts w:hint="default" w:ascii="仿宋" w:hAnsi="仿宋" w:eastAsia="仿宋"/>
                <w:color w:val="auto"/>
                <w:sz w:val="32"/>
                <w:szCs w:val="32"/>
                <w:highlight w:val="none"/>
              </w:rPr>
            </w:pPr>
          </w:p>
        </w:tc>
        <w:tc>
          <w:tcPr>
            <w:tcW w:w="2676" w:type="dxa"/>
            <w:vAlign w:val="center"/>
          </w:tcPr>
          <w:p w14:paraId="10555289">
            <w:pPr>
              <w:keepNext w:val="0"/>
              <w:keepLines w:val="0"/>
              <w:suppressLineNumbers w:val="0"/>
              <w:spacing w:before="0" w:beforeAutospacing="0" w:after="0" w:afterAutospacing="0" w:line="300" w:lineRule="exact"/>
              <w:ind w:left="0" w:right="0"/>
              <w:rPr>
                <w:rFonts w:hint="default" w:ascii="仿宋" w:hAnsi="仿宋" w:eastAsia="仿宋"/>
                <w:color w:val="auto"/>
                <w:sz w:val="32"/>
                <w:szCs w:val="32"/>
                <w:highlight w:val="none"/>
              </w:rPr>
            </w:pPr>
          </w:p>
        </w:tc>
      </w:tr>
      <w:tr w14:paraId="1B40ABA8">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1167" w:type="dxa"/>
            <w:vAlign w:val="center"/>
          </w:tcPr>
          <w:p w14:paraId="0F8C3680">
            <w:pPr>
              <w:keepNext w:val="0"/>
              <w:keepLines w:val="0"/>
              <w:suppressLineNumbers w:val="0"/>
              <w:spacing w:before="0" w:beforeAutospacing="0" w:after="0" w:afterAutospacing="0" w:line="300" w:lineRule="exact"/>
              <w:ind w:left="0" w:right="0"/>
              <w:jc w:val="center"/>
              <w:rPr>
                <w:rFonts w:hint="default" w:ascii="仿宋" w:hAnsi="仿宋" w:eastAsia="仿宋"/>
                <w:color w:val="auto"/>
                <w:sz w:val="32"/>
                <w:szCs w:val="32"/>
                <w:highlight w:val="none"/>
              </w:rPr>
            </w:pPr>
          </w:p>
        </w:tc>
        <w:tc>
          <w:tcPr>
            <w:tcW w:w="3276" w:type="dxa"/>
            <w:vAlign w:val="center"/>
          </w:tcPr>
          <w:p w14:paraId="0A66BEB2">
            <w:pPr>
              <w:keepNext w:val="0"/>
              <w:keepLines w:val="0"/>
              <w:suppressLineNumbers w:val="0"/>
              <w:spacing w:before="0" w:beforeAutospacing="0" w:after="0" w:afterAutospacing="0" w:line="300" w:lineRule="exact"/>
              <w:ind w:left="0" w:right="0"/>
              <w:rPr>
                <w:rFonts w:hint="default" w:ascii="仿宋" w:hAnsi="仿宋" w:eastAsia="仿宋" w:cs="宋体"/>
                <w:bCs/>
                <w:color w:val="auto"/>
                <w:kern w:val="0"/>
                <w:sz w:val="32"/>
                <w:szCs w:val="32"/>
                <w:highlight w:val="none"/>
              </w:rPr>
            </w:pPr>
          </w:p>
        </w:tc>
        <w:tc>
          <w:tcPr>
            <w:tcW w:w="1836" w:type="dxa"/>
            <w:vAlign w:val="center"/>
          </w:tcPr>
          <w:p w14:paraId="653C9EE9">
            <w:pPr>
              <w:keepNext w:val="0"/>
              <w:keepLines w:val="0"/>
              <w:suppressLineNumbers w:val="0"/>
              <w:spacing w:before="0" w:beforeAutospacing="0" w:after="0" w:afterAutospacing="0" w:line="300" w:lineRule="exact"/>
              <w:ind w:left="0" w:right="0"/>
              <w:rPr>
                <w:rFonts w:hint="default" w:ascii="仿宋" w:hAnsi="仿宋" w:eastAsia="仿宋"/>
                <w:color w:val="auto"/>
                <w:sz w:val="32"/>
                <w:szCs w:val="32"/>
                <w:highlight w:val="none"/>
              </w:rPr>
            </w:pPr>
          </w:p>
        </w:tc>
        <w:tc>
          <w:tcPr>
            <w:tcW w:w="2676" w:type="dxa"/>
            <w:vAlign w:val="center"/>
          </w:tcPr>
          <w:p w14:paraId="58D16ED6">
            <w:pPr>
              <w:keepNext w:val="0"/>
              <w:keepLines w:val="0"/>
              <w:suppressLineNumbers w:val="0"/>
              <w:spacing w:before="0" w:beforeAutospacing="0" w:after="0" w:afterAutospacing="0" w:line="300" w:lineRule="exact"/>
              <w:ind w:left="0" w:right="0"/>
              <w:rPr>
                <w:rFonts w:hint="default" w:ascii="仿宋" w:hAnsi="仿宋" w:eastAsia="仿宋"/>
                <w:color w:val="auto"/>
                <w:sz w:val="32"/>
                <w:szCs w:val="32"/>
                <w:highlight w:val="none"/>
              </w:rPr>
            </w:pPr>
          </w:p>
        </w:tc>
      </w:tr>
      <w:tr w14:paraId="2E64CDCF">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1167" w:type="dxa"/>
            <w:vAlign w:val="center"/>
          </w:tcPr>
          <w:p w14:paraId="6230736E">
            <w:pPr>
              <w:keepNext w:val="0"/>
              <w:keepLines w:val="0"/>
              <w:suppressLineNumbers w:val="0"/>
              <w:spacing w:before="0" w:beforeAutospacing="0" w:after="0" w:afterAutospacing="0" w:line="300" w:lineRule="exact"/>
              <w:ind w:left="0" w:right="0"/>
              <w:jc w:val="center"/>
              <w:rPr>
                <w:rFonts w:hint="default" w:ascii="仿宋" w:hAnsi="仿宋" w:eastAsia="仿宋"/>
                <w:color w:val="auto"/>
                <w:sz w:val="32"/>
                <w:szCs w:val="32"/>
                <w:highlight w:val="none"/>
              </w:rPr>
            </w:pPr>
          </w:p>
        </w:tc>
        <w:tc>
          <w:tcPr>
            <w:tcW w:w="3276" w:type="dxa"/>
            <w:vAlign w:val="center"/>
          </w:tcPr>
          <w:p w14:paraId="0DA3F625">
            <w:pPr>
              <w:keepNext w:val="0"/>
              <w:keepLines w:val="0"/>
              <w:suppressLineNumbers w:val="0"/>
              <w:spacing w:before="0" w:beforeAutospacing="0" w:after="0" w:afterAutospacing="0" w:line="300" w:lineRule="exact"/>
              <w:ind w:left="0" w:right="0"/>
              <w:rPr>
                <w:rFonts w:hint="default" w:ascii="仿宋" w:hAnsi="仿宋" w:eastAsia="仿宋" w:cs="宋体"/>
                <w:bCs/>
                <w:color w:val="auto"/>
                <w:kern w:val="0"/>
                <w:sz w:val="32"/>
                <w:szCs w:val="32"/>
                <w:highlight w:val="none"/>
              </w:rPr>
            </w:pPr>
          </w:p>
        </w:tc>
        <w:tc>
          <w:tcPr>
            <w:tcW w:w="1836" w:type="dxa"/>
            <w:vAlign w:val="center"/>
          </w:tcPr>
          <w:p w14:paraId="711BA13A">
            <w:pPr>
              <w:keepNext w:val="0"/>
              <w:keepLines w:val="0"/>
              <w:suppressLineNumbers w:val="0"/>
              <w:spacing w:before="0" w:beforeAutospacing="0" w:after="0" w:afterAutospacing="0" w:line="300" w:lineRule="exact"/>
              <w:ind w:left="0" w:right="0"/>
              <w:rPr>
                <w:rFonts w:hint="default" w:ascii="仿宋" w:hAnsi="仿宋" w:eastAsia="仿宋"/>
                <w:color w:val="auto"/>
                <w:sz w:val="32"/>
                <w:szCs w:val="32"/>
                <w:highlight w:val="none"/>
              </w:rPr>
            </w:pPr>
          </w:p>
        </w:tc>
        <w:tc>
          <w:tcPr>
            <w:tcW w:w="2676" w:type="dxa"/>
            <w:vAlign w:val="center"/>
          </w:tcPr>
          <w:p w14:paraId="44AD87E2">
            <w:pPr>
              <w:keepNext w:val="0"/>
              <w:keepLines w:val="0"/>
              <w:suppressLineNumbers w:val="0"/>
              <w:spacing w:before="0" w:beforeAutospacing="0" w:after="0" w:afterAutospacing="0" w:line="300" w:lineRule="exact"/>
              <w:ind w:left="0" w:right="0"/>
              <w:rPr>
                <w:rFonts w:hint="default" w:ascii="仿宋" w:hAnsi="仿宋" w:eastAsia="仿宋"/>
                <w:color w:val="auto"/>
                <w:sz w:val="32"/>
                <w:szCs w:val="32"/>
                <w:highlight w:val="none"/>
              </w:rPr>
            </w:pPr>
          </w:p>
        </w:tc>
      </w:tr>
      <w:tr w14:paraId="45B896B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1167" w:type="dxa"/>
            <w:vAlign w:val="center"/>
          </w:tcPr>
          <w:p w14:paraId="50598038">
            <w:pPr>
              <w:keepNext w:val="0"/>
              <w:keepLines w:val="0"/>
              <w:suppressLineNumbers w:val="0"/>
              <w:spacing w:before="0" w:beforeAutospacing="0" w:after="0" w:afterAutospacing="0" w:line="300" w:lineRule="exact"/>
              <w:ind w:left="0" w:right="0"/>
              <w:jc w:val="center"/>
              <w:rPr>
                <w:rFonts w:hint="default" w:ascii="仿宋" w:hAnsi="仿宋" w:eastAsia="仿宋"/>
                <w:color w:val="auto"/>
                <w:sz w:val="32"/>
                <w:szCs w:val="32"/>
                <w:highlight w:val="none"/>
              </w:rPr>
            </w:pPr>
          </w:p>
        </w:tc>
        <w:tc>
          <w:tcPr>
            <w:tcW w:w="3276" w:type="dxa"/>
            <w:vAlign w:val="center"/>
          </w:tcPr>
          <w:p w14:paraId="1F9DDFE6">
            <w:pPr>
              <w:keepNext w:val="0"/>
              <w:keepLines w:val="0"/>
              <w:suppressLineNumbers w:val="0"/>
              <w:spacing w:before="0" w:beforeAutospacing="0" w:after="0" w:afterAutospacing="0" w:line="300" w:lineRule="exact"/>
              <w:ind w:left="0" w:right="0"/>
              <w:rPr>
                <w:rFonts w:hint="default" w:ascii="仿宋" w:hAnsi="仿宋" w:eastAsia="仿宋" w:cs="宋体"/>
                <w:bCs/>
                <w:color w:val="auto"/>
                <w:kern w:val="0"/>
                <w:sz w:val="32"/>
                <w:szCs w:val="32"/>
                <w:highlight w:val="none"/>
              </w:rPr>
            </w:pPr>
          </w:p>
        </w:tc>
        <w:tc>
          <w:tcPr>
            <w:tcW w:w="1836" w:type="dxa"/>
            <w:vAlign w:val="center"/>
          </w:tcPr>
          <w:p w14:paraId="072B55B4">
            <w:pPr>
              <w:keepNext w:val="0"/>
              <w:keepLines w:val="0"/>
              <w:suppressLineNumbers w:val="0"/>
              <w:spacing w:before="0" w:beforeAutospacing="0" w:after="0" w:afterAutospacing="0" w:line="300" w:lineRule="exact"/>
              <w:ind w:left="0" w:right="0"/>
              <w:rPr>
                <w:rFonts w:hint="default" w:ascii="仿宋" w:hAnsi="仿宋" w:eastAsia="仿宋"/>
                <w:color w:val="auto"/>
                <w:sz w:val="32"/>
                <w:szCs w:val="32"/>
                <w:highlight w:val="none"/>
              </w:rPr>
            </w:pPr>
          </w:p>
        </w:tc>
        <w:tc>
          <w:tcPr>
            <w:tcW w:w="2676" w:type="dxa"/>
            <w:vAlign w:val="center"/>
          </w:tcPr>
          <w:p w14:paraId="4447ED71">
            <w:pPr>
              <w:keepNext w:val="0"/>
              <w:keepLines w:val="0"/>
              <w:suppressLineNumbers w:val="0"/>
              <w:spacing w:before="0" w:beforeAutospacing="0" w:after="0" w:afterAutospacing="0" w:line="300" w:lineRule="exact"/>
              <w:ind w:left="0" w:right="0"/>
              <w:rPr>
                <w:rFonts w:hint="default" w:ascii="仿宋" w:hAnsi="仿宋" w:eastAsia="仿宋"/>
                <w:color w:val="auto"/>
                <w:sz w:val="32"/>
                <w:szCs w:val="32"/>
                <w:highlight w:val="none"/>
              </w:rPr>
            </w:pPr>
          </w:p>
        </w:tc>
      </w:tr>
      <w:tr w14:paraId="2AD86C2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1167" w:type="dxa"/>
            <w:vAlign w:val="center"/>
          </w:tcPr>
          <w:p w14:paraId="5D2864E8">
            <w:pPr>
              <w:keepNext w:val="0"/>
              <w:keepLines w:val="0"/>
              <w:suppressLineNumbers w:val="0"/>
              <w:spacing w:before="0" w:beforeAutospacing="0" w:after="0" w:afterAutospacing="0" w:line="300" w:lineRule="exact"/>
              <w:ind w:left="0" w:right="0"/>
              <w:jc w:val="center"/>
              <w:rPr>
                <w:rFonts w:hint="default" w:ascii="仿宋" w:hAnsi="仿宋" w:eastAsia="仿宋"/>
                <w:color w:val="auto"/>
                <w:sz w:val="32"/>
                <w:szCs w:val="32"/>
                <w:highlight w:val="none"/>
              </w:rPr>
            </w:pPr>
          </w:p>
        </w:tc>
        <w:tc>
          <w:tcPr>
            <w:tcW w:w="3276" w:type="dxa"/>
            <w:vAlign w:val="center"/>
          </w:tcPr>
          <w:p w14:paraId="6F518C24">
            <w:pPr>
              <w:keepNext w:val="0"/>
              <w:keepLines w:val="0"/>
              <w:suppressLineNumbers w:val="0"/>
              <w:spacing w:before="0" w:beforeAutospacing="0" w:after="0" w:afterAutospacing="0" w:line="300" w:lineRule="exact"/>
              <w:ind w:left="0" w:right="0"/>
              <w:rPr>
                <w:rFonts w:hint="default" w:ascii="仿宋" w:hAnsi="仿宋" w:eastAsia="仿宋" w:cs="宋体"/>
                <w:bCs/>
                <w:color w:val="auto"/>
                <w:kern w:val="0"/>
                <w:sz w:val="32"/>
                <w:szCs w:val="32"/>
                <w:highlight w:val="none"/>
              </w:rPr>
            </w:pPr>
          </w:p>
        </w:tc>
        <w:tc>
          <w:tcPr>
            <w:tcW w:w="1836" w:type="dxa"/>
            <w:vAlign w:val="center"/>
          </w:tcPr>
          <w:p w14:paraId="4DE5AE84">
            <w:pPr>
              <w:keepNext w:val="0"/>
              <w:keepLines w:val="0"/>
              <w:suppressLineNumbers w:val="0"/>
              <w:spacing w:before="0" w:beforeAutospacing="0" w:after="0" w:afterAutospacing="0" w:line="300" w:lineRule="exact"/>
              <w:ind w:left="0" w:right="0"/>
              <w:rPr>
                <w:rFonts w:hint="default" w:ascii="仿宋" w:hAnsi="仿宋" w:eastAsia="仿宋"/>
                <w:color w:val="auto"/>
                <w:sz w:val="32"/>
                <w:szCs w:val="32"/>
                <w:highlight w:val="none"/>
              </w:rPr>
            </w:pPr>
          </w:p>
        </w:tc>
        <w:tc>
          <w:tcPr>
            <w:tcW w:w="2676" w:type="dxa"/>
            <w:vAlign w:val="center"/>
          </w:tcPr>
          <w:p w14:paraId="7FEF7A00">
            <w:pPr>
              <w:keepNext w:val="0"/>
              <w:keepLines w:val="0"/>
              <w:suppressLineNumbers w:val="0"/>
              <w:spacing w:before="0" w:beforeAutospacing="0" w:after="0" w:afterAutospacing="0" w:line="300" w:lineRule="exact"/>
              <w:ind w:left="0" w:right="0"/>
              <w:rPr>
                <w:rFonts w:hint="default" w:ascii="仿宋" w:hAnsi="仿宋" w:eastAsia="仿宋"/>
                <w:color w:val="auto"/>
                <w:sz w:val="32"/>
                <w:szCs w:val="32"/>
                <w:highlight w:val="none"/>
              </w:rPr>
            </w:pPr>
          </w:p>
        </w:tc>
      </w:tr>
    </w:tbl>
    <w:p w14:paraId="6F044230">
      <w:pPr>
        <w:spacing w:line="540" w:lineRule="exact"/>
        <w:ind w:firstLine="643" w:firstLineChars="200"/>
        <w:jc w:val="left"/>
        <w:rPr>
          <w:rFonts w:ascii="仿宋" w:hAnsi="仿宋" w:eastAsia="仿宋"/>
          <w:b/>
          <w:color w:val="auto"/>
          <w:sz w:val="32"/>
          <w:szCs w:val="32"/>
          <w:highlight w:val="none"/>
        </w:rPr>
      </w:pPr>
      <w:r>
        <w:rPr>
          <w:rFonts w:hint="eastAsia" w:ascii="仿宋" w:hAnsi="仿宋" w:eastAsia="仿宋"/>
          <w:b/>
          <w:color w:val="auto"/>
          <w:sz w:val="32"/>
          <w:szCs w:val="32"/>
          <w:highlight w:val="none"/>
        </w:rPr>
        <w:t>以上★号条款为招标文件中的所有★号条款，无论是技术指标或文字描述要求，投标人必须逐条如实地书面响应及承诺。</w:t>
      </w:r>
    </w:p>
    <w:p w14:paraId="4CB45E71">
      <w:pPr>
        <w:spacing w:line="540" w:lineRule="exact"/>
        <w:ind w:firstLine="5600" w:firstLineChars="1750"/>
        <w:rPr>
          <w:rFonts w:ascii="仿宋" w:hAnsi="仿宋" w:eastAsia="仿宋"/>
          <w:color w:val="auto"/>
          <w:sz w:val="32"/>
          <w:szCs w:val="32"/>
          <w:highlight w:val="none"/>
        </w:rPr>
      </w:pPr>
      <w:r>
        <w:rPr>
          <w:rFonts w:hint="eastAsia" w:ascii="仿宋" w:hAnsi="仿宋" w:eastAsia="仿宋"/>
          <w:color w:val="auto"/>
          <w:sz w:val="32"/>
          <w:szCs w:val="32"/>
          <w:highlight w:val="none"/>
        </w:rPr>
        <w:t>投标人全称（加盖公章）：</w:t>
      </w:r>
    </w:p>
    <w:p w14:paraId="5C84DFF2">
      <w:pPr>
        <w:spacing w:line="540" w:lineRule="exact"/>
        <w:ind w:firstLine="5600" w:firstLineChars="1750"/>
        <w:rPr>
          <w:rFonts w:ascii="仿宋" w:hAnsi="仿宋" w:eastAsia="仿宋"/>
          <w:color w:val="auto"/>
          <w:sz w:val="32"/>
          <w:szCs w:val="32"/>
          <w:highlight w:val="none"/>
          <w:u w:val="single"/>
        </w:rPr>
      </w:pPr>
      <w:r>
        <w:rPr>
          <w:rFonts w:hint="eastAsia" w:ascii="仿宋" w:hAnsi="仿宋" w:eastAsia="仿宋"/>
          <w:color w:val="auto"/>
          <w:sz w:val="32"/>
          <w:szCs w:val="32"/>
          <w:highlight w:val="none"/>
        </w:rPr>
        <w:t>投标人代表签字：</w:t>
      </w:r>
    </w:p>
    <w:p w14:paraId="418FB7F3">
      <w:pPr>
        <w:spacing w:line="540" w:lineRule="exact"/>
        <w:ind w:firstLine="5600" w:firstLineChars="1750"/>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日   期： </w:t>
      </w:r>
    </w:p>
    <w:p w14:paraId="457B83BD">
      <w:pPr>
        <w:spacing w:line="500" w:lineRule="exact"/>
        <w:rPr>
          <w:rFonts w:ascii="仿宋" w:hAnsi="仿宋" w:eastAsia="仿宋"/>
          <w:b/>
          <w:bCs/>
          <w:color w:val="auto"/>
          <w:sz w:val="32"/>
          <w:szCs w:val="32"/>
          <w:highlight w:val="none"/>
        </w:rPr>
      </w:pPr>
    </w:p>
    <w:p w14:paraId="451500FF">
      <w:pPr>
        <w:pStyle w:val="9"/>
        <w:rPr>
          <w:rFonts w:ascii="仿宋" w:hAnsi="仿宋" w:eastAsia="仿宋"/>
          <w:b/>
          <w:bCs/>
          <w:color w:val="auto"/>
          <w:sz w:val="32"/>
          <w:szCs w:val="32"/>
          <w:highlight w:val="none"/>
        </w:rPr>
      </w:pPr>
    </w:p>
    <w:p w14:paraId="5F076A3C">
      <w:pPr>
        <w:rPr>
          <w:rFonts w:ascii="仿宋" w:hAnsi="仿宋" w:eastAsia="仿宋"/>
          <w:b/>
          <w:bCs/>
          <w:color w:val="auto"/>
          <w:sz w:val="32"/>
          <w:szCs w:val="32"/>
          <w:highlight w:val="none"/>
        </w:rPr>
      </w:pPr>
    </w:p>
    <w:p w14:paraId="6845FA08">
      <w:pPr>
        <w:pStyle w:val="9"/>
        <w:rPr>
          <w:rFonts w:ascii="仿宋" w:hAnsi="仿宋" w:eastAsia="仿宋"/>
          <w:b/>
          <w:bCs/>
          <w:color w:val="auto"/>
          <w:sz w:val="32"/>
          <w:szCs w:val="32"/>
          <w:highlight w:val="none"/>
        </w:rPr>
      </w:pPr>
    </w:p>
    <w:p w14:paraId="2A5C880F">
      <w:pPr>
        <w:rPr>
          <w:rFonts w:ascii="仿宋" w:hAnsi="仿宋" w:eastAsia="仿宋"/>
          <w:b/>
          <w:bCs/>
          <w:color w:val="auto"/>
          <w:sz w:val="32"/>
          <w:szCs w:val="32"/>
          <w:highlight w:val="none"/>
        </w:rPr>
      </w:pPr>
    </w:p>
    <w:p w14:paraId="03E30173">
      <w:pPr>
        <w:pStyle w:val="9"/>
        <w:rPr>
          <w:rFonts w:ascii="仿宋" w:hAnsi="仿宋" w:eastAsia="仿宋"/>
          <w:b/>
          <w:bCs/>
          <w:color w:val="auto"/>
          <w:sz w:val="32"/>
          <w:szCs w:val="32"/>
          <w:highlight w:val="none"/>
        </w:rPr>
      </w:pPr>
    </w:p>
    <w:p w14:paraId="612440AB">
      <w:pPr>
        <w:rPr>
          <w:rFonts w:ascii="仿宋" w:hAnsi="仿宋" w:eastAsia="仿宋"/>
          <w:b/>
          <w:bCs/>
          <w:color w:val="auto"/>
          <w:sz w:val="32"/>
          <w:szCs w:val="32"/>
          <w:highlight w:val="none"/>
        </w:rPr>
      </w:pPr>
    </w:p>
    <w:p w14:paraId="31FF6AC7">
      <w:pPr>
        <w:pStyle w:val="9"/>
        <w:rPr>
          <w:rFonts w:ascii="仿宋" w:hAnsi="仿宋" w:eastAsia="仿宋"/>
          <w:b/>
          <w:bCs/>
          <w:color w:val="auto"/>
          <w:sz w:val="32"/>
          <w:szCs w:val="32"/>
          <w:highlight w:val="none"/>
        </w:rPr>
      </w:pPr>
    </w:p>
    <w:p w14:paraId="1BD0CA35">
      <w:pPr>
        <w:rPr>
          <w:rFonts w:ascii="仿宋" w:hAnsi="仿宋" w:eastAsia="仿宋"/>
          <w:b/>
          <w:bCs/>
          <w:color w:val="auto"/>
          <w:sz w:val="32"/>
          <w:szCs w:val="32"/>
          <w:highlight w:val="none"/>
        </w:rPr>
      </w:pPr>
    </w:p>
    <w:p w14:paraId="5E5A7AE1">
      <w:pPr>
        <w:pStyle w:val="9"/>
        <w:rPr>
          <w:rFonts w:ascii="仿宋" w:hAnsi="仿宋" w:eastAsia="仿宋"/>
          <w:b/>
          <w:bCs/>
          <w:color w:val="auto"/>
          <w:sz w:val="32"/>
          <w:szCs w:val="32"/>
          <w:highlight w:val="none"/>
        </w:rPr>
      </w:pPr>
    </w:p>
    <w:p w14:paraId="18493CDD">
      <w:pPr>
        <w:rPr>
          <w:rFonts w:ascii="仿宋" w:hAnsi="仿宋" w:eastAsia="仿宋"/>
          <w:b/>
          <w:bCs/>
          <w:color w:val="auto"/>
          <w:sz w:val="32"/>
          <w:szCs w:val="32"/>
          <w:highlight w:val="none"/>
        </w:rPr>
      </w:pPr>
    </w:p>
    <w:p w14:paraId="19CE7F8E">
      <w:pPr>
        <w:pStyle w:val="24"/>
        <w:rPr>
          <w:rFonts w:ascii="Times New Roman" w:hAnsi="Times New Roman" w:eastAsia="宋体"/>
          <w:b w:val="0"/>
          <w:bCs/>
          <w:color w:val="auto"/>
          <w:sz w:val="24"/>
          <w:szCs w:val="24"/>
          <w:highlight w:val="none"/>
        </w:rPr>
      </w:pPr>
    </w:p>
    <w:p w14:paraId="5EC01C97">
      <w:pPr>
        <w:spacing w:line="500" w:lineRule="exact"/>
        <w:rPr>
          <w:rFonts w:ascii="仿宋" w:hAnsi="仿宋" w:eastAsia="仿宋"/>
          <w:b/>
          <w:bCs/>
          <w:color w:val="auto"/>
          <w:sz w:val="32"/>
          <w:szCs w:val="32"/>
          <w:highlight w:val="none"/>
        </w:rPr>
      </w:pPr>
    </w:p>
    <w:p w14:paraId="160A05EA">
      <w:pPr>
        <w:spacing w:line="240" w:lineRule="auto"/>
        <w:rPr>
          <w:rFonts w:ascii="仿宋" w:hAnsi="仿宋" w:eastAsia="仿宋"/>
          <w:b/>
          <w:bCs/>
          <w:color w:val="auto"/>
          <w:sz w:val="32"/>
          <w:szCs w:val="32"/>
          <w:highlight w:val="none"/>
        </w:rPr>
      </w:pPr>
      <w:r>
        <w:rPr>
          <w:rFonts w:ascii="仿宋" w:hAnsi="仿宋" w:eastAsia="仿宋"/>
          <w:b/>
          <w:bCs/>
          <w:color w:val="auto"/>
          <w:sz w:val="32"/>
          <w:szCs w:val="32"/>
          <w:highlight w:val="none"/>
        </w:rPr>
        <w:br w:type="page"/>
      </w:r>
    </w:p>
    <w:p w14:paraId="5B2676CC">
      <w:pPr>
        <w:spacing w:line="500" w:lineRule="exact"/>
        <w:rPr>
          <w:rFonts w:hint="eastAsia" w:ascii="仿宋" w:hAnsi="仿宋" w:eastAsia="仿宋"/>
          <w:color w:val="auto"/>
          <w:sz w:val="32"/>
          <w:szCs w:val="32"/>
        </w:rPr>
      </w:pPr>
      <w:r>
        <w:rPr>
          <w:rFonts w:ascii="仿宋" w:hAnsi="仿宋" w:eastAsia="仿宋"/>
          <w:b/>
          <w:bCs/>
          <w:color w:val="auto"/>
          <w:sz w:val="32"/>
          <w:szCs w:val="32"/>
          <w:highlight w:val="none"/>
        </w:rPr>
        <w:t>格式</w:t>
      </w:r>
      <w:r>
        <w:rPr>
          <w:rFonts w:hint="eastAsia" w:ascii="仿宋" w:hAnsi="仿宋" w:eastAsia="仿宋"/>
          <w:b/>
          <w:bCs/>
          <w:color w:val="auto"/>
          <w:sz w:val="32"/>
          <w:szCs w:val="32"/>
          <w:highlight w:val="none"/>
          <w:lang w:val="en-US" w:eastAsia="zh-CN"/>
        </w:rPr>
        <w:t>10</w:t>
      </w:r>
    </w:p>
    <w:p w14:paraId="75123ADC">
      <w:pPr>
        <w:pStyle w:val="9"/>
        <w:jc w:val="center"/>
        <w:rPr>
          <w:rFonts w:hint="eastAsia" w:ascii="仿宋" w:hAnsi="仿宋" w:eastAsia="仿宋"/>
          <w:b/>
          <w:color w:val="auto"/>
          <w:sz w:val="32"/>
          <w:szCs w:val="32"/>
          <w:lang w:val="en-US" w:eastAsia="zh-CN"/>
        </w:rPr>
      </w:pPr>
      <w:r>
        <w:rPr>
          <w:rFonts w:hint="eastAsia" w:ascii="仿宋" w:hAnsi="仿宋" w:eastAsia="仿宋"/>
          <w:b/>
          <w:color w:val="auto"/>
          <w:sz w:val="32"/>
          <w:szCs w:val="32"/>
          <w:lang w:val="en-US" w:eastAsia="zh-CN"/>
        </w:rPr>
        <w:t>技术和商务响应表</w:t>
      </w:r>
    </w:p>
    <w:p w14:paraId="3E325D3D">
      <w:pPr>
        <w:pStyle w:val="9"/>
        <w:jc w:val="center"/>
        <w:rPr>
          <w:rFonts w:hint="eastAsia" w:ascii="仿宋" w:hAnsi="仿宋" w:eastAsia="仿宋"/>
          <w:b/>
          <w:color w:val="auto"/>
          <w:sz w:val="32"/>
          <w:szCs w:val="32"/>
          <w:lang w:val="en-US" w:eastAsia="zh-CN"/>
        </w:rPr>
      </w:pPr>
    </w:p>
    <w:p w14:paraId="7ABC8D03">
      <w:pPr>
        <w:spacing w:line="360" w:lineRule="auto"/>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项目名称：</w:t>
      </w:r>
      <w:r>
        <w:rPr>
          <w:rFonts w:hint="eastAsia" w:ascii="仿宋" w:hAnsi="仿宋" w:eastAsia="仿宋" w:cs="Times New Roman"/>
          <w:color w:val="auto"/>
          <w:kern w:val="2"/>
          <w:sz w:val="32"/>
          <w:szCs w:val="32"/>
          <w:u w:val="single"/>
          <w:lang w:val="en-US" w:eastAsia="zh-CN" w:bidi="ar-SA"/>
        </w:rPr>
        <w:t xml:space="preserve">             </w:t>
      </w:r>
      <w:r>
        <w:rPr>
          <w:rFonts w:hint="eastAsia" w:ascii="仿宋" w:hAnsi="仿宋" w:eastAsia="仿宋" w:cs="Times New Roman"/>
          <w:color w:val="auto"/>
          <w:kern w:val="2"/>
          <w:sz w:val="32"/>
          <w:szCs w:val="32"/>
          <w:lang w:val="en-US" w:eastAsia="zh-CN" w:bidi="ar-SA"/>
        </w:rPr>
        <w:t xml:space="preserve">            </w:t>
      </w:r>
    </w:p>
    <w:p w14:paraId="09B328FF">
      <w:pPr>
        <w:pStyle w:val="9"/>
        <w:ind w:left="0" w:leftChars="0" w:firstLine="0" w:firstLineChars="0"/>
        <w:rPr>
          <w:rFonts w:hint="eastAsia" w:ascii="仿宋" w:hAnsi="仿宋" w:eastAsia="仿宋"/>
          <w:b/>
          <w:color w:val="auto"/>
          <w:sz w:val="32"/>
          <w:szCs w:val="32"/>
          <w:lang w:val="en-US" w:eastAsia="zh-CN"/>
        </w:rPr>
      </w:pPr>
      <w:r>
        <w:rPr>
          <w:rFonts w:hint="eastAsia" w:ascii="仿宋" w:hAnsi="仿宋" w:eastAsia="仿宋" w:cs="Times New Roman"/>
          <w:color w:val="auto"/>
          <w:kern w:val="2"/>
          <w:sz w:val="32"/>
          <w:szCs w:val="32"/>
          <w:lang w:val="en-US" w:eastAsia="zh-CN" w:bidi="ar-SA"/>
        </w:rPr>
        <w:t>招标编号：</w:t>
      </w:r>
      <w:r>
        <w:rPr>
          <w:rFonts w:hint="eastAsia" w:ascii="仿宋" w:hAnsi="仿宋" w:eastAsia="仿宋" w:cs="Times New Roman"/>
          <w:color w:val="auto"/>
          <w:kern w:val="2"/>
          <w:sz w:val="32"/>
          <w:szCs w:val="32"/>
          <w:u w:val="single"/>
          <w:lang w:val="en-US" w:eastAsia="zh-CN" w:bidi="ar-SA"/>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213"/>
        <w:gridCol w:w="1725"/>
        <w:gridCol w:w="2475"/>
        <w:gridCol w:w="1703"/>
      </w:tblGrid>
      <w:tr w14:paraId="47E7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14:paraId="25D738AF">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序号</w:t>
            </w:r>
          </w:p>
        </w:tc>
        <w:tc>
          <w:tcPr>
            <w:tcW w:w="2213" w:type="dxa"/>
            <w:vAlign w:val="center"/>
          </w:tcPr>
          <w:p w14:paraId="6E1A0F5C">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招标文件要求</w:t>
            </w:r>
          </w:p>
        </w:tc>
        <w:tc>
          <w:tcPr>
            <w:tcW w:w="1725" w:type="dxa"/>
            <w:vAlign w:val="center"/>
          </w:tcPr>
          <w:p w14:paraId="112D273F">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响应情况</w:t>
            </w:r>
          </w:p>
        </w:tc>
        <w:tc>
          <w:tcPr>
            <w:tcW w:w="2475" w:type="dxa"/>
            <w:vAlign w:val="center"/>
          </w:tcPr>
          <w:p w14:paraId="717DF4F0">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响应对应的页码</w:t>
            </w:r>
          </w:p>
        </w:tc>
        <w:tc>
          <w:tcPr>
            <w:tcW w:w="1703" w:type="dxa"/>
            <w:vAlign w:val="center"/>
          </w:tcPr>
          <w:p w14:paraId="7D00E4D7">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rPr>
              <w:t>偏离</w:t>
            </w:r>
            <w:r>
              <w:rPr>
                <w:rFonts w:hint="eastAsia" w:ascii="仿宋" w:hAnsi="仿宋" w:eastAsia="仿宋" w:cs="仿宋"/>
                <w:bCs/>
                <w:color w:val="auto"/>
                <w:sz w:val="28"/>
                <w:szCs w:val="28"/>
                <w:lang w:val="en-US" w:eastAsia="zh-CN"/>
              </w:rPr>
              <w:t>情况</w:t>
            </w:r>
          </w:p>
        </w:tc>
      </w:tr>
      <w:tr w14:paraId="71DD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14:paraId="3E8CB30A">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p>
        </w:tc>
        <w:tc>
          <w:tcPr>
            <w:tcW w:w="2213" w:type="dxa"/>
          </w:tcPr>
          <w:p w14:paraId="14095707">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p>
        </w:tc>
        <w:tc>
          <w:tcPr>
            <w:tcW w:w="1725" w:type="dxa"/>
          </w:tcPr>
          <w:p w14:paraId="4C6656A4">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p>
        </w:tc>
        <w:tc>
          <w:tcPr>
            <w:tcW w:w="2475" w:type="dxa"/>
          </w:tcPr>
          <w:p w14:paraId="6ADDDF02">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p>
        </w:tc>
        <w:tc>
          <w:tcPr>
            <w:tcW w:w="1703" w:type="dxa"/>
          </w:tcPr>
          <w:p w14:paraId="1B3428B2">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p>
        </w:tc>
      </w:tr>
      <w:tr w14:paraId="5A5F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14:paraId="1968C1A9">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p>
        </w:tc>
        <w:tc>
          <w:tcPr>
            <w:tcW w:w="2213" w:type="dxa"/>
          </w:tcPr>
          <w:p w14:paraId="343DC601">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p>
        </w:tc>
        <w:tc>
          <w:tcPr>
            <w:tcW w:w="1725" w:type="dxa"/>
          </w:tcPr>
          <w:p w14:paraId="0DE4B5BF">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p>
        </w:tc>
        <w:tc>
          <w:tcPr>
            <w:tcW w:w="2475" w:type="dxa"/>
          </w:tcPr>
          <w:p w14:paraId="25E58405">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p>
        </w:tc>
        <w:tc>
          <w:tcPr>
            <w:tcW w:w="1703" w:type="dxa"/>
          </w:tcPr>
          <w:p w14:paraId="2D37CAF2">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p>
        </w:tc>
      </w:tr>
      <w:tr w14:paraId="05C0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14:paraId="7491B352">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p>
        </w:tc>
        <w:tc>
          <w:tcPr>
            <w:tcW w:w="2213" w:type="dxa"/>
          </w:tcPr>
          <w:p w14:paraId="549D75DD">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p>
        </w:tc>
        <w:tc>
          <w:tcPr>
            <w:tcW w:w="1725" w:type="dxa"/>
          </w:tcPr>
          <w:p w14:paraId="240F661D">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p>
        </w:tc>
        <w:tc>
          <w:tcPr>
            <w:tcW w:w="2475" w:type="dxa"/>
          </w:tcPr>
          <w:p w14:paraId="2DF5C131">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p>
        </w:tc>
        <w:tc>
          <w:tcPr>
            <w:tcW w:w="1703" w:type="dxa"/>
          </w:tcPr>
          <w:p w14:paraId="2C467173">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p>
        </w:tc>
      </w:tr>
      <w:tr w14:paraId="029C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14:paraId="0483CD26">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p>
        </w:tc>
        <w:tc>
          <w:tcPr>
            <w:tcW w:w="2213" w:type="dxa"/>
          </w:tcPr>
          <w:p w14:paraId="292C4611">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p>
        </w:tc>
        <w:tc>
          <w:tcPr>
            <w:tcW w:w="1725" w:type="dxa"/>
          </w:tcPr>
          <w:p w14:paraId="6AB7F9AC">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p>
        </w:tc>
        <w:tc>
          <w:tcPr>
            <w:tcW w:w="2475" w:type="dxa"/>
          </w:tcPr>
          <w:p w14:paraId="47F3A8EF">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p>
        </w:tc>
        <w:tc>
          <w:tcPr>
            <w:tcW w:w="1703" w:type="dxa"/>
          </w:tcPr>
          <w:p w14:paraId="794D106D">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p>
        </w:tc>
      </w:tr>
    </w:tbl>
    <w:p w14:paraId="75354B0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注：</w:t>
      </w:r>
    </w:p>
    <w:p w14:paraId="7978527E">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auto"/>
          <w:kern w:val="0"/>
          <w:sz w:val="28"/>
          <w:szCs w:val="28"/>
          <w:highlight w:val="none"/>
        </w:rPr>
      </w:pPr>
      <w:r>
        <w:rPr>
          <w:rFonts w:hint="eastAsia" w:ascii="仿宋" w:hAnsi="仿宋" w:eastAsia="仿宋" w:cs="仿宋"/>
          <w:b/>
          <w:bCs/>
          <w:color w:val="auto"/>
          <w:sz w:val="28"/>
          <w:szCs w:val="28"/>
          <w:lang w:val="en-US" w:eastAsia="zh-CN"/>
        </w:rPr>
        <w:t>1</w:t>
      </w:r>
      <w:r>
        <w:rPr>
          <w:rFonts w:hint="eastAsia" w:ascii="仿宋" w:hAnsi="仿宋" w:eastAsia="仿宋" w:cs="仿宋"/>
          <w:b/>
          <w:bCs/>
          <w:color w:val="auto"/>
          <w:kern w:val="0"/>
          <w:sz w:val="28"/>
          <w:szCs w:val="28"/>
          <w:highlight w:val="none"/>
          <w:lang w:val="en-US" w:eastAsia="zh-CN"/>
        </w:rPr>
        <w:t>、</w:t>
      </w:r>
      <w:r>
        <w:rPr>
          <w:rFonts w:hint="eastAsia" w:ascii="仿宋" w:hAnsi="仿宋" w:eastAsia="仿宋" w:cs="仿宋"/>
          <w:b/>
          <w:bCs/>
          <w:color w:val="auto"/>
          <w:kern w:val="0"/>
          <w:sz w:val="28"/>
          <w:szCs w:val="28"/>
          <w:highlight w:val="none"/>
        </w:rPr>
        <w:t>投标人应对招标文件技术</w:t>
      </w:r>
      <w:r>
        <w:rPr>
          <w:rFonts w:hint="eastAsia" w:ascii="仿宋" w:hAnsi="仿宋" w:eastAsia="仿宋" w:cs="仿宋"/>
          <w:b/>
          <w:bCs/>
          <w:color w:val="auto"/>
          <w:kern w:val="0"/>
          <w:sz w:val="28"/>
          <w:szCs w:val="28"/>
          <w:highlight w:val="none"/>
          <w:lang w:val="en-US" w:eastAsia="zh-CN"/>
        </w:rPr>
        <w:t>和商务</w:t>
      </w:r>
      <w:r>
        <w:rPr>
          <w:rFonts w:hint="eastAsia" w:ascii="仿宋" w:hAnsi="仿宋" w:eastAsia="仿宋" w:cs="仿宋"/>
          <w:b/>
          <w:bCs/>
          <w:color w:val="auto"/>
          <w:kern w:val="0"/>
          <w:sz w:val="28"/>
          <w:szCs w:val="28"/>
          <w:highlight w:val="none"/>
        </w:rPr>
        <w:t>要求进行逐条响应，列在响应表中。偏离情况请根据实际响应情况列明</w:t>
      </w:r>
      <w:r>
        <w:rPr>
          <w:rFonts w:hint="eastAsia" w:ascii="仿宋" w:hAnsi="仿宋" w:eastAsia="仿宋" w:cs="仿宋"/>
          <w:b/>
          <w:bCs/>
          <w:color w:val="auto"/>
          <w:kern w:val="0"/>
          <w:sz w:val="28"/>
          <w:szCs w:val="28"/>
          <w:highlight w:val="none"/>
          <w:lang w:eastAsia="zh-CN"/>
        </w:rPr>
        <w:t>：</w:t>
      </w:r>
      <w:r>
        <w:rPr>
          <w:rFonts w:hint="eastAsia" w:ascii="仿宋" w:hAnsi="仿宋" w:eastAsia="仿宋" w:cs="仿宋"/>
          <w:b/>
          <w:bCs/>
          <w:color w:val="auto"/>
          <w:kern w:val="0"/>
          <w:sz w:val="28"/>
          <w:szCs w:val="28"/>
          <w:highlight w:val="none"/>
        </w:rPr>
        <w:t>优于的，填写“正偏离”；符合的，填写“无偏离”；低于的，填写“负偏离”。</w:t>
      </w:r>
    </w:p>
    <w:p w14:paraId="4A9EB46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2、如果投标人在投标文件中没有以书面方式对招标文件规定的各项要求和条款提出不满足或不响应或负偏离，则视为投标人能够完全理解并满足本招标文件规定的各相关条款要求。如有不满足或不响应或负偏离，不管是多么微小，投标人都应在投标文件中按上表格式加以如实详细说明，否则，投标人中标后才提出或者被招标人发现的任何负偏离或不响应或不满足均视为成交供应商违约，招标人将取消其中标供应商资格。</w:t>
      </w:r>
    </w:p>
    <w:p w14:paraId="525ABC0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Cs/>
          <w:color w:val="auto"/>
          <w:kern w:val="0"/>
          <w:sz w:val="32"/>
          <w:szCs w:val="32"/>
          <w:highlight w:val="none"/>
          <w:lang w:val="en-US" w:eastAsia="zh-CN"/>
        </w:rPr>
      </w:pPr>
    </w:p>
    <w:p w14:paraId="12DE481B">
      <w:pPr>
        <w:keepNext w:val="0"/>
        <w:keepLines w:val="0"/>
        <w:pageBreakBefore w:val="0"/>
        <w:widowControl/>
        <w:kinsoku/>
        <w:wordWrap/>
        <w:overflowPunct/>
        <w:topLinePunct w:val="0"/>
        <w:autoSpaceDE/>
        <w:autoSpaceDN/>
        <w:bidi w:val="0"/>
        <w:adjustRightInd/>
        <w:snapToGrid/>
        <w:spacing w:line="500" w:lineRule="exact"/>
        <w:ind w:firstLine="3200" w:firstLineChars="1000"/>
        <w:jc w:val="left"/>
        <w:textAlignment w:val="auto"/>
        <w:rPr>
          <w:rFonts w:hint="default" w:ascii="仿宋" w:hAnsi="仿宋" w:eastAsia="仿宋" w:cs="仿宋"/>
          <w:bCs/>
          <w:color w:val="auto"/>
          <w:kern w:val="0"/>
          <w:sz w:val="32"/>
          <w:szCs w:val="32"/>
          <w:highlight w:val="none"/>
          <w:lang w:val="en-US" w:eastAsia="zh-CN"/>
        </w:rPr>
      </w:pPr>
      <w:r>
        <w:rPr>
          <w:rFonts w:hint="eastAsia" w:ascii="仿宋" w:hAnsi="仿宋" w:eastAsia="仿宋" w:cs="仿宋"/>
          <w:bCs/>
          <w:color w:val="auto"/>
          <w:kern w:val="0"/>
          <w:sz w:val="32"/>
          <w:szCs w:val="32"/>
          <w:highlight w:val="none"/>
        </w:rPr>
        <w:t>投标人(全称</w:t>
      </w:r>
      <w:r>
        <w:rPr>
          <w:rFonts w:hint="eastAsia" w:ascii="仿宋" w:hAnsi="仿宋" w:eastAsia="仿宋" w:cs="仿宋"/>
          <w:bCs/>
          <w:color w:val="auto"/>
          <w:kern w:val="0"/>
          <w:sz w:val="32"/>
          <w:szCs w:val="32"/>
          <w:highlight w:val="none"/>
          <w:lang w:val="en-US" w:eastAsia="zh-CN"/>
        </w:rPr>
        <w:t>并</w:t>
      </w:r>
      <w:r>
        <w:rPr>
          <w:rFonts w:hint="eastAsia" w:ascii="仿宋" w:hAnsi="仿宋" w:eastAsia="仿宋" w:cs="仿宋"/>
          <w:bCs/>
          <w:color w:val="auto"/>
          <w:kern w:val="0"/>
          <w:sz w:val="32"/>
          <w:szCs w:val="32"/>
          <w:highlight w:val="none"/>
        </w:rPr>
        <w:t>加盖公章)：</w:t>
      </w:r>
      <w:r>
        <w:rPr>
          <w:rFonts w:hint="eastAsia" w:ascii="仿宋" w:hAnsi="仿宋" w:eastAsia="仿宋" w:cs="仿宋"/>
          <w:bCs/>
          <w:color w:val="auto"/>
          <w:kern w:val="0"/>
          <w:sz w:val="32"/>
          <w:szCs w:val="32"/>
          <w:highlight w:val="none"/>
          <w:u w:val="single"/>
          <w:lang w:val="en-US" w:eastAsia="zh-CN"/>
        </w:rPr>
        <w:t xml:space="preserve">             </w:t>
      </w:r>
      <w:r>
        <w:rPr>
          <w:rFonts w:hint="eastAsia" w:ascii="仿宋" w:hAnsi="仿宋" w:eastAsia="仿宋" w:cs="仿宋"/>
          <w:bCs/>
          <w:color w:val="auto"/>
          <w:kern w:val="0"/>
          <w:sz w:val="32"/>
          <w:szCs w:val="32"/>
          <w:highlight w:val="none"/>
          <w:lang w:val="en-US" w:eastAsia="zh-CN"/>
        </w:rPr>
        <w:t xml:space="preserve">      </w:t>
      </w:r>
    </w:p>
    <w:p w14:paraId="61CDDF7F">
      <w:pPr>
        <w:keepNext w:val="0"/>
        <w:keepLines w:val="0"/>
        <w:pageBreakBefore w:val="0"/>
        <w:widowControl/>
        <w:kinsoku/>
        <w:wordWrap/>
        <w:overflowPunct/>
        <w:topLinePunct w:val="0"/>
        <w:autoSpaceDE/>
        <w:autoSpaceDN/>
        <w:bidi w:val="0"/>
        <w:adjustRightInd/>
        <w:snapToGrid/>
        <w:spacing w:line="500" w:lineRule="exact"/>
        <w:ind w:firstLine="4160" w:firstLineChars="1300"/>
        <w:jc w:val="left"/>
        <w:textAlignment w:val="auto"/>
        <w:rPr>
          <w:rFonts w:hint="default" w:ascii="仿宋" w:hAnsi="仿宋" w:eastAsia="仿宋" w:cs="仿宋"/>
          <w:bCs/>
          <w:color w:val="auto"/>
          <w:kern w:val="0"/>
          <w:sz w:val="32"/>
          <w:szCs w:val="32"/>
          <w:highlight w:val="none"/>
          <w:lang w:val="en-US" w:eastAsia="zh-CN"/>
        </w:rPr>
      </w:pPr>
      <w:r>
        <w:rPr>
          <w:rFonts w:hint="eastAsia" w:ascii="仿宋" w:hAnsi="仿宋" w:eastAsia="仿宋" w:cs="仿宋"/>
          <w:bCs/>
          <w:color w:val="auto"/>
          <w:kern w:val="0"/>
          <w:sz w:val="32"/>
          <w:szCs w:val="32"/>
          <w:highlight w:val="none"/>
        </w:rPr>
        <w:t>投标人代表签字：</w:t>
      </w:r>
      <w:r>
        <w:rPr>
          <w:rFonts w:hint="eastAsia" w:ascii="仿宋" w:hAnsi="仿宋" w:eastAsia="仿宋" w:cs="仿宋"/>
          <w:bCs/>
          <w:color w:val="auto"/>
          <w:kern w:val="0"/>
          <w:sz w:val="32"/>
          <w:szCs w:val="32"/>
          <w:highlight w:val="none"/>
          <w:u w:val="single"/>
          <w:lang w:val="en-US" w:eastAsia="zh-CN"/>
        </w:rPr>
        <w:t xml:space="preserve">                   </w:t>
      </w:r>
      <w:r>
        <w:rPr>
          <w:rFonts w:hint="eastAsia" w:ascii="仿宋" w:hAnsi="仿宋" w:eastAsia="仿宋" w:cs="仿宋"/>
          <w:bCs/>
          <w:color w:val="auto"/>
          <w:kern w:val="0"/>
          <w:sz w:val="32"/>
          <w:szCs w:val="32"/>
          <w:highlight w:val="none"/>
          <w:lang w:val="en-US" w:eastAsia="zh-CN"/>
        </w:rPr>
        <w:t xml:space="preserve">            </w:t>
      </w:r>
    </w:p>
    <w:p w14:paraId="64868915">
      <w:pPr>
        <w:keepNext w:val="0"/>
        <w:keepLines w:val="0"/>
        <w:pageBreakBefore w:val="0"/>
        <w:widowControl/>
        <w:kinsoku/>
        <w:wordWrap/>
        <w:overflowPunct/>
        <w:topLinePunct w:val="0"/>
        <w:autoSpaceDE/>
        <w:autoSpaceDN/>
        <w:bidi w:val="0"/>
        <w:adjustRightInd/>
        <w:snapToGrid/>
        <w:spacing w:line="500" w:lineRule="exact"/>
        <w:ind w:firstLine="4160" w:firstLineChars="1300"/>
        <w:jc w:val="left"/>
        <w:textAlignment w:val="auto"/>
        <w:rPr>
          <w:rFonts w:hint="eastAsia" w:ascii="仿宋" w:hAnsi="仿宋" w:eastAsia="仿宋" w:cs="仿宋"/>
          <w:bCs/>
          <w:color w:val="auto"/>
          <w:kern w:val="0"/>
          <w:sz w:val="28"/>
          <w:szCs w:val="28"/>
          <w:highlight w:val="none"/>
          <w:lang w:val="en-US" w:eastAsia="zh-CN"/>
        </w:rPr>
      </w:pPr>
      <w:r>
        <w:rPr>
          <w:rFonts w:hint="eastAsia" w:ascii="仿宋" w:hAnsi="仿宋" w:eastAsia="仿宋" w:cs="仿宋"/>
          <w:bCs/>
          <w:color w:val="auto"/>
          <w:kern w:val="0"/>
          <w:sz w:val="32"/>
          <w:szCs w:val="32"/>
          <w:highlight w:val="none"/>
        </w:rPr>
        <w:t>日</w:t>
      </w:r>
      <w:r>
        <w:rPr>
          <w:rFonts w:hint="eastAsia" w:ascii="仿宋" w:hAnsi="仿宋" w:eastAsia="仿宋" w:cs="仿宋"/>
          <w:bCs/>
          <w:color w:val="auto"/>
          <w:kern w:val="0"/>
          <w:sz w:val="32"/>
          <w:szCs w:val="32"/>
          <w:highlight w:val="none"/>
          <w:lang w:val="en-US" w:eastAsia="zh-CN"/>
        </w:rPr>
        <w:t xml:space="preserve">  </w:t>
      </w:r>
      <w:r>
        <w:rPr>
          <w:rFonts w:hint="eastAsia" w:ascii="仿宋" w:hAnsi="仿宋" w:eastAsia="仿宋" w:cs="仿宋"/>
          <w:bCs/>
          <w:color w:val="auto"/>
          <w:kern w:val="0"/>
          <w:sz w:val="32"/>
          <w:szCs w:val="32"/>
          <w:highlight w:val="none"/>
        </w:rPr>
        <w:t>期：</w:t>
      </w:r>
      <w:r>
        <w:rPr>
          <w:rFonts w:hint="eastAsia" w:ascii="仿宋" w:hAnsi="仿宋" w:eastAsia="仿宋" w:cs="仿宋"/>
          <w:bCs/>
          <w:color w:val="auto"/>
          <w:kern w:val="0"/>
          <w:sz w:val="32"/>
          <w:szCs w:val="32"/>
          <w:highlight w:val="none"/>
          <w:u w:val="single"/>
          <w:lang w:val="en-US" w:eastAsia="zh-CN"/>
        </w:rPr>
        <w:t xml:space="preserve">                           </w:t>
      </w:r>
      <w:r>
        <w:rPr>
          <w:rFonts w:hint="eastAsia" w:ascii="仿宋" w:hAnsi="仿宋" w:eastAsia="仿宋" w:cs="仿宋"/>
          <w:bCs/>
          <w:color w:val="auto"/>
          <w:kern w:val="0"/>
          <w:sz w:val="32"/>
          <w:szCs w:val="32"/>
          <w:highlight w:val="none"/>
          <w:lang w:val="en-US" w:eastAsia="zh-CN"/>
        </w:rPr>
        <w:t xml:space="preserve">   </w:t>
      </w:r>
      <w:r>
        <w:rPr>
          <w:rFonts w:hint="eastAsia" w:ascii="仿宋" w:hAnsi="仿宋" w:eastAsia="仿宋" w:cs="仿宋"/>
          <w:bCs/>
          <w:color w:val="auto"/>
          <w:kern w:val="0"/>
          <w:sz w:val="28"/>
          <w:szCs w:val="28"/>
          <w:highlight w:val="none"/>
          <w:lang w:val="en-US" w:eastAsia="zh-CN"/>
        </w:rPr>
        <w:t xml:space="preserve">                   </w:t>
      </w:r>
    </w:p>
    <w:p w14:paraId="350EDDF7">
      <w:pPr>
        <w:pStyle w:val="9"/>
        <w:ind w:left="0" w:leftChars="0" w:firstLine="0" w:firstLineChars="0"/>
        <w:rPr>
          <w:rFonts w:hint="eastAsia" w:ascii="仿宋" w:hAnsi="仿宋" w:eastAsia="仿宋"/>
          <w:color w:val="auto"/>
          <w:sz w:val="32"/>
          <w:szCs w:val="32"/>
        </w:rPr>
      </w:pPr>
    </w:p>
    <w:p w14:paraId="31BDE01F">
      <w:pPr>
        <w:spacing w:line="500" w:lineRule="exact"/>
        <w:rPr>
          <w:rFonts w:ascii="仿宋" w:hAnsi="仿宋" w:eastAsia="仿宋"/>
          <w:b/>
          <w:bCs/>
          <w:color w:val="auto"/>
          <w:sz w:val="32"/>
          <w:szCs w:val="32"/>
          <w:highlight w:val="none"/>
        </w:rPr>
      </w:pPr>
    </w:p>
    <w:p w14:paraId="0464EF48">
      <w:pPr>
        <w:spacing w:line="500" w:lineRule="exact"/>
        <w:rPr>
          <w:rFonts w:ascii="仿宋" w:hAnsi="仿宋" w:eastAsia="仿宋"/>
          <w:b/>
          <w:bCs/>
          <w:color w:val="auto"/>
          <w:sz w:val="32"/>
          <w:szCs w:val="32"/>
          <w:highlight w:val="none"/>
        </w:rPr>
      </w:pPr>
    </w:p>
    <w:p w14:paraId="717A059A">
      <w:pPr>
        <w:spacing w:line="500" w:lineRule="exact"/>
        <w:rPr>
          <w:rFonts w:ascii="仿宋" w:hAnsi="仿宋" w:eastAsia="仿宋"/>
          <w:b/>
          <w:bCs/>
          <w:color w:val="auto"/>
          <w:sz w:val="32"/>
          <w:szCs w:val="32"/>
          <w:highlight w:val="none"/>
        </w:rPr>
      </w:pPr>
    </w:p>
    <w:p w14:paraId="5FC94DCF">
      <w:pPr>
        <w:spacing w:line="240" w:lineRule="auto"/>
        <w:rPr>
          <w:rFonts w:ascii="仿宋" w:hAnsi="仿宋" w:eastAsia="仿宋"/>
          <w:b/>
          <w:bCs/>
          <w:color w:val="auto"/>
          <w:sz w:val="32"/>
          <w:szCs w:val="32"/>
          <w:highlight w:val="none"/>
        </w:rPr>
      </w:pPr>
      <w:r>
        <w:rPr>
          <w:rFonts w:ascii="仿宋" w:hAnsi="仿宋" w:eastAsia="仿宋"/>
          <w:b/>
          <w:bCs/>
          <w:color w:val="auto"/>
          <w:sz w:val="32"/>
          <w:szCs w:val="32"/>
          <w:highlight w:val="none"/>
        </w:rPr>
        <w:br w:type="page"/>
      </w:r>
    </w:p>
    <w:p w14:paraId="1E8F4684">
      <w:pPr>
        <w:spacing w:line="500" w:lineRule="exact"/>
        <w:rPr>
          <w:rFonts w:hint="default" w:ascii="仿宋" w:hAnsi="仿宋" w:eastAsia="仿宋"/>
          <w:b/>
          <w:bCs/>
          <w:color w:val="auto"/>
          <w:sz w:val="32"/>
          <w:szCs w:val="32"/>
          <w:highlight w:val="none"/>
          <w:lang w:val="en-US" w:eastAsia="zh-CN"/>
        </w:rPr>
      </w:pPr>
      <w:r>
        <w:rPr>
          <w:rFonts w:ascii="仿宋" w:hAnsi="仿宋" w:eastAsia="仿宋"/>
          <w:b/>
          <w:bCs/>
          <w:color w:val="auto"/>
          <w:sz w:val="32"/>
          <w:szCs w:val="32"/>
          <w:highlight w:val="none"/>
        </w:rPr>
        <w:t>格式</w:t>
      </w:r>
      <w:r>
        <w:rPr>
          <w:rFonts w:hint="eastAsia" w:ascii="仿宋" w:hAnsi="仿宋" w:eastAsia="仿宋"/>
          <w:b/>
          <w:bCs/>
          <w:color w:val="auto"/>
          <w:sz w:val="32"/>
          <w:szCs w:val="32"/>
          <w:highlight w:val="none"/>
          <w:lang w:val="en-US" w:eastAsia="zh-CN"/>
        </w:rPr>
        <w:t>11</w:t>
      </w:r>
    </w:p>
    <w:p w14:paraId="00D74F84">
      <w:pPr>
        <w:pStyle w:val="9"/>
        <w:ind w:left="0" w:leftChars="0" w:firstLine="0" w:firstLineChars="0"/>
        <w:jc w:val="center"/>
        <w:rPr>
          <w:rFonts w:hint="eastAsia" w:ascii="仿宋" w:hAnsi="仿宋" w:eastAsia="仿宋"/>
          <w:b/>
          <w:color w:val="auto"/>
          <w:sz w:val="32"/>
          <w:szCs w:val="32"/>
        </w:rPr>
      </w:pPr>
      <w:r>
        <w:rPr>
          <w:rFonts w:hint="eastAsia" w:ascii="仿宋" w:hAnsi="仿宋" w:eastAsia="仿宋"/>
          <w:b/>
          <w:color w:val="auto"/>
          <w:sz w:val="32"/>
          <w:szCs w:val="32"/>
        </w:rPr>
        <w:t>参加采购活动前</w:t>
      </w:r>
      <w:r>
        <w:rPr>
          <w:rFonts w:hint="eastAsia" w:ascii="仿宋" w:hAnsi="仿宋" w:eastAsia="仿宋"/>
          <w:b/>
          <w:color w:val="auto"/>
          <w:sz w:val="32"/>
          <w:szCs w:val="32"/>
          <w:lang w:val="en-US" w:eastAsia="zh-CN"/>
        </w:rPr>
        <w:t>三</w:t>
      </w:r>
      <w:r>
        <w:rPr>
          <w:rFonts w:hint="eastAsia" w:ascii="仿宋" w:hAnsi="仿宋" w:eastAsia="仿宋"/>
          <w:b/>
          <w:color w:val="auto"/>
          <w:sz w:val="32"/>
          <w:szCs w:val="32"/>
        </w:rPr>
        <w:t>年内在经营活动中没有重大违法记录的</w:t>
      </w:r>
    </w:p>
    <w:p w14:paraId="4385CCB4">
      <w:pPr>
        <w:pStyle w:val="9"/>
        <w:ind w:left="0" w:leftChars="0" w:firstLine="0" w:firstLineChars="0"/>
        <w:jc w:val="center"/>
        <w:rPr>
          <w:rFonts w:hint="eastAsia" w:ascii="仿宋" w:hAnsi="仿宋" w:eastAsia="仿宋"/>
          <w:color w:val="auto"/>
          <w:sz w:val="32"/>
          <w:szCs w:val="32"/>
        </w:rPr>
      </w:pPr>
      <w:r>
        <w:rPr>
          <w:rFonts w:hint="eastAsia" w:ascii="仿宋" w:hAnsi="仿宋" w:eastAsia="仿宋"/>
          <w:b/>
          <w:color w:val="auto"/>
          <w:sz w:val="32"/>
          <w:szCs w:val="32"/>
        </w:rPr>
        <w:t>书面声明</w:t>
      </w:r>
    </w:p>
    <w:p w14:paraId="331BEE65">
      <w:pPr>
        <w:keepNext w:val="0"/>
        <w:keepLines w:val="0"/>
        <w:pageBreakBefore w:val="0"/>
        <w:kinsoku/>
        <w:wordWrap w:val="0"/>
        <w:overflowPunct/>
        <w:topLinePunct w:val="0"/>
        <w:autoSpaceDE/>
        <w:autoSpaceDN/>
        <w:bidi w:val="0"/>
        <w:adjustRightInd/>
        <w:snapToGrid/>
        <w:spacing w:line="50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致</w:t>
      </w:r>
      <w:r>
        <w:rPr>
          <w:rFonts w:hint="eastAsia" w:ascii="仿宋" w:hAnsi="仿宋" w:eastAsia="仿宋" w:cs="仿宋"/>
          <w:color w:val="auto"/>
          <w:sz w:val="32"/>
          <w:szCs w:val="32"/>
          <w:highlight w:val="none"/>
          <w:u w:val="none"/>
        </w:rPr>
        <w:t>：</w:t>
      </w:r>
      <w:r>
        <w:rPr>
          <w:rFonts w:hint="eastAsia" w:ascii="仿宋" w:hAnsi="仿宋" w:eastAsia="仿宋" w:cs="仿宋"/>
          <w:color w:val="auto"/>
          <w:sz w:val="32"/>
          <w:szCs w:val="32"/>
          <w:highlight w:val="none"/>
          <w:u w:val="single"/>
        </w:rPr>
        <w:t>     </w:t>
      </w:r>
      <w:r>
        <w:rPr>
          <w:rFonts w:hint="eastAsia" w:ascii="仿宋" w:hAnsi="仿宋" w:eastAsia="仿宋" w:cs="仿宋"/>
          <w:color w:val="auto"/>
          <w:sz w:val="32"/>
          <w:szCs w:val="32"/>
          <w:highlight w:val="none"/>
          <w:u w:val="single"/>
          <w:lang w:val="en-US" w:eastAsia="zh-CN"/>
        </w:rPr>
        <w:t>招标人</w:t>
      </w:r>
      <w:r>
        <w:rPr>
          <w:rFonts w:hint="eastAsia" w:ascii="仿宋" w:hAnsi="仿宋" w:eastAsia="仿宋" w:cs="仿宋"/>
          <w:color w:val="auto"/>
          <w:sz w:val="32"/>
          <w:szCs w:val="32"/>
          <w:highlight w:val="none"/>
          <w:u w:val="single"/>
        </w:rPr>
        <w:t>      </w:t>
      </w:r>
    </w:p>
    <w:p w14:paraId="650EEF8A">
      <w:pPr>
        <w:keepNext w:val="0"/>
        <w:keepLines w:val="0"/>
        <w:pageBreakBefore w:val="0"/>
        <w:kinsoku/>
        <w:wordWrap w:val="0"/>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参加招标活动前三年内，我方在经营活动中没有重大违法记录，否则产生不利后果由我方承担责任。</w:t>
      </w:r>
    </w:p>
    <w:p w14:paraId="178826F3">
      <w:pPr>
        <w:keepNext w:val="0"/>
        <w:keepLines w:val="0"/>
        <w:pageBreakBefore w:val="0"/>
        <w:kinsoku/>
        <w:wordWrap w:val="0"/>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特此声明。</w:t>
      </w:r>
    </w:p>
    <w:p w14:paraId="245DC8B8">
      <w:pPr>
        <w:keepNext w:val="0"/>
        <w:keepLines w:val="0"/>
        <w:pageBreakBefore w:val="0"/>
        <w:kinsoku/>
        <w:wordWrap w:val="0"/>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highlight w:val="none"/>
        </w:rPr>
      </w:pPr>
    </w:p>
    <w:p w14:paraId="2E87AA9C">
      <w:pPr>
        <w:keepNext w:val="0"/>
        <w:keepLines w:val="0"/>
        <w:pageBreakBefore w:val="0"/>
        <w:kinsoku/>
        <w:wordWrap w:val="0"/>
        <w:overflowPunct/>
        <w:topLinePunct w:val="0"/>
        <w:autoSpaceDE/>
        <w:autoSpaceDN/>
        <w:bidi w:val="0"/>
        <w:adjustRightInd/>
        <w:snapToGrid/>
        <w:spacing w:line="50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注意：</w:t>
      </w:r>
    </w:p>
    <w:p w14:paraId="55059A7B">
      <w:pPr>
        <w:keepNext w:val="0"/>
        <w:keepLines w:val="0"/>
        <w:pageBreakBefore w:val="0"/>
        <w:kinsoku/>
        <w:wordWrap w:val="0"/>
        <w:overflowPunct/>
        <w:topLinePunct w:val="0"/>
        <w:autoSpaceDE/>
        <w:autoSpaceDN/>
        <w:bidi w:val="0"/>
        <w:adjustRightInd/>
        <w:snapToGrid/>
        <w:spacing w:line="50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F319B2F">
      <w:pPr>
        <w:keepNext w:val="0"/>
        <w:keepLines w:val="0"/>
        <w:pageBreakBefore w:val="0"/>
        <w:kinsoku/>
        <w:wordWrap w:val="0"/>
        <w:overflowPunct/>
        <w:topLinePunct w:val="0"/>
        <w:autoSpaceDE/>
        <w:autoSpaceDN/>
        <w:bidi w:val="0"/>
        <w:adjustRightInd/>
        <w:snapToGrid/>
        <w:spacing w:line="500" w:lineRule="exac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28"/>
          <w:szCs w:val="28"/>
          <w:highlight w:val="none"/>
        </w:rPr>
        <w:t>2.请投标人根据实际情况如实声明，否则视为提供虚假材料。</w:t>
      </w:r>
    </w:p>
    <w:p w14:paraId="55061BE3">
      <w:pPr>
        <w:keepNext w:val="0"/>
        <w:keepLines w:val="0"/>
        <w:pageBreakBefore w:val="0"/>
        <w:widowControl/>
        <w:kinsoku/>
        <w:overflowPunct/>
        <w:topLinePunct w:val="0"/>
        <w:autoSpaceDE/>
        <w:autoSpaceDN/>
        <w:bidi w:val="0"/>
        <w:adjustRightInd/>
        <w:snapToGrid/>
        <w:spacing w:line="500" w:lineRule="exact"/>
        <w:ind w:firstLine="652" w:firstLineChars="204"/>
        <w:jc w:val="left"/>
        <w:textAlignment w:val="auto"/>
        <w:rPr>
          <w:rFonts w:hint="eastAsia" w:ascii="宋体" w:hAnsi="宋体" w:cs="宋体"/>
          <w:color w:val="auto"/>
          <w:kern w:val="0"/>
          <w:sz w:val="32"/>
          <w:szCs w:val="32"/>
          <w:highlight w:val="none"/>
        </w:rPr>
      </w:pPr>
    </w:p>
    <w:p w14:paraId="42CDE160">
      <w:pPr>
        <w:keepNext w:val="0"/>
        <w:keepLines w:val="0"/>
        <w:pageBreakBefore w:val="0"/>
        <w:kinsoku/>
        <w:wordWrap w:val="0"/>
        <w:overflowPunct/>
        <w:topLinePunct w:val="0"/>
        <w:autoSpaceDE/>
        <w:autoSpaceDN/>
        <w:bidi w:val="0"/>
        <w:adjustRightInd/>
        <w:snapToGrid/>
        <w:spacing w:line="500" w:lineRule="exact"/>
        <w:textAlignment w:val="auto"/>
        <w:rPr>
          <w:rFonts w:ascii="宋体" w:hAnsi="宋体" w:cs="宋体"/>
          <w:color w:val="auto"/>
          <w:sz w:val="32"/>
          <w:szCs w:val="32"/>
          <w:highlight w:val="none"/>
        </w:rPr>
      </w:pPr>
    </w:p>
    <w:p w14:paraId="60AA4F65">
      <w:pPr>
        <w:keepNext w:val="0"/>
        <w:keepLines w:val="0"/>
        <w:pageBreakBefore w:val="0"/>
        <w:kinsoku/>
        <w:wordWrap w:val="0"/>
        <w:overflowPunct/>
        <w:topLinePunct w:val="0"/>
        <w:autoSpaceDE/>
        <w:autoSpaceDN/>
        <w:bidi w:val="0"/>
        <w:adjustRightInd/>
        <w:snapToGrid/>
        <w:spacing w:line="500" w:lineRule="exact"/>
        <w:textAlignment w:val="auto"/>
        <w:rPr>
          <w:rFonts w:ascii="宋体" w:hAnsi="宋体" w:cs="宋体"/>
          <w:color w:val="auto"/>
          <w:sz w:val="32"/>
          <w:szCs w:val="32"/>
          <w:highlight w:val="none"/>
        </w:rPr>
      </w:pPr>
    </w:p>
    <w:p w14:paraId="611B99E9">
      <w:pPr>
        <w:keepNext w:val="0"/>
        <w:keepLines w:val="0"/>
        <w:pageBreakBefore w:val="0"/>
        <w:kinsoku/>
        <w:wordWrap w:val="0"/>
        <w:overflowPunct/>
        <w:topLinePunct w:val="0"/>
        <w:autoSpaceDE/>
        <w:autoSpaceDN/>
        <w:bidi w:val="0"/>
        <w:adjustRightInd/>
        <w:snapToGrid/>
        <w:spacing w:line="500" w:lineRule="exact"/>
        <w:ind w:firstLine="3200" w:firstLineChars="10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投标人（全称并加盖公章）：</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  </w:t>
      </w:r>
    </w:p>
    <w:p w14:paraId="5A4BAE2A">
      <w:pPr>
        <w:keepNext w:val="0"/>
        <w:keepLines w:val="0"/>
        <w:pageBreakBefore w:val="0"/>
        <w:kinsoku/>
        <w:wordWrap w:val="0"/>
        <w:overflowPunct/>
        <w:topLinePunct w:val="0"/>
        <w:autoSpaceDE/>
        <w:autoSpaceDN/>
        <w:bidi w:val="0"/>
        <w:adjustRightInd/>
        <w:snapToGrid/>
        <w:spacing w:line="500" w:lineRule="exact"/>
        <w:ind w:firstLine="3200" w:firstLineChars="10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投标人代表签字：</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 </w:t>
      </w:r>
    </w:p>
    <w:p w14:paraId="2C9629C6">
      <w:pPr>
        <w:keepNext w:val="0"/>
        <w:keepLines w:val="0"/>
        <w:pageBreakBefore w:val="0"/>
        <w:kinsoku/>
        <w:wordWrap w:val="0"/>
        <w:overflowPunct/>
        <w:topLinePunct w:val="0"/>
        <w:autoSpaceDE/>
        <w:autoSpaceDN/>
        <w:bidi w:val="0"/>
        <w:adjustRightInd/>
        <w:snapToGrid/>
        <w:spacing w:line="500" w:lineRule="exact"/>
        <w:ind w:firstLine="3200" w:firstLineChars="10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日  期：</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w:t>
      </w:r>
    </w:p>
    <w:p w14:paraId="7AE148F6">
      <w:pPr>
        <w:pStyle w:val="9"/>
        <w:rPr>
          <w:rFonts w:hint="eastAsia" w:ascii="仿宋" w:hAnsi="仿宋" w:eastAsia="仿宋"/>
          <w:color w:val="auto"/>
          <w:sz w:val="32"/>
          <w:szCs w:val="32"/>
        </w:rPr>
      </w:pPr>
    </w:p>
    <w:p w14:paraId="2413C77E">
      <w:pPr>
        <w:pStyle w:val="9"/>
        <w:rPr>
          <w:rFonts w:ascii="仿宋" w:hAnsi="仿宋" w:eastAsia="仿宋"/>
          <w:b/>
          <w:bCs/>
          <w:color w:val="auto"/>
          <w:sz w:val="32"/>
          <w:szCs w:val="32"/>
          <w:highlight w:val="none"/>
        </w:rPr>
      </w:pPr>
    </w:p>
    <w:p w14:paraId="66CC47E6">
      <w:pPr>
        <w:rPr>
          <w:rFonts w:ascii="仿宋" w:hAnsi="仿宋" w:eastAsia="仿宋"/>
          <w:b/>
          <w:bCs/>
          <w:color w:val="auto"/>
          <w:sz w:val="32"/>
          <w:szCs w:val="32"/>
          <w:highlight w:val="none"/>
        </w:rPr>
      </w:pPr>
    </w:p>
    <w:p w14:paraId="5A3CDC1A">
      <w:pPr>
        <w:pStyle w:val="9"/>
        <w:rPr>
          <w:color w:val="auto"/>
          <w:highlight w:val="none"/>
        </w:rPr>
      </w:pPr>
    </w:p>
    <w:p w14:paraId="42E4330B">
      <w:pPr>
        <w:spacing w:line="500" w:lineRule="exact"/>
        <w:rPr>
          <w:rFonts w:ascii="仿宋" w:hAnsi="仿宋" w:eastAsia="仿宋"/>
          <w:b/>
          <w:bCs/>
          <w:color w:val="auto"/>
          <w:sz w:val="32"/>
          <w:szCs w:val="32"/>
          <w:highlight w:val="none"/>
        </w:rPr>
      </w:pPr>
    </w:p>
    <w:p w14:paraId="4DE065B8">
      <w:pPr>
        <w:spacing w:line="500" w:lineRule="exact"/>
        <w:rPr>
          <w:rFonts w:ascii="仿宋" w:hAnsi="仿宋" w:eastAsia="仿宋"/>
          <w:b/>
          <w:bCs/>
          <w:color w:val="auto"/>
          <w:sz w:val="32"/>
          <w:szCs w:val="32"/>
          <w:highlight w:val="none"/>
        </w:rPr>
      </w:pPr>
    </w:p>
    <w:p w14:paraId="47FFECE1">
      <w:pPr>
        <w:spacing w:line="500" w:lineRule="exact"/>
        <w:rPr>
          <w:rFonts w:ascii="仿宋" w:hAnsi="仿宋" w:eastAsia="仿宋"/>
          <w:b/>
          <w:bCs/>
          <w:color w:val="auto"/>
          <w:sz w:val="32"/>
          <w:szCs w:val="32"/>
          <w:highlight w:val="none"/>
        </w:rPr>
      </w:pPr>
    </w:p>
    <w:p w14:paraId="64DE0EFE">
      <w:pPr>
        <w:spacing w:line="240" w:lineRule="auto"/>
        <w:rPr>
          <w:rFonts w:ascii="仿宋" w:hAnsi="仿宋" w:eastAsia="仿宋"/>
          <w:b/>
          <w:bCs/>
          <w:color w:val="auto"/>
          <w:sz w:val="32"/>
          <w:szCs w:val="32"/>
          <w:highlight w:val="none"/>
        </w:rPr>
      </w:pPr>
      <w:r>
        <w:rPr>
          <w:rFonts w:ascii="仿宋" w:hAnsi="仿宋" w:eastAsia="仿宋"/>
          <w:b/>
          <w:bCs/>
          <w:color w:val="auto"/>
          <w:sz w:val="32"/>
          <w:szCs w:val="32"/>
          <w:highlight w:val="none"/>
        </w:rPr>
        <w:br w:type="page"/>
      </w:r>
    </w:p>
    <w:p w14:paraId="248D9905">
      <w:pPr>
        <w:spacing w:line="500" w:lineRule="exact"/>
        <w:rPr>
          <w:rFonts w:hint="default" w:ascii="仿宋" w:hAnsi="仿宋" w:eastAsia="仿宋"/>
          <w:b/>
          <w:bCs/>
          <w:color w:val="auto"/>
          <w:sz w:val="32"/>
          <w:szCs w:val="32"/>
          <w:highlight w:val="none"/>
          <w:lang w:val="en-US" w:eastAsia="zh-CN"/>
        </w:rPr>
      </w:pPr>
      <w:r>
        <w:rPr>
          <w:rFonts w:ascii="仿宋" w:hAnsi="仿宋" w:eastAsia="仿宋"/>
          <w:b/>
          <w:bCs/>
          <w:color w:val="auto"/>
          <w:sz w:val="32"/>
          <w:szCs w:val="32"/>
          <w:highlight w:val="none"/>
        </w:rPr>
        <w:t>格式</w:t>
      </w:r>
      <w:r>
        <w:rPr>
          <w:rFonts w:hint="eastAsia" w:ascii="仿宋" w:hAnsi="仿宋" w:eastAsia="仿宋"/>
          <w:b/>
          <w:bCs/>
          <w:color w:val="auto"/>
          <w:sz w:val="32"/>
          <w:szCs w:val="32"/>
          <w:highlight w:val="none"/>
          <w:lang w:val="en-US" w:eastAsia="zh-CN"/>
        </w:rPr>
        <w:t>12</w:t>
      </w:r>
    </w:p>
    <w:p w14:paraId="057EAA3A">
      <w:pPr>
        <w:spacing w:line="500" w:lineRule="exact"/>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投标人提交的其它资料</w:t>
      </w:r>
    </w:p>
    <w:p w14:paraId="35272390">
      <w:pPr>
        <w:spacing w:line="500" w:lineRule="exact"/>
        <w:rPr>
          <w:rFonts w:ascii="仿宋" w:hAnsi="仿宋" w:eastAsia="仿宋"/>
          <w:b/>
          <w:color w:val="auto"/>
          <w:sz w:val="32"/>
          <w:szCs w:val="32"/>
          <w:highlight w:val="none"/>
        </w:rPr>
      </w:pPr>
    </w:p>
    <w:p w14:paraId="6D2E8F44">
      <w:pPr>
        <w:spacing w:line="500" w:lineRule="exact"/>
        <w:ind w:firstLine="640" w:firstLineChars="200"/>
        <w:rPr>
          <w:rFonts w:ascii="仿宋" w:hAnsi="仿宋" w:eastAsia="仿宋"/>
          <w:b/>
          <w:bCs/>
          <w:color w:val="auto"/>
          <w:sz w:val="32"/>
          <w:szCs w:val="32"/>
          <w:highlight w:val="none"/>
        </w:rPr>
      </w:pPr>
      <w:r>
        <w:rPr>
          <w:rFonts w:hint="eastAsia" w:ascii="仿宋" w:hAnsi="仿宋" w:eastAsia="仿宋"/>
          <w:color w:val="auto"/>
          <w:sz w:val="32"/>
          <w:szCs w:val="32"/>
          <w:highlight w:val="none"/>
        </w:rPr>
        <w:t>（投标人认为应提交的其他材料, 可在此附件中提交）</w:t>
      </w:r>
    </w:p>
    <w:p w14:paraId="147F251C">
      <w:pPr>
        <w:spacing w:line="500" w:lineRule="exact"/>
        <w:rPr>
          <w:rFonts w:ascii="仿宋" w:hAnsi="仿宋" w:eastAsia="仿宋"/>
          <w:color w:val="auto"/>
          <w:sz w:val="32"/>
          <w:szCs w:val="32"/>
          <w:highlight w:val="none"/>
        </w:rPr>
      </w:pPr>
    </w:p>
    <w:p w14:paraId="6D6C82A9">
      <w:pPr>
        <w:spacing w:line="500" w:lineRule="exact"/>
        <w:rPr>
          <w:rFonts w:ascii="仿宋" w:hAnsi="仿宋" w:eastAsia="仿宋"/>
          <w:color w:val="auto"/>
          <w:sz w:val="32"/>
          <w:szCs w:val="32"/>
          <w:highlight w:val="none"/>
        </w:rPr>
      </w:pPr>
    </w:p>
    <w:p w14:paraId="098C5433">
      <w:pPr>
        <w:spacing w:line="500" w:lineRule="exact"/>
        <w:rPr>
          <w:rFonts w:ascii="仿宋" w:hAnsi="仿宋" w:eastAsia="仿宋"/>
          <w:color w:val="auto"/>
          <w:sz w:val="32"/>
          <w:szCs w:val="32"/>
          <w:highlight w:val="none"/>
        </w:rPr>
      </w:pPr>
    </w:p>
    <w:p w14:paraId="3F8D0EAA">
      <w:pPr>
        <w:spacing w:line="500" w:lineRule="exact"/>
        <w:rPr>
          <w:rFonts w:ascii="仿宋" w:hAnsi="仿宋" w:eastAsia="仿宋"/>
          <w:color w:val="auto"/>
          <w:sz w:val="32"/>
          <w:szCs w:val="32"/>
          <w:highlight w:val="none"/>
        </w:rPr>
      </w:pPr>
    </w:p>
    <w:p w14:paraId="158B3E21">
      <w:pPr>
        <w:spacing w:line="500" w:lineRule="exact"/>
        <w:ind w:firstLine="5600" w:firstLineChars="1750"/>
        <w:rPr>
          <w:rFonts w:ascii="仿宋" w:hAnsi="仿宋" w:eastAsia="仿宋"/>
          <w:color w:val="auto"/>
          <w:sz w:val="32"/>
          <w:szCs w:val="32"/>
          <w:highlight w:val="none"/>
        </w:rPr>
      </w:pPr>
      <w:r>
        <w:rPr>
          <w:rFonts w:hint="eastAsia" w:ascii="仿宋" w:hAnsi="仿宋" w:eastAsia="仿宋"/>
          <w:color w:val="auto"/>
          <w:sz w:val="32"/>
          <w:szCs w:val="32"/>
          <w:highlight w:val="none"/>
        </w:rPr>
        <w:t>投标人全称(加盖公章)：</w:t>
      </w:r>
    </w:p>
    <w:p w14:paraId="6AD5CDC4">
      <w:pPr>
        <w:spacing w:line="500" w:lineRule="exact"/>
        <w:ind w:firstLine="5600" w:firstLineChars="1750"/>
        <w:rPr>
          <w:rFonts w:ascii="仿宋" w:hAnsi="仿宋" w:eastAsia="仿宋"/>
          <w:color w:val="auto"/>
          <w:sz w:val="32"/>
          <w:szCs w:val="32"/>
          <w:highlight w:val="none"/>
          <w:u w:val="single"/>
        </w:rPr>
      </w:pPr>
      <w:r>
        <w:rPr>
          <w:rFonts w:hint="eastAsia" w:ascii="仿宋" w:hAnsi="仿宋" w:eastAsia="仿宋"/>
          <w:color w:val="auto"/>
          <w:sz w:val="32"/>
          <w:szCs w:val="32"/>
          <w:highlight w:val="none"/>
        </w:rPr>
        <w:t>投标人代表签字：</w:t>
      </w:r>
    </w:p>
    <w:p w14:paraId="1FB05685">
      <w:pPr>
        <w:spacing w:line="500" w:lineRule="exact"/>
        <w:ind w:firstLine="5760" w:firstLineChars="1800"/>
        <w:rPr>
          <w:rFonts w:ascii="仿宋" w:hAnsi="仿宋" w:eastAsia="仿宋"/>
          <w:color w:val="auto"/>
          <w:sz w:val="32"/>
          <w:szCs w:val="32"/>
          <w:highlight w:val="none"/>
        </w:rPr>
      </w:pPr>
      <w:r>
        <w:rPr>
          <w:rFonts w:hint="eastAsia" w:ascii="仿宋" w:hAnsi="仿宋" w:eastAsia="仿宋"/>
          <w:color w:val="auto"/>
          <w:sz w:val="32"/>
          <w:szCs w:val="32"/>
          <w:highlight w:val="none"/>
        </w:rPr>
        <w:t>日          期：</w:t>
      </w:r>
    </w:p>
    <w:p w14:paraId="632C03E4">
      <w:pPr>
        <w:spacing w:line="500" w:lineRule="exact"/>
        <w:rPr>
          <w:rFonts w:hint="eastAsia" w:ascii="仿宋" w:hAnsi="仿宋" w:eastAsia="仿宋"/>
          <w:b/>
          <w:bCs/>
          <w:color w:val="auto"/>
          <w:sz w:val="32"/>
          <w:szCs w:val="32"/>
          <w:highlight w:val="none"/>
        </w:rPr>
      </w:pPr>
    </w:p>
    <w:p w14:paraId="3D951F31">
      <w:pPr>
        <w:spacing w:line="500" w:lineRule="exact"/>
        <w:rPr>
          <w:rFonts w:hint="eastAsia" w:ascii="仿宋" w:hAnsi="仿宋" w:eastAsia="仿宋"/>
          <w:b/>
          <w:bCs/>
          <w:color w:val="auto"/>
          <w:sz w:val="32"/>
          <w:szCs w:val="32"/>
          <w:highlight w:val="none"/>
        </w:rPr>
      </w:pPr>
    </w:p>
    <w:p w14:paraId="3D96C6B4">
      <w:pPr>
        <w:spacing w:line="500" w:lineRule="exact"/>
        <w:rPr>
          <w:rFonts w:hint="eastAsia" w:ascii="仿宋" w:hAnsi="仿宋" w:eastAsia="仿宋"/>
          <w:b/>
          <w:bCs/>
          <w:color w:val="auto"/>
          <w:sz w:val="32"/>
          <w:szCs w:val="32"/>
          <w:highlight w:val="none"/>
        </w:rPr>
      </w:pPr>
    </w:p>
    <w:p w14:paraId="09E4EF0D">
      <w:pPr>
        <w:spacing w:line="500" w:lineRule="exact"/>
        <w:rPr>
          <w:rFonts w:hint="eastAsia" w:ascii="仿宋" w:hAnsi="仿宋" w:eastAsia="仿宋"/>
          <w:b/>
          <w:bCs/>
          <w:color w:val="auto"/>
          <w:sz w:val="32"/>
          <w:szCs w:val="32"/>
          <w:highlight w:val="none"/>
        </w:rPr>
      </w:pPr>
    </w:p>
    <w:p w14:paraId="0AC77E47">
      <w:pPr>
        <w:spacing w:line="500" w:lineRule="exact"/>
        <w:rPr>
          <w:rFonts w:hint="eastAsia" w:ascii="仿宋" w:hAnsi="仿宋" w:eastAsia="仿宋"/>
          <w:b/>
          <w:bCs/>
          <w:color w:val="auto"/>
          <w:sz w:val="32"/>
          <w:szCs w:val="32"/>
          <w:highlight w:val="none"/>
        </w:rPr>
      </w:pPr>
    </w:p>
    <w:p w14:paraId="06BDE94C">
      <w:pPr>
        <w:spacing w:line="500" w:lineRule="exact"/>
        <w:rPr>
          <w:rFonts w:hint="eastAsia" w:ascii="仿宋" w:hAnsi="仿宋" w:eastAsia="仿宋"/>
          <w:b/>
          <w:bCs/>
          <w:color w:val="auto"/>
          <w:sz w:val="32"/>
          <w:szCs w:val="32"/>
          <w:highlight w:val="none"/>
        </w:rPr>
      </w:pPr>
    </w:p>
    <w:p w14:paraId="092EC11D">
      <w:pPr>
        <w:spacing w:line="500" w:lineRule="exact"/>
        <w:rPr>
          <w:rFonts w:hint="eastAsia" w:ascii="仿宋" w:hAnsi="仿宋" w:eastAsia="仿宋"/>
          <w:b/>
          <w:bCs/>
          <w:color w:val="auto"/>
          <w:sz w:val="32"/>
          <w:szCs w:val="32"/>
          <w:highlight w:val="none"/>
        </w:rPr>
      </w:pPr>
    </w:p>
    <w:p w14:paraId="2B06586E">
      <w:pPr>
        <w:spacing w:line="500" w:lineRule="exact"/>
        <w:rPr>
          <w:rFonts w:hint="eastAsia" w:ascii="仿宋" w:hAnsi="仿宋" w:eastAsia="仿宋"/>
          <w:b/>
          <w:bCs/>
          <w:color w:val="auto"/>
          <w:sz w:val="32"/>
          <w:szCs w:val="32"/>
          <w:highlight w:val="none"/>
        </w:rPr>
      </w:pPr>
    </w:p>
    <w:p w14:paraId="046C06C4">
      <w:pPr>
        <w:spacing w:line="500" w:lineRule="exact"/>
        <w:rPr>
          <w:rFonts w:hint="eastAsia" w:ascii="仿宋" w:hAnsi="仿宋" w:eastAsia="仿宋"/>
          <w:b/>
          <w:bCs/>
          <w:color w:val="auto"/>
          <w:sz w:val="32"/>
          <w:szCs w:val="32"/>
          <w:highlight w:val="none"/>
        </w:rPr>
      </w:pPr>
    </w:p>
    <w:p w14:paraId="3FAB2898">
      <w:pPr>
        <w:spacing w:line="500" w:lineRule="exact"/>
        <w:rPr>
          <w:rFonts w:hint="eastAsia" w:ascii="仿宋" w:hAnsi="仿宋" w:eastAsia="仿宋"/>
          <w:b/>
          <w:bCs/>
          <w:color w:val="auto"/>
          <w:sz w:val="32"/>
          <w:szCs w:val="32"/>
          <w:highlight w:val="none"/>
        </w:rPr>
      </w:pPr>
    </w:p>
    <w:p w14:paraId="57DFECE8">
      <w:pPr>
        <w:spacing w:line="500" w:lineRule="exact"/>
        <w:rPr>
          <w:rFonts w:hint="eastAsia" w:ascii="仿宋" w:hAnsi="仿宋" w:eastAsia="仿宋"/>
          <w:b/>
          <w:bCs/>
          <w:color w:val="auto"/>
          <w:sz w:val="32"/>
          <w:szCs w:val="32"/>
          <w:highlight w:val="none"/>
        </w:rPr>
      </w:pPr>
    </w:p>
    <w:p w14:paraId="127539F8">
      <w:pPr>
        <w:spacing w:line="500" w:lineRule="exact"/>
        <w:rPr>
          <w:rFonts w:hint="eastAsia" w:ascii="仿宋" w:hAnsi="仿宋" w:eastAsia="仿宋"/>
          <w:b/>
          <w:bCs/>
          <w:color w:val="auto"/>
          <w:sz w:val="32"/>
          <w:szCs w:val="32"/>
          <w:highlight w:val="none"/>
        </w:rPr>
      </w:pPr>
    </w:p>
    <w:p w14:paraId="65BB7783">
      <w:pPr>
        <w:spacing w:line="500" w:lineRule="exact"/>
        <w:rPr>
          <w:rFonts w:hint="eastAsia" w:ascii="仿宋" w:hAnsi="仿宋" w:eastAsia="仿宋"/>
          <w:b/>
          <w:bCs/>
          <w:color w:val="auto"/>
          <w:sz w:val="32"/>
          <w:szCs w:val="32"/>
          <w:highlight w:val="none"/>
        </w:rPr>
      </w:pPr>
    </w:p>
    <w:p w14:paraId="67F864E3">
      <w:pPr>
        <w:spacing w:line="500" w:lineRule="exact"/>
        <w:rPr>
          <w:rFonts w:hint="eastAsia" w:ascii="仿宋" w:hAnsi="仿宋" w:eastAsia="仿宋"/>
          <w:b/>
          <w:bCs/>
          <w:color w:val="auto"/>
          <w:sz w:val="32"/>
          <w:szCs w:val="32"/>
          <w:highlight w:val="none"/>
        </w:rPr>
      </w:pPr>
    </w:p>
    <w:p w14:paraId="655E4B4B">
      <w:pPr>
        <w:spacing w:line="500" w:lineRule="exact"/>
        <w:rPr>
          <w:rFonts w:hint="eastAsia" w:ascii="仿宋" w:hAnsi="仿宋" w:eastAsia="仿宋"/>
          <w:b/>
          <w:bCs/>
          <w:color w:val="auto"/>
          <w:sz w:val="32"/>
          <w:szCs w:val="32"/>
          <w:highlight w:val="none"/>
        </w:rPr>
      </w:pPr>
    </w:p>
    <w:p w14:paraId="395262C6">
      <w:pPr>
        <w:spacing w:line="240" w:lineRule="auto"/>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br w:type="page"/>
      </w:r>
    </w:p>
    <w:p w14:paraId="1C4A9B33">
      <w:pPr>
        <w:spacing w:line="500" w:lineRule="exact"/>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格式1</w:t>
      </w:r>
      <w:r>
        <w:rPr>
          <w:rFonts w:hint="eastAsia" w:ascii="仿宋" w:hAnsi="仿宋" w:eastAsia="仿宋"/>
          <w:b/>
          <w:bCs/>
          <w:color w:val="auto"/>
          <w:sz w:val="32"/>
          <w:szCs w:val="32"/>
          <w:highlight w:val="none"/>
          <w:lang w:val="en-US" w:eastAsia="zh-CN"/>
        </w:rPr>
        <w:t xml:space="preserve">3  </w:t>
      </w:r>
      <w:r>
        <w:rPr>
          <w:rFonts w:hint="eastAsia" w:ascii="仿宋" w:hAnsi="仿宋" w:eastAsia="仿宋"/>
          <w:b/>
          <w:bCs/>
          <w:color w:val="auto"/>
          <w:sz w:val="32"/>
          <w:szCs w:val="32"/>
          <w:highlight w:val="none"/>
        </w:rPr>
        <w:t>投标人密封条</w:t>
      </w:r>
    </w:p>
    <w:p w14:paraId="00E01417">
      <w:pPr>
        <w:spacing w:line="500" w:lineRule="exact"/>
        <w:rPr>
          <w:rFonts w:ascii="仿宋" w:hAnsi="仿宋" w:eastAsia="仿宋"/>
          <w:color w:val="auto"/>
          <w:sz w:val="32"/>
          <w:szCs w:val="32"/>
          <w:highlight w:val="none"/>
        </w:rPr>
      </w:pPr>
    </w:p>
    <w:p w14:paraId="156CE0B3">
      <w:pPr>
        <w:spacing w:line="500" w:lineRule="exact"/>
        <w:rPr>
          <w:rFonts w:ascii="仿宋" w:hAnsi="仿宋" w:eastAsia="仿宋" w:cs="Arial"/>
          <w:color w:val="auto"/>
          <w:sz w:val="32"/>
          <w:szCs w:val="32"/>
          <w:highlight w:val="none"/>
        </w:rPr>
      </w:pPr>
      <w:r>
        <w:rPr>
          <w:rFonts w:hint="eastAsia" w:ascii="仿宋" w:hAnsi="仿宋" w:eastAsia="仿宋" w:cs="Arial"/>
          <w:color w:val="auto"/>
          <w:sz w:val="32"/>
          <w:szCs w:val="32"/>
          <w:highlight w:val="none"/>
        </w:rPr>
        <w:t>--------------------------------------------------------</w:t>
      </w:r>
    </w:p>
    <w:p w14:paraId="283F0CFE">
      <w:pPr>
        <w:spacing w:line="500" w:lineRule="exact"/>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 xml:space="preserve">    密    封    条</w:t>
      </w:r>
    </w:p>
    <w:tbl>
      <w:tblPr>
        <w:tblStyle w:val="17"/>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1305"/>
        <w:gridCol w:w="2239"/>
        <w:gridCol w:w="1486"/>
        <w:gridCol w:w="2200"/>
      </w:tblGrid>
      <w:tr w14:paraId="6B97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427" w:type="dxa"/>
            <w:vAlign w:val="center"/>
          </w:tcPr>
          <w:p w14:paraId="021946B6">
            <w:pPr>
              <w:keepNext w:val="0"/>
              <w:keepLines w:val="0"/>
              <w:suppressLineNumbers w:val="0"/>
              <w:spacing w:before="0" w:beforeAutospacing="0" w:after="0" w:afterAutospacing="0" w:line="500" w:lineRule="exact"/>
              <w:ind w:left="0" w:right="0"/>
              <w:rPr>
                <w:rFonts w:hint="default" w:ascii="仿宋" w:hAnsi="仿宋" w:eastAsia="仿宋" w:cs="Arial"/>
                <w:color w:val="auto"/>
                <w:kern w:val="0"/>
                <w:sz w:val="32"/>
                <w:szCs w:val="32"/>
                <w:highlight w:val="none"/>
              </w:rPr>
            </w:pPr>
            <w:r>
              <w:rPr>
                <w:rFonts w:hint="eastAsia" w:ascii="仿宋" w:hAnsi="仿宋" w:eastAsia="仿宋" w:cs="Arial"/>
                <w:color w:val="auto"/>
                <w:kern w:val="0"/>
                <w:sz w:val="32"/>
                <w:szCs w:val="32"/>
                <w:highlight w:val="none"/>
              </w:rPr>
              <w:t>送   呈</w:t>
            </w:r>
          </w:p>
        </w:tc>
        <w:tc>
          <w:tcPr>
            <w:tcW w:w="7230" w:type="dxa"/>
            <w:gridSpan w:val="4"/>
            <w:vAlign w:val="center"/>
          </w:tcPr>
          <w:p w14:paraId="4B400C6E">
            <w:pPr>
              <w:keepNext w:val="0"/>
              <w:keepLines w:val="0"/>
              <w:suppressLineNumbers w:val="0"/>
              <w:spacing w:before="0" w:beforeAutospacing="0" w:after="0" w:afterAutospacing="0" w:line="500" w:lineRule="exact"/>
              <w:ind w:left="0" w:right="0"/>
              <w:rPr>
                <w:rFonts w:hint="eastAsia" w:ascii="仿宋" w:hAnsi="仿宋" w:eastAsia="仿宋" w:cs="Arial"/>
                <w:color w:val="auto"/>
                <w:kern w:val="0"/>
                <w:sz w:val="32"/>
                <w:szCs w:val="32"/>
                <w:highlight w:val="none"/>
                <w:lang w:eastAsia="zh-CN"/>
              </w:rPr>
            </w:pPr>
            <w:r>
              <w:rPr>
                <w:rFonts w:hint="eastAsia" w:ascii="仿宋" w:hAnsi="仿宋" w:eastAsia="仿宋" w:cs="Arial"/>
                <w:color w:val="auto"/>
                <w:kern w:val="0"/>
                <w:sz w:val="32"/>
                <w:szCs w:val="32"/>
                <w:highlight w:val="none"/>
                <w:lang w:eastAsia="zh-CN"/>
              </w:rPr>
              <w:t>厦门国贸物业服务有限公司</w:t>
            </w:r>
          </w:p>
        </w:tc>
      </w:tr>
      <w:tr w14:paraId="4E75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27" w:type="dxa"/>
            <w:vAlign w:val="center"/>
          </w:tcPr>
          <w:p w14:paraId="20627EFE">
            <w:pPr>
              <w:keepNext w:val="0"/>
              <w:keepLines w:val="0"/>
              <w:suppressLineNumbers w:val="0"/>
              <w:spacing w:before="0" w:beforeAutospacing="0" w:after="0" w:afterAutospacing="0" w:line="500" w:lineRule="exact"/>
              <w:ind w:left="0" w:right="0"/>
              <w:rPr>
                <w:rFonts w:hint="default" w:ascii="仿宋" w:hAnsi="仿宋" w:eastAsia="仿宋" w:cs="Arial"/>
                <w:color w:val="auto"/>
                <w:kern w:val="0"/>
                <w:sz w:val="32"/>
                <w:szCs w:val="32"/>
                <w:highlight w:val="none"/>
              </w:rPr>
            </w:pPr>
            <w:r>
              <w:rPr>
                <w:rFonts w:hint="eastAsia" w:ascii="仿宋" w:hAnsi="仿宋" w:eastAsia="仿宋" w:cs="Arial"/>
                <w:color w:val="auto"/>
                <w:kern w:val="0"/>
                <w:sz w:val="32"/>
                <w:szCs w:val="32"/>
                <w:highlight w:val="none"/>
              </w:rPr>
              <w:t>项目名称</w:t>
            </w:r>
          </w:p>
        </w:tc>
        <w:tc>
          <w:tcPr>
            <w:tcW w:w="3544" w:type="dxa"/>
            <w:gridSpan w:val="2"/>
            <w:vAlign w:val="center"/>
          </w:tcPr>
          <w:p w14:paraId="3DCB7A09">
            <w:pPr>
              <w:keepNext w:val="0"/>
              <w:keepLines w:val="0"/>
              <w:suppressLineNumbers w:val="0"/>
              <w:spacing w:before="0" w:beforeAutospacing="0" w:after="0" w:afterAutospacing="0" w:line="500" w:lineRule="exact"/>
              <w:ind w:left="0" w:right="0"/>
              <w:rPr>
                <w:rFonts w:hint="default" w:ascii="仿宋" w:hAnsi="仿宋" w:eastAsia="仿宋" w:cs="仿宋"/>
                <w:bCs/>
                <w:color w:val="auto"/>
                <w:sz w:val="30"/>
                <w:szCs w:val="30"/>
                <w:highlight w:val="none"/>
                <w:lang w:val="en-US" w:eastAsia="zh-CN"/>
              </w:rPr>
            </w:pPr>
            <w:r>
              <w:rPr>
                <w:rFonts w:hint="eastAsia" w:ascii="仿宋" w:hAnsi="仿宋" w:eastAsia="仿宋" w:cs="仿宋"/>
                <w:bCs/>
                <w:color w:val="auto"/>
                <w:sz w:val="32"/>
                <w:szCs w:val="32"/>
                <w:highlight w:val="none"/>
                <w:lang w:val="en-US" w:eastAsia="zh-CN"/>
              </w:rPr>
              <w:t>成都海上蓉屿</w:t>
            </w:r>
            <w:r>
              <w:rPr>
                <w:rFonts w:hint="eastAsia" w:ascii="仿宋" w:hAnsi="仿宋" w:eastAsia="仿宋" w:cs="仿宋"/>
                <w:bCs/>
                <w:color w:val="auto"/>
                <w:sz w:val="32"/>
                <w:szCs w:val="32"/>
                <w:highlight w:val="none"/>
                <w:lang w:val="zh-CN"/>
              </w:rPr>
              <w:t>项目</w:t>
            </w:r>
            <w:r>
              <w:rPr>
                <w:rFonts w:hint="eastAsia" w:ascii="仿宋" w:hAnsi="仿宋" w:eastAsia="仿宋" w:cs="仿宋"/>
                <w:bCs/>
                <w:color w:val="auto"/>
                <w:sz w:val="32"/>
                <w:szCs w:val="32"/>
                <w:highlight w:val="none"/>
                <w:lang w:val="en-US" w:eastAsia="zh-CN"/>
              </w:rPr>
              <w:t>第三方模拟验收服务（第二次）</w:t>
            </w:r>
          </w:p>
        </w:tc>
        <w:tc>
          <w:tcPr>
            <w:tcW w:w="1486" w:type="dxa"/>
            <w:vAlign w:val="center"/>
          </w:tcPr>
          <w:p w14:paraId="160A4338">
            <w:pPr>
              <w:keepNext w:val="0"/>
              <w:keepLines w:val="0"/>
              <w:suppressLineNumbers w:val="0"/>
              <w:spacing w:before="0" w:beforeAutospacing="0" w:after="0" w:afterAutospacing="0" w:line="500" w:lineRule="exact"/>
              <w:ind w:left="0" w:right="0"/>
              <w:rPr>
                <w:rFonts w:hint="default" w:ascii="仿宋" w:hAnsi="仿宋" w:eastAsia="仿宋" w:cs="Arial"/>
                <w:color w:val="auto"/>
                <w:kern w:val="0"/>
                <w:sz w:val="32"/>
                <w:szCs w:val="32"/>
                <w:highlight w:val="none"/>
              </w:rPr>
            </w:pPr>
            <w:r>
              <w:rPr>
                <w:rFonts w:hint="eastAsia" w:ascii="仿宋" w:hAnsi="仿宋" w:eastAsia="仿宋" w:cs="Arial"/>
                <w:color w:val="auto"/>
                <w:kern w:val="0"/>
                <w:sz w:val="32"/>
                <w:szCs w:val="32"/>
                <w:highlight w:val="none"/>
              </w:rPr>
              <w:t>招标编号</w:t>
            </w:r>
          </w:p>
        </w:tc>
        <w:tc>
          <w:tcPr>
            <w:tcW w:w="2200" w:type="dxa"/>
            <w:vAlign w:val="center"/>
          </w:tcPr>
          <w:p w14:paraId="0BBEA11B">
            <w:pPr>
              <w:keepNext w:val="0"/>
              <w:keepLines w:val="0"/>
              <w:suppressLineNumbers w:val="0"/>
              <w:spacing w:before="0" w:beforeAutospacing="0" w:after="0" w:afterAutospacing="0" w:line="500" w:lineRule="exact"/>
              <w:ind w:left="0" w:right="0"/>
              <w:rPr>
                <w:rFonts w:hint="default" w:ascii="仿宋" w:hAnsi="仿宋" w:eastAsia="仿宋" w:cs="Arial"/>
                <w:color w:val="auto"/>
                <w:kern w:val="0"/>
                <w:sz w:val="32"/>
                <w:szCs w:val="32"/>
                <w:highlight w:val="none"/>
                <w:lang w:val="en-US" w:eastAsia="zh-CN"/>
              </w:rPr>
            </w:pPr>
            <w:r>
              <w:rPr>
                <w:rFonts w:hint="default" w:ascii="仿宋" w:hAnsi="仿宋" w:eastAsia="仿宋" w:cs="Arial"/>
                <w:color w:val="auto"/>
                <w:kern w:val="0"/>
                <w:sz w:val="32"/>
                <w:szCs w:val="32"/>
                <w:highlight w:val="none"/>
                <w:lang w:val="en-US" w:eastAsia="zh-CN"/>
              </w:rPr>
              <w:t>GMWY-202</w:t>
            </w:r>
            <w:r>
              <w:rPr>
                <w:rFonts w:hint="eastAsia" w:ascii="仿宋" w:hAnsi="仿宋" w:eastAsia="仿宋" w:cs="Arial"/>
                <w:color w:val="auto"/>
                <w:kern w:val="0"/>
                <w:sz w:val="32"/>
                <w:szCs w:val="32"/>
                <w:highlight w:val="none"/>
                <w:lang w:val="en-US" w:eastAsia="zh-CN"/>
              </w:rPr>
              <w:t>6</w:t>
            </w:r>
            <w:r>
              <w:rPr>
                <w:rFonts w:hint="default" w:ascii="仿宋" w:hAnsi="仿宋" w:eastAsia="仿宋" w:cs="Arial"/>
                <w:color w:val="auto"/>
                <w:kern w:val="0"/>
                <w:sz w:val="32"/>
                <w:szCs w:val="32"/>
                <w:highlight w:val="none"/>
                <w:lang w:val="en-US" w:eastAsia="zh-CN"/>
              </w:rPr>
              <w:t>-0</w:t>
            </w:r>
            <w:r>
              <w:rPr>
                <w:rFonts w:hint="eastAsia" w:ascii="仿宋" w:hAnsi="仿宋" w:eastAsia="仿宋" w:cs="Arial"/>
                <w:color w:val="auto"/>
                <w:kern w:val="0"/>
                <w:sz w:val="32"/>
                <w:szCs w:val="32"/>
                <w:highlight w:val="none"/>
                <w:lang w:val="en-US" w:eastAsia="zh-CN"/>
              </w:rPr>
              <w:t>3</w:t>
            </w:r>
          </w:p>
        </w:tc>
      </w:tr>
      <w:tr w14:paraId="1699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427" w:type="dxa"/>
            <w:vAlign w:val="center"/>
          </w:tcPr>
          <w:p w14:paraId="62965FEE">
            <w:pPr>
              <w:keepNext w:val="0"/>
              <w:keepLines w:val="0"/>
              <w:suppressLineNumbers w:val="0"/>
              <w:spacing w:before="0" w:beforeAutospacing="0" w:after="0" w:afterAutospacing="0" w:line="500" w:lineRule="exact"/>
              <w:ind w:left="0" w:right="0"/>
              <w:rPr>
                <w:rFonts w:hint="default" w:ascii="仿宋" w:hAnsi="仿宋" w:eastAsia="仿宋" w:cs="Arial"/>
                <w:color w:val="auto"/>
                <w:kern w:val="0"/>
                <w:sz w:val="32"/>
                <w:szCs w:val="32"/>
                <w:highlight w:val="none"/>
              </w:rPr>
            </w:pPr>
            <w:r>
              <w:rPr>
                <w:rFonts w:hint="eastAsia" w:ascii="仿宋" w:hAnsi="仿宋" w:eastAsia="仿宋" w:cs="Arial"/>
                <w:color w:val="auto"/>
                <w:kern w:val="0"/>
                <w:sz w:val="32"/>
                <w:szCs w:val="32"/>
                <w:highlight w:val="none"/>
              </w:rPr>
              <w:t>截标日期</w:t>
            </w:r>
          </w:p>
        </w:tc>
        <w:tc>
          <w:tcPr>
            <w:tcW w:w="7230" w:type="dxa"/>
            <w:gridSpan w:val="4"/>
            <w:vAlign w:val="center"/>
          </w:tcPr>
          <w:p w14:paraId="20B855F4">
            <w:pPr>
              <w:keepNext w:val="0"/>
              <w:keepLines w:val="0"/>
              <w:suppressLineNumbers w:val="0"/>
              <w:spacing w:before="0" w:beforeAutospacing="0" w:after="0" w:afterAutospacing="0" w:line="500" w:lineRule="exact"/>
              <w:ind w:left="0" w:right="0"/>
              <w:rPr>
                <w:rFonts w:hint="default" w:ascii="仿宋" w:hAnsi="仿宋" w:eastAsia="仿宋" w:cs="Arial"/>
                <w:color w:val="auto"/>
                <w:kern w:val="0"/>
                <w:sz w:val="32"/>
                <w:szCs w:val="32"/>
                <w:highlight w:val="none"/>
              </w:rPr>
            </w:pPr>
            <w:r>
              <w:rPr>
                <w:rFonts w:hint="eastAsia" w:ascii="仿宋" w:hAnsi="仿宋" w:eastAsia="仿宋" w:cs="Arial"/>
                <w:color w:val="auto"/>
                <w:kern w:val="0"/>
                <w:sz w:val="32"/>
                <w:szCs w:val="32"/>
                <w:highlight w:val="none"/>
              </w:rPr>
              <w:t>年月日分止</w:t>
            </w:r>
          </w:p>
        </w:tc>
      </w:tr>
      <w:tr w14:paraId="6735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732" w:type="dxa"/>
            <w:gridSpan w:val="2"/>
            <w:vAlign w:val="center"/>
          </w:tcPr>
          <w:p w14:paraId="1C66A0D3">
            <w:pPr>
              <w:keepNext w:val="0"/>
              <w:keepLines w:val="0"/>
              <w:suppressLineNumbers w:val="0"/>
              <w:spacing w:before="0" w:beforeAutospacing="0" w:after="0" w:afterAutospacing="0" w:line="500" w:lineRule="exact"/>
              <w:ind w:left="0" w:right="0"/>
              <w:rPr>
                <w:rFonts w:hint="default" w:ascii="仿宋" w:hAnsi="仿宋" w:eastAsia="仿宋" w:cs="Arial"/>
                <w:color w:val="auto"/>
                <w:kern w:val="0"/>
                <w:sz w:val="32"/>
                <w:szCs w:val="32"/>
                <w:highlight w:val="none"/>
              </w:rPr>
            </w:pPr>
            <w:r>
              <w:rPr>
                <w:rFonts w:hint="eastAsia" w:ascii="仿宋" w:hAnsi="仿宋" w:eastAsia="仿宋" w:cs="Arial"/>
                <w:color w:val="auto"/>
                <w:kern w:val="0"/>
                <w:sz w:val="32"/>
                <w:szCs w:val="32"/>
                <w:highlight w:val="none"/>
              </w:rPr>
              <w:t>报价单位名称（加盖密封章或公章）</w:t>
            </w:r>
          </w:p>
        </w:tc>
        <w:tc>
          <w:tcPr>
            <w:tcW w:w="5925" w:type="dxa"/>
            <w:gridSpan w:val="3"/>
            <w:vAlign w:val="center"/>
          </w:tcPr>
          <w:p w14:paraId="41A67407">
            <w:pPr>
              <w:keepNext w:val="0"/>
              <w:keepLines w:val="0"/>
              <w:suppressLineNumbers w:val="0"/>
              <w:spacing w:before="0" w:beforeAutospacing="0" w:after="0" w:afterAutospacing="0" w:line="500" w:lineRule="exact"/>
              <w:ind w:left="0" w:right="0"/>
              <w:rPr>
                <w:rFonts w:hint="default" w:ascii="仿宋" w:hAnsi="仿宋" w:eastAsia="仿宋" w:cs="Arial"/>
                <w:color w:val="auto"/>
                <w:kern w:val="0"/>
                <w:sz w:val="32"/>
                <w:szCs w:val="32"/>
                <w:highlight w:val="none"/>
              </w:rPr>
            </w:pPr>
          </w:p>
        </w:tc>
      </w:tr>
    </w:tbl>
    <w:p w14:paraId="47917F3C">
      <w:pPr>
        <w:spacing w:line="500" w:lineRule="exact"/>
        <w:rPr>
          <w:rFonts w:ascii="仿宋" w:hAnsi="仿宋" w:eastAsia="仿宋"/>
          <w:b/>
          <w:color w:val="auto"/>
          <w:sz w:val="32"/>
          <w:szCs w:val="32"/>
          <w:highlight w:val="none"/>
        </w:rPr>
      </w:pPr>
    </w:p>
    <w:p w14:paraId="28389D9A">
      <w:pPr>
        <w:spacing w:line="500" w:lineRule="exact"/>
        <w:rPr>
          <w:rFonts w:ascii="仿宋" w:hAnsi="仿宋" w:eastAsia="仿宋" w:cs="Arial"/>
          <w:color w:val="auto"/>
          <w:sz w:val="32"/>
          <w:szCs w:val="32"/>
          <w:highlight w:val="none"/>
        </w:rPr>
      </w:pPr>
      <w:r>
        <w:rPr>
          <w:rFonts w:hint="eastAsia" w:ascii="仿宋" w:hAnsi="仿宋" w:eastAsia="仿宋" w:cs="Arial"/>
          <w:color w:val="auto"/>
          <w:sz w:val="32"/>
          <w:szCs w:val="32"/>
          <w:highlight w:val="none"/>
        </w:rPr>
        <w:t>--------------------------------------------------------</w:t>
      </w:r>
    </w:p>
    <w:p w14:paraId="70179A9F">
      <w:pPr>
        <w:spacing w:line="500" w:lineRule="exact"/>
        <w:rPr>
          <w:rFonts w:ascii="仿宋" w:hAnsi="仿宋" w:eastAsia="仿宋"/>
          <w:color w:val="auto"/>
          <w:sz w:val="32"/>
          <w:szCs w:val="32"/>
          <w:highlight w:val="none"/>
        </w:rPr>
      </w:pPr>
    </w:p>
    <w:bookmarkEnd w:id="5"/>
    <w:bookmarkEnd w:id="6"/>
    <w:p w14:paraId="19BCA440">
      <w:pPr>
        <w:snapToGrid w:val="0"/>
        <w:spacing w:line="500" w:lineRule="exact"/>
        <w:ind w:left="794" w:leftChars="378" w:firstLine="321" w:firstLineChars="100"/>
        <w:rPr>
          <w:rFonts w:ascii="仿宋" w:hAnsi="仿宋" w:eastAsia="仿宋"/>
          <w:b/>
          <w:color w:val="auto"/>
          <w:sz w:val="32"/>
          <w:szCs w:val="32"/>
          <w:highlight w:val="none"/>
          <w:u w:val="single"/>
        </w:rPr>
      </w:pPr>
    </w:p>
    <w:p w14:paraId="39FFB448">
      <w:pPr>
        <w:snapToGrid w:val="0"/>
        <w:spacing w:line="500" w:lineRule="exact"/>
        <w:ind w:left="794" w:leftChars="378" w:firstLine="321" w:firstLineChars="100"/>
        <w:rPr>
          <w:rFonts w:ascii="仿宋" w:hAnsi="仿宋" w:eastAsia="仿宋"/>
          <w:b/>
          <w:color w:val="auto"/>
          <w:sz w:val="32"/>
          <w:szCs w:val="32"/>
          <w:highlight w:val="none"/>
          <w:u w:val="single"/>
        </w:rPr>
      </w:pPr>
    </w:p>
    <w:p w14:paraId="50A7D5E6">
      <w:pPr>
        <w:snapToGrid w:val="0"/>
        <w:spacing w:line="500" w:lineRule="exact"/>
        <w:ind w:left="794" w:leftChars="378" w:firstLine="321" w:firstLineChars="100"/>
        <w:rPr>
          <w:rFonts w:ascii="仿宋" w:hAnsi="仿宋" w:eastAsia="仿宋"/>
          <w:b/>
          <w:color w:val="auto"/>
          <w:sz w:val="32"/>
          <w:szCs w:val="32"/>
          <w:highlight w:val="none"/>
          <w:u w:val="single"/>
        </w:rPr>
      </w:pPr>
    </w:p>
    <w:p w14:paraId="322E68C8">
      <w:pPr>
        <w:snapToGrid w:val="0"/>
        <w:spacing w:line="500" w:lineRule="exact"/>
        <w:ind w:left="794" w:leftChars="378" w:firstLine="321" w:firstLineChars="100"/>
        <w:rPr>
          <w:rFonts w:ascii="仿宋" w:hAnsi="仿宋" w:eastAsia="仿宋"/>
          <w:b/>
          <w:color w:val="auto"/>
          <w:sz w:val="32"/>
          <w:szCs w:val="32"/>
          <w:highlight w:val="none"/>
          <w:u w:val="single"/>
        </w:rPr>
      </w:pPr>
    </w:p>
    <w:p w14:paraId="7253F074">
      <w:pPr>
        <w:snapToGrid w:val="0"/>
        <w:spacing w:line="500" w:lineRule="exact"/>
        <w:ind w:left="794" w:leftChars="378" w:firstLine="321" w:firstLineChars="100"/>
        <w:rPr>
          <w:rFonts w:ascii="仿宋" w:hAnsi="仿宋" w:eastAsia="仿宋"/>
          <w:b/>
          <w:color w:val="auto"/>
          <w:sz w:val="32"/>
          <w:szCs w:val="32"/>
          <w:highlight w:val="none"/>
          <w:u w:val="single"/>
        </w:rPr>
      </w:pPr>
    </w:p>
    <w:p w14:paraId="7A8AD960">
      <w:pPr>
        <w:snapToGrid w:val="0"/>
        <w:spacing w:line="500" w:lineRule="exact"/>
        <w:ind w:left="794" w:leftChars="378" w:firstLine="321" w:firstLineChars="100"/>
        <w:rPr>
          <w:rFonts w:ascii="仿宋" w:hAnsi="仿宋" w:eastAsia="仿宋"/>
          <w:b/>
          <w:color w:val="auto"/>
          <w:sz w:val="32"/>
          <w:szCs w:val="32"/>
          <w:highlight w:val="none"/>
          <w:u w:val="single"/>
        </w:rPr>
      </w:pPr>
    </w:p>
    <w:p w14:paraId="2EBFCDEF">
      <w:pPr>
        <w:snapToGrid w:val="0"/>
        <w:spacing w:line="500" w:lineRule="exact"/>
        <w:ind w:left="794" w:leftChars="378" w:firstLine="321" w:firstLineChars="100"/>
        <w:rPr>
          <w:rFonts w:ascii="仿宋" w:hAnsi="仿宋" w:eastAsia="仿宋"/>
          <w:b/>
          <w:color w:val="auto"/>
          <w:sz w:val="32"/>
          <w:szCs w:val="32"/>
          <w:highlight w:val="none"/>
          <w:u w:val="single"/>
        </w:rPr>
      </w:pPr>
    </w:p>
    <w:p w14:paraId="3157F524">
      <w:pPr>
        <w:snapToGrid w:val="0"/>
        <w:spacing w:line="500" w:lineRule="exact"/>
        <w:ind w:left="794" w:leftChars="378" w:firstLine="321" w:firstLineChars="100"/>
        <w:rPr>
          <w:rFonts w:ascii="仿宋" w:hAnsi="仿宋" w:eastAsia="仿宋"/>
          <w:b/>
          <w:color w:val="auto"/>
          <w:sz w:val="32"/>
          <w:szCs w:val="32"/>
          <w:highlight w:val="none"/>
          <w:u w:val="single"/>
        </w:rPr>
      </w:pPr>
    </w:p>
    <w:p w14:paraId="5357252F">
      <w:pPr>
        <w:snapToGrid w:val="0"/>
        <w:spacing w:line="500" w:lineRule="exact"/>
        <w:ind w:left="794" w:leftChars="378" w:firstLine="321" w:firstLineChars="100"/>
        <w:rPr>
          <w:rFonts w:ascii="仿宋" w:hAnsi="仿宋" w:eastAsia="仿宋"/>
          <w:b/>
          <w:color w:val="auto"/>
          <w:sz w:val="32"/>
          <w:szCs w:val="32"/>
          <w:highlight w:val="none"/>
          <w:u w:val="single"/>
        </w:rPr>
      </w:pPr>
    </w:p>
    <w:p w14:paraId="0DF84956">
      <w:pPr>
        <w:spacing w:line="500" w:lineRule="exact"/>
        <w:rPr>
          <w:rFonts w:hint="eastAsia" w:ascii="仿宋" w:hAnsi="仿宋" w:eastAsia="仿宋"/>
          <w:b/>
          <w:bCs/>
          <w:color w:val="auto"/>
          <w:sz w:val="32"/>
          <w:szCs w:val="32"/>
          <w:highlight w:val="none"/>
        </w:rPr>
      </w:pPr>
    </w:p>
    <w:p w14:paraId="2B5610DC">
      <w:pPr>
        <w:spacing w:line="500" w:lineRule="exact"/>
        <w:rPr>
          <w:rFonts w:hint="eastAsia" w:ascii="仿宋" w:hAnsi="仿宋" w:eastAsia="仿宋"/>
          <w:b/>
          <w:bCs/>
          <w:color w:val="auto"/>
          <w:sz w:val="32"/>
          <w:szCs w:val="32"/>
          <w:highlight w:val="none"/>
        </w:rPr>
      </w:pPr>
    </w:p>
    <w:p w14:paraId="233396A0">
      <w:pPr>
        <w:spacing w:line="500" w:lineRule="exact"/>
        <w:rPr>
          <w:rFonts w:hint="eastAsia" w:ascii="仿宋" w:hAnsi="仿宋" w:eastAsia="仿宋"/>
          <w:b/>
          <w:bCs/>
          <w:color w:val="auto"/>
          <w:sz w:val="32"/>
          <w:szCs w:val="32"/>
          <w:highlight w:val="none"/>
        </w:rPr>
      </w:pPr>
    </w:p>
    <w:p w14:paraId="363C0196">
      <w:pPr>
        <w:spacing w:line="240" w:lineRule="auto"/>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br w:type="page"/>
      </w:r>
    </w:p>
    <w:p w14:paraId="5B63C572">
      <w:pPr>
        <w:spacing w:line="500" w:lineRule="exact"/>
        <w:rPr>
          <w:rFonts w:hint="default" w:ascii="仿宋" w:hAnsi="仿宋" w:eastAsia="仿宋"/>
          <w:b/>
          <w:bCs/>
          <w:color w:val="auto"/>
          <w:sz w:val="32"/>
          <w:szCs w:val="32"/>
          <w:highlight w:val="none"/>
          <w:lang w:val="en-US"/>
        </w:rPr>
      </w:pPr>
      <w:r>
        <w:rPr>
          <w:rFonts w:hint="eastAsia" w:ascii="仿宋" w:hAnsi="仿宋" w:eastAsia="仿宋"/>
          <w:b/>
          <w:bCs/>
          <w:color w:val="auto"/>
          <w:sz w:val="32"/>
          <w:szCs w:val="32"/>
          <w:highlight w:val="none"/>
        </w:rPr>
        <w:t>格式1</w:t>
      </w:r>
      <w:r>
        <w:rPr>
          <w:rFonts w:hint="eastAsia" w:ascii="仿宋" w:hAnsi="仿宋" w:eastAsia="仿宋"/>
          <w:b/>
          <w:bCs/>
          <w:color w:val="auto"/>
          <w:sz w:val="32"/>
          <w:szCs w:val="32"/>
          <w:highlight w:val="none"/>
          <w:lang w:val="en-US" w:eastAsia="zh-CN"/>
        </w:rPr>
        <w:t>4</w:t>
      </w:r>
    </w:p>
    <w:p w14:paraId="7B51908F">
      <w:pPr>
        <w:spacing w:line="500" w:lineRule="exact"/>
        <w:ind w:firstLine="643" w:firstLineChars="200"/>
        <w:rPr>
          <w:rFonts w:ascii="仿宋" w:hAnsi="仿宋" w:eastAsia="仿宋"/>
          <w:b/>
          <w:bCs/>
          <w:color w:val="auto"/>
          <w:sz w:val="32"/>
          <w:szCs w:val="32"/>
          <w:highlight w:val="none"/>
        </w:rPr>
      </w:pPr>
      <w:r>
        <w:rPr>
          <w:rFonts w:hint="eastAsia" w:ascii="仿宋" w:hAnsi="仿宋" w:eastAsia="仿宋"/>
          <w:b/>
          <w:bCs/>
          <w:color w:val="auto"/>
          <w:sz w:val="32"/>
          <w:szCs w:val="32"/>
          <w:highlight w:val="none"/>
          <w:lang w:val="en-US" w:eastAsia="zh-CN"/>
        </w:rPr>
        <w:t>成都海上蓉屿项目第三方单位模拟验收服务合同</w:t>
      </w:r>
      <w:r>
        <w:rPr>
          <w:rFonts w:hint="eastAsia" w:ascii="仿宋" w:hAnsi="仿宋" w:eastAsia="仿宋"/>
          <w:b/>
          <w:bCs/>
          <w:color w:val="auto"/>
          <w:sz w:val="32"/>
          <w:szCs w:val="32"/>
          <w:highlight w:val="none"/>
        </w:rPr>
        <w:t>（参考</w:t>
      </w:r>
      <w:r>
        <w:rPr>
          <w:rFonts w:hint="eastAsia" w:ascii="仿宋" w:hAnsi="仿宋" w:eastAsia="仿宋"/>
          <w:b/>
          <w:bCs/>
          <w:color w:val="auto"/>
          <w:sz w:val="32"/>
          <w:szCs w:val="32"/>
          <w:highlight w:val="none"/>
          <w:lang w:val="en-US" w:eastAsia="zh-CN"/>
        </w:rPr>
        <w:t>文本</w:t>
      </w:r>
      <w:r>
        <w:rPr>
          <w:rFonts w:hint="eastAsia" w:ascii="仿宋" w:hAnsi="仿宋" w:eastAsia="仿宋"/>
          <w:b/>
          <w:bCs/>
          <w:color w:val="auto"/>
          <w:sz w:val="32"/>
          <w:szCs w:val="32"/>
          <w:highlight w:val="none"/>
        </w:rPr>
        <w:t>）</w:t>
      </w:r>
    </w:p>
    <w:p w14:paraId="13F27E8C">
      <w:pPr>
        <w:spacing w:line="360" w:lineRule="auto"/>
        <w:jc w:val="center"/>
        <w:rPr>
          <w:rFonts w:ascii="宋体" w:hAnsi="宋体" w:cs="Arial"/>
          <w:b/>
          <w:color w:val="auto"/>
          <w:sz w:val="24"/>
          <w:highlight w:val="none"/>
        </w:rPr>
      </w:pPr>
      <w:r>
        <w:rPr>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227330</wp:posOffset>
                </wp:positionH>
                <wp:positionV relativeFrom="paragraph">
                  <wp:posOffset>78740</wp:posOffset>
                </wp:positionV>
                <wp:extent cx="1828800" cy="1828800"/>
                <wp:effectExtent l="4445" t="4445" r="10795" b="10795"/>
                <wp:wrapSquare wrapText="bothSides"/>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8D46EAE">
                            <w:pPr>
                              <w:pStyle w:val="24"/>
                              <w:rPr>
                                <w:rFonts w:hint="eastAsia" w:ascii="仿宋" w:hAnsi="仿宋" w:eastAsia="仿宋"/>
                                <w:b/>
                                <w:bCs/>
                                <w:color w:val="000000" w:themeColor="text1"/>
                                <w:sz w:val="32"/>
                                <w:szCs w:val="32"/>
                                <w:lang w:val="en-US" w:eastAsia="zh-CN"/>
                                <w14:textFill>
                                  <w14:solidFill>
                                    <w14:schemeClr w14:val="tx1"/>
                                  </w14:solidFill>
                                </w14:textFill>
                              </w:rPr>
                            </w:pPr>
                            <w:r>
                              <w:rPr>
                                <w:rFonts w:hint="eastAsia" w:ascii="仿宋" w:hAnsi="仿宋" w:eastAsia="仿宋"/>
                                <w:b/>
                                <w:bCs/>
                                <w:color w:val="000000" w:themeColor="text1"/>
                                <w:sz w:val="32"/>
                                <w:szCs w:val="32"/>
                                <w:lang w:val="en-US" w:eastAsia="zh-CN"/>
                                <w14:textFill>
                                  <w14:solidFill>
                                    <w14:schemeClr w14:val="tx1"/>
                                  </w14:solidFill>
                                </w14:textFill>
                              </w:rPr>
                              <w:t>注释：</w:t>
                            </w:r>
                          </w:p>
                          <w:p w14:paraId="080EF89F">
                            <w:pPr>
                              <w:rPr>
                                <w:rFonts w:hint="default"/>
                                <w:lang w:val="en-US" w:eastAsia="zh-CN"/>
                              </w:rPr>
                            </w:pPr>
                            <w:r>
                              <w:rPr>
                                <w:rFonts w:hint="eastAsia" w:ascii="仿宋" w:hAnsi="仿宋" w:eastAsia="仿宋"/>
                                <w:b/>
                                <w:bCs/>
                                <w:color w:val="000000" w:themeColor="text1"/>
                                <w:sz w:val="32"/>
                                <w:szCs w:val="32"/>
                                <w:lang w:val="en-US" w:eastAsia="zh-CN"/>
                                <w14:textFill>
                                  <w14:solidFill>
                                    <w14:schemeClr w14:val="tx1"/>
                                  </w14:solidFill>
                                </w14:textFill>
                              </w:rPr>
                              <w:t xml:space="preserve">   本格式条款仅作为双方签订合同的参考，为阐明各方的权利和义务，经协商可增加新的条款、修改相关条款，但不得与招标文件投标文件的实质性内容相背离。</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7.9pt;margin-top:6.2pt;height:144pt;width:144pt;mso-wrap-distance-bottom:0pt;mso-wrap-distance-left:9pt;mso-wrap-distance-right:9pt;mso-wrap-distance-top:0pt;mso-wrap-style:none;z-index:251659264;mso-width-relative:page;mso-height-relative:page;" fillcolor="#FFFFFF [3201]" filled="t" stroked="t" coordsize="21600,21600" o:gfxdata="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JfQEi9YAAAAJAQAADwAA&#10;AAAAAAABACAAAAAiAAAAZHJzL2Rvd25yZXYueG1sUEsBAhQAFAAAAAgAh07iQH5fk9BRAgAAtgQA&#10;AA4AAAAAAAAAAQAgAAAAJQEAAGRycy9lMm9Eb2MueG1sUEsFBgAAAAAGAAYAWQEAAOgFAAAAAA==&#10;">
                <v:fill on="t" focussize="0,0"/>
                <v:stroke weight="0.5pt" color="#000000 [3204]" joinstyle="round"/>
                <v:imagedata o:title=""/>
                <o:lock v:ext="edit" aspectratio="f"/>
                <v:textbox style="mso-fit-shape-to-text:t;">
                  <w:txbxContent>
                    <w:p w14:paraId="68D46EAE">
                      <w:pPr>
                        <w:pStyle w:val="24"/>
                        <w:rPr>
                          <w:rFonts w:hint="eastAsia" w:ascii="仿宋" w:hAnsi="仿宋" w:eastAsia="仿宋"/>
                          <w:b/>
                          <w:bCs/>
                          <w:color w:val="000000" w:themeColor="text1"/>
                          <w:sz w:val="32"/>
                          <w:szCs w:val="32"/>
                          <w:lang w:val="en-US" w:eastAsia="zh-CN"/>
                          <w14:textFill>
                            <w14:solidFill>
                              <w14:schemeClr w14:val="tx1"/>
                            </w14:solidFill>
                          </w14:textFill>
                        </w:rPr>
                      </w:pPr>
                      <w:r>
                        <w:rPr>
                          <w:rFonts w:hint="eastAsia" w:ascii="仿宋" w:hAnsi="仿宋" w:eastAsia="仿宋"/>
                          <w:b/>
                          <w:bCs/>
                          <w:color w:val="000000" w:themeColor="text1"/>
                          <w:sz w:val="32"/>
                          <w:szCs w:val="32"/>
                          <w:lang w:val="en-US" w:eastAsia="zh-CN"/>
                          <w14:textFill>
                            <w14:solidFill>
                              <w14:schemeClr w14:val="tx1"/>
                            </w14:solidFill>
                          </w14:textFill>
                        </w:rPr>
                        <w:t>注释：</w:t>
                      </w:r>
                    </w:p>
                    <w:p w14:paraId="080EF89F">
                      <w:pPr>
                        <w:rPr>
                          <w:rFonts w:hint="default"/>
                          <w:lang w:val="en-US" w:eastAsia="zh-CN"/>
                        </w:rPr>
                      </w:pPr>
                      <w:r>
                        <w:rPr>
                          <w:rFonts w:hint="eastAsia" w:ascii="仿宋" w:hAnsi="仿宋" w:eastAsia="仿宋"/>
                          <w:b/>
                          <w:bCs/>
                          <w:color w:val="000000" w:themeColor="text1"/>
                          <w:sz w:val="32"/>
                          <w:szCs w:val="32"/>
                          <w:lang w:val="en-US" w:eastAsia="zh-CN"/>
                          <w14:textFill>
                            <w14:solidFill>
                              <w14:schemeClr w14:val="tx1"/>
                            </w14:solidFill>
                          </w14:textFill>
                        </w:rPr>
                        <w:t xml:space="preserve">   本格式条款仅作为双方签订合同的参考，为阐明各方的权利和义务，经协商可增加新的条款、修改相关条款，但不得与招标文件投标文件的实质性内容相背离。</w:t>
                      </w:r>
                    </w:p>
                  </w:txbxContent>
                </v:textbox>
                <w10:wrap type="square"/>
              </v:shape>
            </w:pict>
          </mc:Fallback>
        </mc:AlternateContent>
      </w:r>
      <w:r>
        <w:rPr>
          <w:rFonts w:hint="eastAsia" w:ascii="宋体" w:hAnsi="宋体" w:cs="Arial"/>
          <w:b/>
          <w:color w:val="auto"/>
          <w:sz w:val="24"/>
          <w:highlight w:val="none"/>
          <w:lang w:val="en-US" w:eastAsia="zh-CN"/>
        </w:rPr>
        <w:t xml:space="preserve">                                                             </w:t>
      </w:r>
      <w:r>
        <w:rPr>
          <w:rFonts w:hint="eastAsia" w:ascii="宋体" w:hAnsi="宋体" w:cs="Arial"/>
          <w:b/>
          <w:color w:val="auto"/>
          <w:sz w:val="24"/>
          <w:highlight w:val="none"/>
        </w:rPr>
        <w:t>合同编号：</w:t>
      </w:r>
    </w:p>
    <w:p w14:paraId="6FE3BE56">
      <w:pPr>
        <w:spacing w:line="360" w:lineRule="auto"/>
        <w:rPr>
          <w:rFonts w:ascii="宋体" w:hAnsi="宋体"/>
          <w:b/>
          <w:color w:val="auto"/>
          <w:sz w:val="24"/>
          <w:highlight w:val="none"/>
        </w:rPr>
      </w:pPr>
      <w:r>
        <w:rPr>
          <w:rFonts w:hint="eastAsia" w:ascii="宋体" w:hAnsi="宋体"/>
          <w:b/>
          <w:color w:val="auto"/>
          <w:sz w:val="24"/>
          <w:highlight w:val="none"/>
        </w:rPr>
        <w:t>甲方：</w:t>
      </w:r>
    </w:p>
    <w:p w14:paraId="489F2DEC">
      <w:pPr>
        <w:spacing w:line="360" w:lineRule="auto"/>
        <w:rPr>
          <w:rFonts w:ascii="宋体" w:hAnsi="宋体"/>
          <w:b/>
          <w:color w:val="auto"/>
          <w:sz w:val="24"/>
          <w:highlight w:val="none"/>
        </w:rPr>
      </w:pPr>
      <w:r>
        <w:rPr>
          <w:rFonts w:hint="eastAsia" w:ascii="宋体" w:hAnsi="宋体"/>
          <w:b/>
          <w:color w:val="auto"/>
          <w:sz w:val="24"/>
          <w:highlight w:val="none"/>
        </w:rPr>
        <w:t>法定代表人：</w:t>
      </w:r>
    </w:p>
    <w:p w14:paraId="21DD264F">
      <w:pPr>
        <w:spacing w:line="360" w:lineRule="auto"/>
        <w:rPr>
          <w:rFonts w:ascii="宋体" w:hAnsi="宋体"/>
          <w:b/>
          <w:color w:val="auto"/>
          <w:sz w:val="24"/>
          <w:highlight w:val="none"/>
        </w:rPr>
      </w:pPr>
      <w:r>
        <w:rPr>
          <w:rFonts w:hint="eastAsia" w:ascii="宋体" w:hAnsi="宋体"/>
          <w:b/>
          <w:color w:val="auto"/>
          <w:sz w:val="24"/>
          <w:highlight w:val="none"/>
        </w:rPr>
        <w:t xml:space="preserve">住所地：    </w:t>
      </w:r>
    </w:p>
    <w:p w14:paraId="78055617">
      <w:pPr>
        <w:spacing w:line="360" w:lineRule="auto"/>
        <w:rPr>
          <w:rFonts w:ascii="宋体" w:hAnsi="宋体"/>
          <w:b/>
          <w:color w:val="auto"/>
          <w:sz w:val="24"/>
          <w:highlight w:val="none"/>
        </w:rPr>
      </w:pPr>
      <w:r>
        <w:rPr>
          <w:rFonts w:hint="eastAsia" w:ascii="宋体" w:hAnsi="宋体"/>
          <w:b/>
          <w:color w:val="auto"/>
          <w:sz w:val="24"/>
          <w:highlight w:val="none"/>
        </w:rPr>
        <w:t>乙方：</w:t>
      </w:r>
    </w:p>
    <w:p w14:paraId="3DAB35E7">
      <w:pPr>
        <w:spacing w:line="360" w:lineRule="auto"/>
        <w:rPr>
          <w:rFonts w:ascii="宋体" w:hAnsi="宋体"/>
          <w:b/>
          <w:color w:val="auto"/>
          <w:sz w:val="24"/>
          <w:highlight w:val="none"/>
        </w:rPr>
      </w:pPr>
      <w:r>
        <w:rPr>
          <w:rFonts w:hint="eastAsia" w:ascii="宋体" w:hAnsi="宋体"/>
          <w:b/>
          <w:color w:val="auto"/>
          <w:sz w:val="24"/>
          <w:highlight w:val="none"/>
        </w:rPr>
        <w:t>法定代表人：</w:t>
      </w:r>
    </w:p>
    <w:p w14:paraId="6C1D393F">
      <w:pPr>
        <w:spacing w:line="360" w:lineRule="auto"/>
        <w:rPr>
          <w:rFonts w:ascii="宋体" w:hAnsi="宋体" w:cs="Arial"/>
          <w:color w:val="auto"/>
          <w:sz w:val="24"/>
          <w:highlight w:val="none"/>
          <w:u w:val="single"/>
        </w:rPr>
      </w:pPr>
      <w:r>
        <w:rPr>
          <w:rFonts w:hint="eastAsia" w:ascii="宋体" w:hAnsi="宋体"/>
          <w:b/>
          <w:color w:val="auto"/>
          <w:sz w:val="24"/>
          <w:highlight w:val="none"/>
        </w:rPr>
        <w:t>住所地：</w:t>
      </w:r>
    </w:p>
    <w:p w14:paraId="118328D1">
      <w:pPr>
        <w:widowControl/>
        <w:spacing w:line="360" w:lineRule="auto"/>
        <w:ind w:firstLine="480" w:firstLineChars="200"/>
        <w:rPr>
          <w:rFonts w:cs="宋体" w:asciiTheme="minorEastAsia" w:hAnsiTheme="minorEastAsia"/>
          <w:color w:val="auto"/>
          <w:spacing w:val="5"/>
          <w:sz w:val="24"/>
          <w:szCs w:val="24"/>
          <w:highlight w:val="none"/>
        </w:rPr>
      </w:pPr>
      <w:r>
        <w:rPr>
          <w:rFonts w:hint="eastAsia" w:ascii="宋体" w:hAnsi="宋体" w:cs="宋体"/>
          <w:color w:val="auto"/>
          <w:kern w:val="0"/>
          <w:sz w:val="24"/>
          <w:szCs w:val="24"/>
          <w:highlight w:val="none"/>
        </w:rPr>
        <w:t>根据</w:t>
      </w:r>
      <w:r>
        <w:rPr>
          <w:rFonts w:ascii="宋体" w:hAnsi="宋体" w:cs="宋体"/>
          <w:color w:val="auto"/>
          <w:kern w:val="0"/>
          <w:sz w:val="24"/>
          <w:szCs w:val="24"/>
          <w:highlight w:val="none"/>
        </w:rPr>
        <w:t>《中华人民共和国</w:t>
      </w:r>
      <w:r>
        <w:rPr>
          <w:rFonts w:hint="eastAsia" w:ascii="宋体" w:hAnsi="宋体" w:cs="宋体"/>
          <w:color w:val="auto"/>
          <w:kern w:val="0"/>
          <w:sz w:val="24"/>
          <w:szCs w:val="24"/>
          <w:highlight w:val="none"/>
        </w:rPr>
        <w:t>民法典</w:t>
      </w:r>
      <w:r>
        <w:rPr>
          <w:rFonts w:ascii="宋体" w:hAnsi="宋体" w:cs="宋体"/>
          <w:color w:val="auto"/>
          <w:kern w:val="0"/>
          <w:sz w:val="24"/>
          <w:szCs w:val="24"/>
          <w:highlight w:val="none"/>
        </w:rPr>
        <w:t>》，结合本</w:t>
      </w:r>
      <w:r>
        <w:rPr>
          <w:rFonts w:hint="eastAsia" w:ascii="宋体" w:hAnsi="宋体" w:cs="宋体"/>
          <w:color w:val="auto"/>
          <w:kern w:val="0"/>
          <w:sz w:val="24"/>
          <w:szCs w:val="24"/>
          <w:highlight w:val="none"/>
        </w:rPr>
        <w:t>项目</w:t>
      </w:r>
      <w:r>
        <w:rPr>
          <w:rFonts w:ascii="宋体" w:hAnsi="宋体" w:cs="宋体"/>
          <w:color w:val="auto"/>
          <w:kern w:val="0"/>
          <w:sz w:val="24"/>
          <w:szCs w:val="24"/>
          <w:highlight w:val="none"/>
        </w:rPr>
        <w:t>具体情况</w:t>
      </w:r>
      <w:r>
        <w:rPr>
          <w:rFonts w:hint="eastAsia" w:ascii="宋体" w:hAnsi="宋体" w:cs="宋体"/>
          <w:color w:val="auto"/>
          <w:kern w:val="0"/>
          <w:sz w:val="24"/>
          <w:szCs w:val="24"/>
          <w:highlight w:val="none"/>
        </w:rPr>
        <w:t>及需求</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甲</w:t>
      </w:r>
      <w:r>
        <w:rPr>
          <w:rFonts w:cs="宋体" w:asciiTheme="minorEastAsia" w:hAnsiTheme="minorEastAsia"/>
          <w:color w:val="auto"/>
          <w:spacing w:val="5"/>
          <w:sz w:val="24"/>
          <w:szCs w:val="24"/>
          <w:highlight w:val="none"/>
        </w:rPr>
        <w:t>方委托乙方对</w:t>
      </w:r>
      <w:r>
        <w:rPr>
          <w:rFonts w:hint="eastAsia" w:cs="宋体" w:asciiTheme="minorEastAsia" w:hAnsiTheme="minorEastAsia"/>
          <w:color w:val="auto"/>
          <w:spacing w:val="5"/>
          <w:sz w:val="24"/>
          <w:szCs w:val="24"/>
          <w:highlight w:val="none"/>
          <w:lang w:val="en-US" w:eastAsia="zh-CN"/>
        </w:rPr>
        <w:t>上海西派海上</w:t>
      </w:r>
      <w:r>
        <w:rPr>
          <w:rFonts w:hint="eastAsia" w:cs="宋体" w:asciiTheme="minorEastAsia" w:hAnsiTheme="minorEastAsia"/>
          <w:color w:val="auto"/>
          <w:spacing w:val="5"/>
          <w:sz w:val="24"/>
          <w:szCs w:val="24"/>
          <w:highlight w:val="none"/>
        </w:rPr>
        <w:t>项目开展</w:t>
      </w:r>
      <w:r>
        <w:rPr>
          <w:rFonts w:cs="宋体" w:asciiTheme="minorEastAsia" w:hAnsiTheme="minorEastAsia"/>
          <w:color w:val="auto"/>
          <w:spacing w:val="5"/>
          <w:sz w:val="24"/>
          <w:szCs w:val="24"/>
          <w:highlight w:val="none"/>
        </w:rPr>
        <w:t>质量检查</w:t>
      </w:r>
      <w:r>
        <w:rPr>
          <w:rFonts w:hint="eastAsia" w:cs="宋体" w:asciiTheme="minorEastAsia" w:hAnsiTheme="minorEastAsia"/>
          <w:color w:val="auto"/>
          <w:spacing w:val="5"/>
          <w:sz w:val="24"/>
          <w:szCs w:val="24"/>
          <w:highlight w:val="none"/>
        </w:rPr>
        <w:t>、整改跟进、验房陪同及集中交付整改等事项，</w:t>
      </w:r>
      <w:r>
        <w:rPr>
          <w:rFonts w:cs="宋体" w:asciiTheme="minorEastAsia" w:hAnsiTheme="minorEastAsia"/>
          <w:color w:val="auto"/>
          <w:spacing w:val="5"/>
          <w:sz w:val="24"/>
          <w:szCs w:val="24"/>
          <w:highlight w:val="none"/>
        </w:rPr>
        <w:t>以保证甲方工程质量达到设计要求及国家相关质量标准，确保业主以较高的满意度顺利</w:t>
      </w:r>
      <w:r>
        <w:rPr>
          <w:rFonts w:hint="eastAsia" w:cs="宋体" w:asciiTheme="minorEastAsia" w:hAnsiTheme="minorEastAsia"/>
          <w:color w:val="auto"/>
          <w:spacing w:val="5"/>
          <w:sz w:val="24"/>
          <w:szCs w:val="24"/>
          <w:highlight w:val="none"/>
        </w:rPr>
        <w:t>办理交付</w:t>
      </w:r>
      <w:r>
        <w:rPr>
          <w:rFonts w:cs="宋体" w:asciiTheme="minorEastAsia" w:hAnsiTheme="minorEastAsia"/>
          <w:color w:val="auto"/>
          <w:spacing w:val="5"/>
          <w:sz w:val="24"/>
          <w:szCs w:val="24"/>
          <w:highlight w:val="none"/>
        </w:rPr>
        <w:t>入住</w:t>
      </w:r>
      <w:r>
        <w:rPr>
          <w:rFonts w:hint="eastAsia" w:cs="宋体" w:asciiTheme="minorEastAsia" w:hAnsiTheme="minorEastAsia"/>
          <w:color w:val="auto"/>
          <w:spacing w:val="5"/>
          <w:sz w:val="24"/>
          <w:szCs w:val="24"/>
          <w:highlight w:val="none"/>
        </w:rPr>
        <w:t>。</w:t>
      </w:r>
      <w:r>
        <w:rPr>
          <w:rFonts w:cs="宋体" w:asciiTheme="minorEastAsia" w:hAnsiTheme="minorEastAsia"/>
          <w:color w:val="auto"/>
          <w:spacing w:val="5"/>
          <w:sz w:val="24"/>
          <w:szCs w:val="24"/>
          <w:highlight w:val="none"/>
        </w:rPr>
        <w:t>经双方协商一致，达成如下共识，签订本合同，以资双方共同遵守：</w:t>
      </w:r>
    </w:p>
    <w:p w14:paraId="6CD86619">
      <w:pPr>
        <w:spacing w:line="360" w:lineRule="auto"/>
        <w:ind w:firstLine="482" w:firstLineChars="200"/>
        <w:rPr>
          <w:rFonts w:hint="eastAsia" w:ascii="宋体" w:hAnsi="宋体" w:eastAsia="宋体" w:cs="Arial"/>
          <w:b/>
          <w:color w:val="auto"/>
          <w:sz w:val="24"/>
          <w:highlight w:val="none"/>
          <w:lang w:eastAsia="zh-CN"/>
        </w:rPr>
      </w:pPr>
      <w:r>
        <w:rPr>
          <w:rFonts w:hint="eastAsia" w:ascii="宋体" w:hAnsi="宋体" w:cs="Arial"/>
          <w:b/>
          <w:color w:val="auto"/>
          <w:sz w:val="24"/>
          <w:highlight w:val="none"/>
        </w:rPr>
        <w:t xml:space="preserve"> 第一条 项目概况</w:t>
      </w:r>
    </w:p>
    <w:p w14:paraId="307C21A4">
      <w:pPr>
        <w:spacing w:line="360" w:lineRule="auto"/>
        <w:rPr>
          <w:rFonts w:hint="default" w:ascii="宋体" w:hAnsi="宋体" w:eastAsia="宋体" w:cs="Arial"/>
          <w:color w:val="auto"/>
          <w:sz w:val="24"/>
          <w:highlight w:val="none"/>
          <w:lang w:val="en-US" w:eastAsia="zh-CN"/>
        </w:rPr>
      </w:pPr>
      <w:r>
        <w:rPr>
          <w:rFonts w:ascii="宋体" w:hAnsi="宋体" w:cs="Arial"/>
          <w:color w:val="auto"/>
          <w:sz w:val="24"/>
          <w:highlight w:val="none"/>
        </w:rPr>
        <w:t>1</w:t>
      </w:r>
      <w:r>
        <w:rPr>
          <w:rFonts w:hint="eastAsia" w:ascii="宋体" w:hAnsi="宋体" w:cs="Arial"/>
          <w:color w:val="auto"/>
          <w:sz w:val="24"/>
          <w:highlight w:val="none"/>
        </w:rPr>
        <w:t>、项目名称：</w:t>
      </w:r>
      <w:r>
        <w:rPr>
          <w:rFonts w:hint="eastAsia" w:ascii="宋体" w:hAnsi="宋体" w:cs="Arial"/>
          <w:color w:val="auto"/>
          <w:sz w:val="24"/>
          <w:highlight w:val="none"/>
          <w:lang w:val="en-US" w:eastAsia="zh-CN"/>
        </w:rPr>
        <w:t>成都海上蓉屿项目</w:t>
      </w:r>
    </w:p>
    <w:p w14:paraId="575253A9">
      <w:pPr>
        <w:spacing w:line="360" w:lineRule="auto"/>
        <w:rPr>
          <w:rFonts w:hint="default" w:ascii="宋体" w:hAnsi="宋体" w:eastAsia="宋体" w:cs="Arial"/>
          <w:color w:val="auto"/>
          <w:sz w:val="24"/>
          <w:highlight w:val="none"/>
          <w:lang w:val="en-US" w:eastAsia="zh-CN"/>
        </w:rPr>
      </w:pPr>
      <w:r>
        <w:rPr>
          <w:rFonts w:ascii="宋体" w:hAnsi="宋体" w:cs="Arial"/>
          <w:color w:val="auto"/>
          <w:sz w:val="24"/>
          <w:highlight w:val="none"/>
        </w:rPr>
        <w:t>2</w:t>
      </w:r>
      <w:r>
        <w:rPr>
          <w:rFonts w:hint="eastAsia" w:ascii="宋体" w:hAnsi="宋体" w:cs="Arial"/>
          <w:color w:val="auto"/>
          <w:sz w:val="24"/>
          <w:highlight w:val="none"/>
        </w:rPr>
        <w:t>、项目地点：</w:t>
      </w:r>
      <w:r>
        <w:rPr>
          <w:rFonts w:hint="eastAsia" w:ascii="宋体" w:hAnsi="宋体"/>
          <w:b w:val="0"/>
          <w:bCs w:val="0"/>
          <w:color w:val="auto"/>
          <w:kern w:val="24"/>
          <w:sz w:val="24"/>
          <w:highlight w:val="none"/>
          <w:u w:val="single"/>
        </w:rPr>
        <w:t>四川省成都市龙泉驿区大面街道群益路57号附75号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1991B1AD">
      <w:pPr>
        <w:adjustRightInd w:val="0"/>
        <w:snapToGrid w:val="0"/>
        <w:spacing w:line="360" w:lineRule="auto"/>
        <w:rPr>
          <w:b w:val="0"/>
          <w:bCs w:val="0"/>
          <w:color w:val="auto"/>
          <w:highlight w:val="none"/>
        </w:rPr>
      </w:pPr>
      <w:r>
        <w:rPr>
          <w:rFonts w:ascii="宋体" w:hAnsi="宋体" w:cs="Arial"/>
          <w:b w:val="0"/>
          <w:bCs w:val="0"/>
          <w:color w:val="auto"/>
          <w:sz w:val="24"/>
          <w:highlight w:val="none"/>
        </w:rPr>
        <w:t>3</w:t>
      </w:r>
      <w:r>
        <w:rPr>
          <w:rFonts w:hint="eastAsia" w:ascii="宋体" w:hAnsi="宋体" w:cs="Arial"/>
          <w:b w:val="0"/>
          <w:bCs w:val="0"/>
          <w:color w:val="auto"/>
          <w:sz w:val="24"/>
          <w:highlight w:val="none"/>
        </w:rPr>
        <w:t>、</w:t>
      </w:r>
      <w:r>
        <w:rPr>
          <w:rFonts w:hint="eastAsia" w:ascii="宋体" w:hAnsi="宋体" w:eastAsia="宋体" w:cs="Arial"/>
          <w:b w:val="0"/>
          <w:bCs w:val="0"/>
          <w:color w:val="auto"/>
          <w:sz w:val="24"/>
          <w:highlight w:val="none"/>
        </w:rPr>
        <w:t>检查范围和检查项目包括但不限于：</w:t>
      </w:r>
    </w:p>
    <w:p w14:paraId="5CEE2D81">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1）对施工过程的各道工序进行100%验收；</w:t>
      </w:r>
    </w:p>
    <w:p w14:paraId="5C3C2074">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2）在交付前进行三轮的模拟验收工作，检查出所有问题，并录入验房系统；</w:t>
      </w:r>
    </w:p>
    <w:p w14:paraId="33236EDF">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3）模拟验收问题整改的跟进与核查，协调项目部给予的资源，完成相应的整改跟进及复验；</w:t>
      </w:r>
    </w:p>
    <w:p w14:paraId="10F6FB5F">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4）开放日带陪同业主验房，提供良好、专业的服务，并记录问题；</w:t>
      </w:r>
    </w:p>
    <w:p w14:paraId="2C552834">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5）对开放日所发现问题进行100%整改；</w:t>
      </w:r>
    </w:p>
    <w:p w14:paraId="77F4E9D1">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6）交付时陪同业主看房，提供良好、专业的服务，并记录问题；</w:t>
      </w:r>
    </w:p>
    <w:p w14:paraId="3931776E">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7）整改业主提出的问题，完成后移交给房屋保修办；</w:t>
      </w:r>
    </w:p>
    <w:p w14:paraId="4596D0E0">
      <w:pPr>
        <w:adjustRightInd w:val="0"/>
        <w:snapToGrid w:val="0"/>
        <w:spacing w:line="360" w:lineRule="auto"/>
        <w:ind w:left="480"/>
        <w:rPr>
          <w:rFonts w:ascii="宋体" w:hAnsi="宋体"/>
          <w:color w:val="auto"/>
          <w:sz w:val="24"/>
          <w:szCs w:val="24"/>
          <w:highlight w:val="none"/>
        </w:rPr>
      </w:pPr>
      <w:r>
        <w:rPr>
          <w:rFonts w:hint="eastAsia" w:ascii="宋体" w:hAnsi="宋体"/>
          <w:color w:val="auto"/>
          <w:sz w:val="24"/>
          <w:szCs w:val="24"/>
          <w:highlight w:val="none"/>
        </w:rPr>
        <w:t>8）工地开放、集中交付及交付问题整改期间，与业主保持良好沟通，提升客户满意度。</w:t>
      </w:r>
    </w:p>
    <w:p w14:paraId="39EB7DA2">
      <w:pPr>
        <w:spacing w:line="360" w:lineRule="auto"/>
        <w:ind w:firstLine="482" w:firstLineChars="200"/>
        <w:rPr>
          <w:rFonts w:hint="default" w:ascii="宋体" w:hAnsi="宋体" w:eastAsia="宋体"/>
          <w:b/>
          <w:color w:val="auto"/>
          <w:sz w:val="24"/>
          <w:highlight w:val="none"/>
          <w:lang w:val="en-US" w:eastAsia="zh-CN"/>
        </w:rPr>
      </w:pPr>
      <w:r>
        <w:rPr>
          <w:rFonts w:hint="eastAsia" w:ascii="宋体" w:hAnsi="宋体"/>
          <w:b/>
          <w:color w:val="auto"/>
          <w:sz w:val="24"/>
          <w:highlight w:val="none"/>
        </w:rPr>
        <w:t xml:space="preserve">第二条 </w:t>
      </w:r>
      <w:r>
        <w:rPr>
          <w:rFonts w:hint="eastAsia" w:ascii="宋体" w:hAnsi="宋体"/>
          <w:b/>
          <w:color w:val="auto"/>
          <w:sz w:val="24"/>
          <w:highlight w:val="none"/>
          <w:lang w:val="en-US" w:eastAsia="zh-CN"/>
        </w:rPr>
        <w:t>服务期限</w:t>
      </w:r>
    </w:p>
    <w:p w14:paraId="7FAE0FF0">
      <w:pPr>
        <w:pStyle w:val="9"/>
        <w:numPr>
          <w:ilvl w:val="0"/>
          <w:numId w:val="0"/>
        </w:numPr>
        <w:spacing w:line="360" w:lineRule="auto"/>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服务期限暂定为</w:t>
      </w:r>
      <w:r>
        <w:rPr>
          <w:rFonts w:hint="eastAsia"/>
          <w:color w:val="auto"/>
          <w:sz w:val="24"/>
          <w:szCs w:val="24"/>
          <w:highlight w:val="none"/>
          <w:u w:val="single"/>
        </w:rPr>
        <w:t>202</w:t>
      </w:r>
      <w:r>
        <w:rPr>
          <w:rFonts w:hint="eastAsia"/>
          <w:color w:val="auto"/>
          <w:sz w:val="24"/>
          <w:szCs w:val="24"/>
          <w:highlight w:val="none"/>
          <w:u w:val="single"/>
          <w:lang w:val="en-US" w:eastAsia="zh-CN"/>
        </w:rPr>
        <w:t>6</w:t>
      </w:r>
      <w:r>
        <w:rPr>
          <w:rFonts w:hint="eastAsia"/>
          <w:color w:val="auto"/>
          <w:sz w:val="24"/>
          <w:szCs w:val="24"/>
          <w:highlight w:val="none"/>
          <w:u w:val="single"/>
        </w:rPr>
        <w:t>年</w:t>
      </w:r>
      <w:r>
        <w:rPr>
          <w:rFonts w:hint="eastAsia"/>
          <w:color w:val="auto"/>
          <w:sz w:val="24"/>
          <w:szCs w:val="24"/>
          <w:highlight w:val="none"/>
          <w:u w:val="single"/>
          <w:lang w:val="en-US" w:eastAsia="zh-CN"/>
        </w:rPr>
        <w:t>3</w:t>
      </w:r>
      <w:r>
        <w:rPr>
          <w:rFonts w:hint="eastAsia"/>
          <w:color w:val="auto"/>
          <w:sz w:val="24"/>
          <w:szCs w:val="24"/>
          <w:highlight w:val="none"/>
          <w:u w:val="single"/>
        </w:rPr>
        <w:t>月</w:t>
      </w:r>
      <w:r>
        <w:rPr>
          <w:rFonts w:hint="eastAsia"/>
          <w:color w:val="auto"/>
          <w:sz w:val="24"/>
          <w:szCs w:val="24"/>
          <w:highlight w:val="none"/>
          <w:u w:val="single"/>
          <w:lang w:val="en-US" w:eastAsia="zh-CN"/>
        </w:rPr>
        <w:t>1</w:t>
      </w:r>
      <w:r>
        <w:rPr>
          <w:rFonts w:hint="eastAsia"/>
          <w:color w:val="auto"/>
          <w:sz w:val="24"/>
          <w:szCs w:val="24"/>
          <w:highlight w:val="none"/>
          <w:u w:val="single"/>
        </w:rPr>
        <w:t>日至202</w:t>
      </w:r>
      <w:r>
        <w:rPr>
          <w:rFonts w:hint="eastAsia"/>
          <w:color w:val="auto"/>
          <w:sz w:val="24"/>
          <w:szCs w:val="24"/>
          <w:highlight w:val="none"/>
          <w:u w:val="single"/>
          <w:lang w:val="en-US" w:eastAsia="zh-CN"/>
        </w:rPr>
        <w:t>6</w:t>
      </w:r>
      <w:r>
        <w:rPr>
          <w:rFonts w:hint="eastAsia"/>
          <w:color w:val="auto"/>
          <w:sz w:val="24"/>
          <w:szCs w:val="24"/>
          <w:highlight w:val="none"/>
          <w:u w:val="single"/>
        </w:rPr>
        <w:t>年</w:t>
      </w:r>
      <w:r>
        <w:rPr>
          <w:rFonts w:hint="eastAsia"/>
          <w:color w:val="auto"/>
          <w:sz w:val="24"/>
          <w:szCs w:val="24"/>
          <w:highlight w:val="none"/>
          <w:u w:val="single"/>
          <w:lang w:val="en-US" w:eastAsia="zh-CN"/>
        </w:rPr>
        <w:t>7</w:t>
      </w:r>
      <w:r>
        <w:rPr>
          <w:rFonts w:hint="eastAsia"/>
          <w:color w:val="auto"/>
          <w:sz w:val="24"/>
          <w:szCs w:val="24"/>
          <w:highlight w:val="none"/>
          <w:u w:val="single"/>
        </w:rPr>
        <w:t>月</w:t>
      </w:r>
      <w:r>
        <w:rPr>
          <w:rFonts w:hint="eastAsia"/>
          <w:color w:val="auto"/>
          <w:sz w:val="24"/>
          <w:szCs w:val="24"/>
          <w:highlight w:val="none"/>
          <w:u w:val="single"/>
          <w:lang w:val="en-US" w:eastAsia="zh-CN"/>
        </w:rPr>
        <w:t>31</w:t>
      </w:r>
      <w:r>
        <w:rPr>
          <w:rFonts w:hint="eastAsia"/>
          <w:color w:val="auto"/>
          <w:sz w:val="24"/>
          <w:szCs w:val="24"/>
          <w:highlight w:val="none"/>
          <w:u w:val="none"/>
          <w:lang w:val="en-US" w:eastAsia="zh-CN"/>
        </w:rPr>
        <w:t>日</w:t>
      </w:r>
      <w:r>
        <w:rPr>
          <w:rFonts w:hint="eastAsia" w:cs="Times New Roman"/>
          <w:i w:val="0"/>
          <w:iCs w:val="0"/>
          <w:color w:val="auto"/>
          <w:kern w:val="2"/>
          <w:sz w:val="24"/>
          <w:szCs w:val="24"/>
          <w:highlight w:val="none"/>
          <w:lang w:val="en-US" w:eastAsia="zh-CN" w:bidi="ar-SA"/>
        </w:rPr>
        <w:t>（</w:t>
      </w:r>
      <w:r>
        <w:rPr>
          <w:rFonts w:hint="eastAsia"/>
          <w:color w:val="auto"/>
          <w:sz w:val="24"/>
          <w:szCs w:val="24"/>
          <w:highlight w:val="none"/>
        </w:rPr>
        <w:t>具体开始时间以甲方书面通知为准</w:t>
      </w:r>
      <w:r>
        <w:rPr>
          <w:rFonts w:hint="eastAsia" w:cs="Times New Roman"/>
          <w:i w:val="0"/>
          <w:iCs w:val="0"/>
          <w:color w:val="auto"/>
          <w:kern w:val="2"/>
          <w:sz w:val="24"/>
          <w:szCs w:val="24"/>
          <w:highlight w:val="none"/>
          <w:lang w:val="en-US" w:eastAsia="zh-CN" w:bidi="ar-SA"/>
        </w:rPr>
        <w:t>）</w:t>
      </w:r>
      <w:r>
        <w:rPr>
          <w:rFonts w:hint="eastAsia"/>
          <w:color w:val="auto"/>
          <w:sz w:val="24"/>
          <w:szCs w:val="24"/>
          <w:highlight w:val="none"/>
        </w:rPr>
        <w:t>。</w:t>
      </w:r>
    </w:p>
    <w:p w14:paraId="7AB8A094">
      <w:pPr>
        <w:spacing w:line="360" w:lineRule="auto"/>
        <w:ind w:firstLine="482" w:firstLineChars="200"/>
        <w:rPr>
          <w:rFonts w:hint="default" w:ascii="宋体" w:hAnsi="宋体" w:eastAsia="宋体"/>
          <w:b/>
          <w:color w:val="auto"/>
          <w:sz w:val="24"/>
          <w:highlight w:val="none"/>
          <w:lang w:val="en-US" w:eastAsia="zh-CN"/>
        </w:rPr>
      </w:pPr>
      <w:r>
        <w:rPr>
          <w:rFonts w:hint="eastAsia" w:ascii="宋体" w:hAnsi="宋体" w:cs="Arial"/>
          <w:b/>
          <w:color w:val="auto"/>
          <w:sz w:val="24"/>
          <w:highlight w:val="none"/>
        </w:rPr>
        <w:t xml:space="preserve">第三条 </w:t>
      </w:r>
      <w:r>
        <w:rPr>
          <w:rFonts w:hint="eastAsia" w:ascii="宋体" w:hAnsi="宋体" w:cs="Arial"/>
          <w:b/>
          <w:color w:val="auto"/>
          <w:sz w:val="24"/>
          <w:highlight w:val="none"/>
          <w:lang w:val="en-US" w:eastAsia="zh-CN"/>
        </w:rPr>
        <w:t>人员素质要求</w:t>
      </w:r>
    </w:p>
    <w:p w14:paraId="05AE7EA6">
      <w:pPr>
        <w:adjustRightInd w:val="0"/>
        <w:snapToGrid w:val="0"/>
        <w:spacing w:line="360" w:lineRule="auto"/>
        <w:rPr>
          <w:rFonts w:ascii="宋体" w:hAnsi="宋体"/>
          <w:b/>
          <w:bCs/>
          <w:color w:val="auto"/>
          <w:sz w:val="24"/>
          <w:szCs w:val="24"/>
          <w:highlight w:val="none"/>
        </w:rPr>
      </w:pPr>
      <w:r>
        <w:rPr>
          <w:rFonts w:hint="eastAsia" w:ascii="宋体" w:hAnsi="宋体"/>
          <w:b/>
          <w:bCs/>
          <w:color w:val="auto"/>
          <w:sz w:val="24"/>
          <w:szCs w:val="24"/>
          <w:highlight w:val="none"/>
          <w:lang w:val="en-US" w:eastAsia="zh-CN"/>
        </w:rPr>
        <w:t>1</w:t>
      </w:r>
      <w:r>
        <w:rPr>
          <w:rFonts w:hint="eastAsia" w:ascii="宋体" w:hAnsi="宋体"/>
          <w:b/>
          <w:bCs/>
          <w:color w:val="auto"/>
          <w:sz w:val="24"/>
          <w:szCs w:val="24"/>
          <w:highlight w:val="none"/>
        </w:rPr>
        <w:t>、人员素质要求：</w:t>
      </w:r>
    </w:p>
    <w:p w14:paraId="22DF9F4B">
      <w:pPr>
        <w:adjustRightInd w:val="0"/>
        <w:snapToGrid w:val="0"/>
        <w:spacing w:line="360" w:lineRule="auto"/>
        <w:ind w:left="480"/>
        <w:rPr>
          <w:rFonts w:ascii="宋体" w:hAnsi="宋体"/>
          <w:color w:val="auto"/>
          <w:sz w:val="24"/>
          <w:szCs w:val="24"/>
          <w:highlight w:val="none"/>
        </w:rPr>
      </w:pPr>
      <w:r>
        <w:rPr>
          <w:rFonts w:hint="eastAsia" w:ascii="宋体" w:hAnsi="宋体"/>
          <w:color w:val="auto"/>
          <w:sz w:val="24"/>
          <w:szCs w:val="24"/>
          <w:highlight w:val="none"/>
        </w:rPr>
        <w:t>1）乙方拟派的服务团队成员须具有2个以上模拟验收及交付项目工作经验，项目负责人须有5年以上工程相关工作经验；</w:t>
      </w:r>
    </w:p>
    <w:p w14:paraId="4AC832A1">
      <w:pPr>
        <w:adjustRightInd w:val="0"/>
        <w:snapToGrid w:val="0"/>
        <w:spacing w:line="360" w:lineRule="auto"/>
        <w:ind w:left="480"/>
        <w:rPr>
          <w:rFonts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）仪容仪表要求（交付带看及集中维修期维保）：</w:t>
      </w:r>
    </w:p>
    <w:p w14:paraId="4C3CE1D2">
      <w:pPr>
        <w:adjustRightInd w:val="0"/>
        <w:snapToGrid w:val="0"/>
        <w:spacing w:line="360" w:lineRule="auto"/>
        <w:ind w:left="480"/>
        <w:rPr>
          <w:rFonts w:ascii="宋体" w:hAnsi="宋体"/>
          <w:color w:val="auto"/>
          <w:sz w:val="24"/>
          <w:szCs w:val="24"/>
          <w:highlight w:val="none"/>
        </w:rPr>
      </w:pPr>
      <w:r>
        <w:rPr>
          <w:rFonts w:hint="eastAsia" w:ascii="宋体" w:hAnsi="宋体"/>
          <w:color w:val="auto"/>
          <w:sz w:val="24"/>
          <w:szCs w:val="24"/>
          <w:highlight w:val="none"/>
        </w:rPr>
        <w:t>①着装要清洁整齐，上班要穿工衣，工衣要干净速齐，钮扣要齐全，并扣好， 不可敞胸露怀，衣冠不正，工牌要佩带于左胸前，不能将衣袖、裤子卷起。</w:t>
      </w:r>
    </w:p>
    <w:p w14:paraId="065705AC">
      <w:pPr>
        <w:adjustRightInd w:val="0"/>
        <w:snapToGrid w:val="0"/>
        <w:spacing w:line="360" w:lineRule="auto"/>
        <w:ind w:left="480"/>
        <w:rPr>
          <w:rFonts w:ascii="宋体" w:hAnsi="宋体"/>
          <w:color w:val="auto"/>
          <w:sz w:val="24"/>
          <w:szCs w:val="24"/>
          <w:highlight w:val="none"/>
        </w:rPr>
      </w:pPr>
      <w:r>
        <w:rPr>
          <w:rFonts w:hint="eastAsia" w:ascii="宋体" w:hAnsi="宋体"/>
          <w:color w:val="auto"/>
          <w:sz w:val="24"/>
          <w:szCs w:val="24"/>
          <w:highlight w:val="none"/>
        </w:rPr>
        <w:t>② 仪容要大方，指甲要常修剪，不留长指甲，不涂有色的指甲油，发式要按公司规定要求，男士不留长发，发脚以不盖耳部及后衣领为宜，女士不留怪异发型，头发要梳洗正齐，不披头散发，前发不遮眼，后发不过肩，使用统一的发夹。</w:t>
      </w:r>
    </w:p>
    <w:p w14:paraId="7B0432C3">
      <w:pPr>
        <w:adjustRightInd w:val="0"/>
        <w:snapToGrid w:val="0"/>
        <w:spacing w:line="360" w:lineRule="auto"/>
        <w:ind w:left="480"/>
        <w:rPr>
          <w:rFonts w:ascii="宋体" w:hAnsi="宋体"/>
          <w:color w:val="auto"/>
          <w:sz w:val="24"/>
          <w:szCs w:val="24"/>
          <w:highlight w:val="none"/>
        </w:rPr>
      </w:pPr>
      <w:r>
        <w:rPr>
          <w:rFonts w:hint="eastAsia" w:ascii="宋体" w:hAnsi="宋体"/>
          <w:color w:val="auto"/>
          <w:sz w:val="24"/>
          <w:szCs w:val="24"/>
          <w:highlight w:val="none"/>
        </w:rPr>
        <w:t>③注意个人卫生，爱护牙齿，男士坚持每天剃刮胡须，鼻毛不准出鼻孔，手要保持清洁，早晚要刷牙，饭后要漱口，勤洗澡防汗臭，上班前不吃异味食品及不喝含酒精的饮料。</w:t>
      </w:r>
    </w:p>
    <w:p w14:paraId="631ED28F">
      <w:pPr>
        <w:adjustRightInd w:val="0"/>
        <w:snapToGrid w:val="0"/>
        <w:spacing w:line="360" w:lineRule="auto"/>
        <w:ind w:left="480"/>
        <w:rPr>
          <w:rFonts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）人员考勤：</w:t>
      </w:r>
    </w:p>
    <w:p w14:paraId="5CC4BF98">
      <w:pPr>
        <w:adjustRightInd w:val="0"/>
        <w:snapToGrid w:val="0"/>
        <w:spacing w:line="360" w:lineRule="auto"/>
        <w:ind w:left="480"/>
        <w:rPr>
          <w:rFonts w:ascii="宋体" w:hAnsi="宋体"/>
          <w:color w:val="auto"/>
          <w:sz w:val="24"/>
          <w:szCs w:val="24"/>
          <w:highlight w:val="none"/>
        </w:rPr>
      </w:pPr>
      <w:r>
        <w:rPr>
          <w:rFonts w:hint="eastAsia" w:ascii="宋体" w:hAnsi="宋体"/>
          <w:color w:val="auto"/>
          <w:sz w:val="24"/>
          <w:szCs w:val="24"/>
          <w:highlight w:val="none"/>
        </w:rPr>
        <w:t>项目查验人员需每天按时到达现场，并每天按照要求进行现场打卡签到，且需汇报群内，应到人数，实到人数，交付陪验期间做好每日人员签到表并经甲方确认。未经同意，若无故旷工或缺席，将按照200元/人/天进行处罚。</w:t>
      </w:r>
    </w:p>
    <w:p w14:paraId="75A45E27">
      <w:pPr>
        <w:adjustRightInd w:val="0"/>
        <w:snapToGrid w:val="0"/>
        <w:spacing w:line="360" w:lineRule="auto"/>
        <w:rPr>
          <w:rFonts w:ascii="宋体" w:hAnsi="宋体"/>
          <w:b/>
          <w:bCs/>
          <w:color w:val="auto"/>
          <w:sz w:val="24"/>
          <w:szCs w:val="24"/>
          <w:highlight w:val="none"/>
        </w:rPr>
      </w:pPr>
      <w:r>
        <w:rPr>
          <w:rFonts w:hint="eastAsia" w:ascii="宋体" w:hAnsi="宋体"/>
          <w:b/>
          <w:bCs/>
          <w:color w:val="auto"/>
          <w:sz w:val="24"/>
          <w:szCs w:val="24"/>
          <w:highlight w:val="none"/>
          <w:lang w:val="en-US" w:eastAsia="zh-CN"/>
        </w:rPr>
        <w:t>2</w:t>
      </w:r>
      <w:r>
        <w:rPr>
          <w:rFonts w:hint="eastAsia" w:ascii="宋体" w:hAnsi="宋体"/>
          <w:b/>
          <w:bCs/>
          <w:color w:val="auto"/>
          <w:sz w:val="24"/>
          <w:szCs w:val="24"/>
          <w:highlight w:val="none"/>
        </w:rPr>
        <w:t>、人员管理要求：</w:t>
      </w:r>
    </w:p>
    <w:p w14:paraId="75C53C66">
      <w:pPr>
        <w:adjustRightInd w:val="0"/>
        <w:snapToGrid w:val="0"/>
        <w:spacing w:line="360" w:lineRule="auto"/>
        <w:ind w:left="480"/>
        <w:rPr>
          <w:rFonts w:ascii="宋体" w:hAnsi="宋体"/>
          <w:color w:val="auto"/>
          <w:sz w:val="24"/>
          <w:szCs w:val="24"/>
          <w:highlight w:val="none"/>
        </w:rPr>
      </w:pPr>
      <w:r>
        <w:rPr>
          <w:rFonts w:hint="eastAsia" w:ascii="宋体" w:hAnsi="宋体"/>
          <w:color w:val="auto"/>
          <w:sz w:val="24"/>
          <w:szCs w:val="24"/>
          <w:highlight w:val="none"/>
        </w:rPr>
        <w:t>1）现场服务人员的配置须经过甲方的许可，乙方负责人必须常驻现场，若需离场，</w:t>
      </w:r>
    </w:p>
    <w:p w14:paraId="7F4AB0EE">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需在取得甲方城市公司</w:t>
      </w:r>
      <w:r>
        <w:rPr>
          <w:rFonts w:hint="eastAsia" w:ascii="宋体" w:hAnsi="宋体"/>
          <w:color w:val="auto"/>
          <w:sz w:val="24"/>
          <w:szCs w:val="24"/>
          <w:highlight w:val="none"/>
          <w:lang w:val="en-US" w:eastAsia="zh-CN"/>
        </w:rPr>
        <w:t>模拟验收</w:t>
      </w:r>
      <w:r>
        <w:rPr>
          <w:rFonts w:hint="eastAsia" w:ascii="宋体" w:hAnsi="宋体"/>
          <w:color w:val="auto"/>
          <w:sz w:val="24"/>
          <w:szCs w:val="24"/>
          <w:highlight w:val="none"/>
        </w:rPr>
        <w:t>负责人准许后方可离场，并且需要明确返回时间，原则上离场时间不得超过3个工作日；</w:t>
      </w:r>
    </w:p>
    <w:p w14:paraId="48078E26">
      <w:pPr>
        <w:adjustRightInd w:val="0"/>
        <w:snapToGrid w:val="0"/>
        <w:spacing w:line="360" w:lineRule="auto"/>
        <w:ind w:left="480"/>
        <w:rPr>
          <w:rFonts w:ascii="宋体" w:hAnsi="宋体"/>
          <w:color w:val="auto"/>
          <w:sz w:val="24"/>
          <w:szCs w:val="24"/>
          <w:highlight w:val="none"/>
        </w:rPr>
      </w:pPr>
      <w:r>
        <w:rPr>
          <w:rFonts w:hint="eastAsia" w:ascii="宋体" w:hAnsi="宋体"/>
          <w:color w:val="auto"/>
          <w:sz w:val="24"/>
          <w:szCs w:val="24"/>
          <w:highlight w:val="none"/>
        </w:rPr>
        <w:t>2）乙方的所有人员进场前需提供现场团队成员组织架构，所有人员进场必须得到甲方面试认可，人员确定后乙方不得擅自变动人员；</w:t>
      </w:r>
    </w:p>
    <w:p w14:paraId="0088AE19">
      <w:pPr>
        <w:numPr>
          <w:ilvl w:val="0"/>
          <w:numId w:val="0"/>
        </w:num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乙方人员变动，须提前5个工作日以书面形式向甲方申报，获批后方可实施,且替换人员需具备同等资质、技能,该人员须在其前任离岗同时到岗；</w:t>
      </w:r>
    </w:p>
    <w:p w14:paraId="1E98F0FD">
      <w:pPr>
        <w:numPr>
          <w:ilvl w:val="0"/>
          <w:numId w:val="0"/>
        </w:num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乙方需主动对新入场人员进行相应专业知识考核，甲方有权介入并保留一票否决权；若乙方人员履行合同不力，我方有权要求更换相关人员，乙方须在接到我方通知后5个工作日内予以更换具备同等资质、技能,该人员须在其前任离岗同时到岗；</w:t>
      </w:r>
    </w:p>
    <w:p w14:paraId="1F951E3F">
      <w:pPr>
        <w:adjustRightInd w:val="0"/>
        <w:snapToGrid w:val="0"/>
        <w:spacing w:line="360" w:lineRule="auto"/>
        <w:ind w:left="480"/>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）乙方团队在未得到甲方书面批准之前，不得擅自撤离甲方项目现场；</w:t>
      </w:r>
    </w:p>
    <w:p w14:paraId="1A4A2A98">
      <w:pPr>
        <w:adjustRightInd w:val="0"/>
        <w:snapToGrid w:val="0"/>
        <w:spacing w:line="360" w:lineRule="auto"/>
        <w:ind w:left="480"/>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）对于乙方公司的人员配置、进场时间要求，若有变动，以甲方书面通知为准；</w:t>
      </w:r>
    </w:p>
    <w:p w14:paraId="72FD2BAC">
      <w:pPr>
        <w:adjustRightInd w:val="0"/>
        <w:snapToGrid w:val="0"/>
        <w:spacing w:line="360" w:lineRule="auto"/>
        <w:ind w:left="480"/>
        <w:rPr>
          <w:rFonts w:ascii="宋体" w:hAnsi="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）乙方人员每日上下班须按甲方要求进行打卡签到，人员轮休需提前一周知会甲方，并提交书面申请；</w:t>
      </w:r>
    </w:p>
    <w:p w14:paraId="68989663">
      <w:pPr>
        <w:adjustRightInd w:val="0"/>
        <w:snapToGrid w:val="0"/>
        <w:spacing w:line="360" w:lineRule="auto"/>
        <w:ind w:left="480"/>
        <w:rPr>
          <w:rFonts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）乙方人员须积极完成甲方项目工程师分派的任务；</w:t>
      </w:r>
    </w:p>
    <w:p w14:paraId="58DB1C5A">
      <w:pPr>
        <w:adjustRightInd w:val="0"/>
        <w:snapToGrid w:val="0"/>
        <w:spacing w:line="360" w:lineRule="auto"/>
        <w:ind w:left="480"/>
        <w:rPr>
          <w:rFonts w:ascii="宋体" w:hAnsi="宋体"/>
          <w:color w:val="auto"/>
          <w:sz w:val="24"/>
          <w:szCs w:val="24"/>
          <w:highlight w:val="none"/>
        </w:rPr>
      </w:pP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）乙方现场服务人员须积极发现现场问题并及时向甲方汇报，乙方须按甲方的重点检查表格对各分项工程作100%检查，并做好相应记录；</w:t>
      </w:r>
    </w:p>
    <w:p w14:paraId="3F31BFB6">
      <w:pPr>
        <w:adjustRightInd w:val="0"/>
        <w:snapToGrid w:val="0"/>
        <w:spacing w:line="360" w:lineRule="auto"/>
        <w:ind w:left="480"/>
        <w:rPr>
          <w:rFonts w:ascii="宋体" w:hAnsi="宋体"/>
          <w:color w:val="auto"/>
          <w:sz w:val="24"/>
          <w:szCs w:val="24"/>
          <w:highlight w:val="none"/>
        </w:rPr>
      </w:pP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）乙方须按甲方提供的工程进度计划积极推进施工单位按时间节点完成进度要求。</w:t>
      </w:r>
    </w:p>
    <w:p w14:paraId="63F65F28">
      <w:pPr>
        <w:spacing w:line="360" w:lineRule="auto"/>
        <w:ind w:firstLine="482" w:firstLineChars="200"/>
        <w:rPr>
          <w:rFonts w:hint="eastAsia" w:ascii="宋体" w:hAnsi="宋体" w:eastAsia="宋体" w:cs="Arial"/>
          <w:b/>
          <w:color w:val="auto"/>
          <w:sz w:val="24"/>
          <w:highlight w:val="none"/>
          <w:lang w:eastAsia="zh-CN"/>
        </w:rPr>
      </w:pPr>
      <w:r>
        <w:rPr>
          <w:rFonts w:hint="eastAsia" w:ascii="宋体" w:hAnsi="宋体" w:cs="Arial"/>
          <w:b/>
          <w:color w:val="auto"/>
          <w:sz w:val="24"/>
          <w:highlight w:val="none"/>
        </w:rPr>
        <w:t>第四条　合同金额及结算方式</w:t>
      </w:r>
      <w:r>
        <w:rPr>
          <w:rFonts w:hint="eastAsia" w:ascii="宋体" w:hAnsi="宋体" w:cs="Arial"/>
          <w:b/>
          <w:color w:val="auto"/>
          <w:sz w:val="24"/>
          <w:highlight w:val="none"/>
          <w:lang w:eastAsia="zh-CN"/>
        </w:rPr>
        <w:t>（</w:t>
      </w:r>
      <w:r>
        <w:rPr>
          <w:rFonts w:hint="eastAsia" w:ascii="宋体" w:hAnsi="宋体" w:cs="Arial"/>
          <w:b/>
          <w:color w:val="auto"/>
          <w:sz w:val="24"/>
          <w:highlight w:val="none"/>
          <w:lang w:val="en-US" w:eastAsia="zh-CN"/>
        </w:rPr>
        <w:t>暂定</w:t>
      </w:r>
      <w:r>
        <w:rPr>
          <w:rFonts w:hint="eastAsia" w:ascii="宋体" w:hAnsi="宋体" w:cs="Arial"/>
          <w:b/>
          <w:color w:val="auto"/>
          <w:sz w:val="24"/>
          <w:highlight w:val="none"/>
          <w:lang w:eastAsia="zh-CN"/>
        </w:rPr>
        <w:t>）</w:t>
      </w:r>
    </w:p>
    <w:p w14:paraId="05A8DFE6">
      <w:pPr>
        <w:adjustRightInd w:val="0"/>
        <w:snapToGrid w:val="0"/>
        <w:spacing w:line="360" w:lineRule="auto"/>
        <w:rPr>
          <w:rFonts w:ascii="宋体" w:hAnsi="宋体"/>
          <w:b/>
          <w:bCs/>
          <w:color w:val="auto"/>
          <w:sz w:val="24"/>
          <w:szCs w:val="24"/>
          <w:highlight w:val="none"/>
        </w:rPr>
      </w:pPr>
      <w:r>
        <w:rPr>
          <w:rFonts w:hint="eastAsia" w:ascii="宋体" w:hAnsi="宋体"/>
          <w:b/>
          <w:bCs/>
          <w:color w:val="auto"/>
          <w:sz w:val="24"/>
          <w:szCs w:val="24"/>
          <w:highlight w:val="none"/>
        </w:rPr>
        <w:t>1、服务费用：</w:t>
      </w:r>
    </w:p>
    <w:p w14:paraId="4F84FE76">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1）合同总价（含增值税）为</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元（大写人民币</w:t>
      </w: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），其中不含税价款为</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元，增值税额为</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元，增值税税率为</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w:t>
      </w:r>
    </w:p>
    <w:p w14:paraId="401C6F9E">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承包人须开具税率为</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%的增值税专用发票。</w:t>
      </w:r>
    </w:p>
    <w:p w14:paraId="35F1EFDE">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因承包人纳税人身份类别、纳税方式等变化导致所开具发票种类或者税率变化的，合同不含税价款不变，并根据“合同不含税价款+承包人实际提供发票可抵扣的增值税进项税额”计算合同总价。</w:t>
      </w:r>
    </w:p>
    <w:p w14:paraId="0ECD9DCD">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合同固定总价包含但不限于如下内容：完成本工程所需要的人员月工资、社保、医保、公积金、异地住宿、就餐费用、高温补贴、交通补贴、通讯费补贴、电脑折旧补贴、测量工器具费、办公场地及用品费、网络费、快递费、乙方公司管理费用、利润、税金等一切费用。</w:t>
      </w:r>
    </w:p>
    <w:p w14:paraId="22A793B3">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3）服务期限分为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四</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个阶段，若某个阶段实际未发生，结算时按实进行扣减。</w:t>
      </w:r>
    </w:p>
    <w:p w14:paraId="7FDE6527">
      <w:pPr>
        <w:adjustRightInd w:val="0"/>
        <w:snapToGrid w:val="0"/>
        <w:spacing w:line="360" w:lineRule="auto"/>
        <w:rPr>
          <w:rFonts w:ascii="宋体" w:hAnsi="宋体"/>
          <w:color w:val="auto"/>
          <w:sz w:val="24"/>
          <w:szCs w:val="24"/>
          <w:highlight w:val="none"/>
        </w:rPr>
      </w:pPr>
      <w:r>
        <w:rPr>
          <w:rFonts w:hint="eastAsia" w:ascii="宋体" w:hAnsi="宋体" w:cs="宋体"/>
          <w:b/>
          <w:bCs/>
          <w:color w:val="auto"/>
          <w:sz w:val="24"/>
          <w:szCs w:val="24"/>
          <w:highlight w:val="none"/>
        </w:rPr>
        <w:t>2、支付方式：</w:t>
      </w:r>
    </w:p>
    <w:p w14:paraId="6369B017">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1）本合同签订并且乙方人员及设备驻场后二十天内支付合同总价的</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w:t>
      </w:r>
    </w:p>
    <w:p w14:paraId="30F737D4">
      <w:pPr>
        <w:adjustRightInd w:val="0"/>
        <w:snapToGrid w:val="0"/>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集中查验跟进销项阶段结束后，并提交人员考核等支付合同总价的40%</w:t>
      </w:r>
    </w:p>
    <w:p w14:paraId="4B895513">
      <w:pPr>
        <w:adjustRightInd w:val="0"/>
        <w:snapToGrid w:val="0"/>
        <w:spacing w:line="360" w:lineRule="auto"/>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3）集中交付后20天支付合同总价的40%</w:t>
      </w:r>
    </w:p>
    <w:p w14:paraId="3274E0E2">
      <w:pPr>
        <w:adjustRightInd w:val="0"/>
        <w:snapToGrid w:val="0"/>
        <w:spacing w:line="360" w:lineRule="auto"/>
        <w:ind w:firstLine="480" w:firstLineChars="200"/>
        <w:rPr>
          <w:rFonts w:hint="default" w:eastAsia="宋体"/>
          <w:color w:val="auto"/>
          <w:highlight w:val="none"/>
          <w:lang w:val="en-US" w:eastAsia="zh-CN"/>
        </w:rPr>
      </w:pPr>
      <w:r>
        <w:rPr>
          <w:rFonts w:hint="eastAsia" w:ascii="宋体" w:hAnsi="宋体"/>
          <w:color w:val="auto"/>
          <w:sz w:val="24"/>
          <w:szCs w:val="24"/>
          <w:highlight w:val="none"/>
          <w:lang w:val="en-US" w:eastAsia="zh-CN"/>
        </w:rPr>
        <w:t>4）集</w:t>
      </w:r>
      <w:r>
        <w:rPr>
          <w:rFonts w:hint="eastAsia" w:ascii="宋体" w:hAnsi="宋体"/>
          <w:color w:val="auto"/>
          <w:sz w:val="24"/>
          <w:szCs w:val="24"/>
          <w:highlight w:val="none"/>
        </w:rPr>
        <w:t>中交付三个月后，并办理完结算后（以双方共同签署的结算确认书的时间为准）20个工作日内，剩余尾款</w:t>
      </w:r>
      <w:r>
        <w:rPr>
          <w:rFonts w:hint="eastAsia" w:ascii="宋体" w:hAnsi="宋体"/>
          <w:color w:val="auto"/>
          <w:sz w:val="24"/>
          <w:szCs w:val="24"/>
          <w:highlight w:val="none"/>
          <w:lang w:val="en-US" w:eastAsia="zh-CN"/>
        </w:rPr>
        <w:t>10%</w:t>
      </w:r>
    </w:p>
    <w:p w14:paraId="59AFA465">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5）在付款前，乙方必须开具合法有效等额的增值税专用发票给甲方，否则甲方可顺延付款，且无需承担任何违约责任。</w:t>
      </w:r>
    </w:p>
    <w:p w14:paraId="2AF7AA4F">
      <w:pPr>
        <w:pStyle w:val="9"/>
        <w:spacing w:line="360" w:lineRule="auto"/>
        <w:ind w:left="0" w:leftChars="0" w:firstLine="0" w:firstLineChars="0"/>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3、服务费用调整情形 </w:t>
      </w:r>
    </w:p>
    <w:p w14:paraId="5115B8BB">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1）由于甲方调整管理范围、服务周期或新增超出合同规定的工作内容等原因导致服务范围增加或管理人员数量增加的情形，原则上不应超出合同总价的15%。</w:t>
      </w:r>
    </w:p>
    <w:p w14:paraId="5BB50F4E">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2）因不可抗力因素，导致施工过程中暂停管理服务工作，暂停期间不计入管理期限。暂停期间的管理费用，原则上按照甲方要求的留守人员数量的月费用标准计取，其它情况由双方另行协商。 </w:t>
      </w:r>
    </w:p>
    <w:p w14:paraId="110985FC">
      <w:pPr>
        <w:spacing w:line="360" w:lineRule="auto"/>
        <w:ind w:firstLine="0" w:firstLineChars="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4、考核标准</w:t>
      </w:r>
    </w:p>
    <w:p w14:paraId="004ED6AF">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1、集中交付前，模拟验收问题销项率不低于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95</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%，每低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1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%扣罚乙方合同款项</w:t>
      </w:r>
      <w:r>
        <w:rPr>
          <w:rFonts w:hint="eastAsia" w:ascii="宋体" w:hAnsi="宋体"/>
          <w:color w:val="auto"/>
          <w:sz w:val="24"/>
          <w:szCs w:val="24"/>
          <w:highlight w:val="none"/>
          <w:u w:val="single"/>
          <w:lang w:val="en-US" w:eastAsia="zh-CN"/>
        </w:rPr>
        <w:t>5000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元，每提高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1</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奖励</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1000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w:t>
      </w:r>
    </w:p>
    <w:p w14:paraId="58FB2E7C">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2、截止集中交付前，工地开放日业主验房问题整改率不低于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100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，每降低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1</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%扣罚乙方合同款项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5000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元，每提高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奖励</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w:t>
      </w:r>
    </w:p>
    <w:p w14:paraId="6F94BF1A">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3、集中交付到访交付率不低于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90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%，每降低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1</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%扣罚乙方合同款项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5000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元，每提高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1</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奖励</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1000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w:t>
      </w:r>
    </w:p>
    <w:p w14:paraId="027983C6">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4、集中交付客户交付陪验满意度不低于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90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%，每降低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1</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%扣罚乙方合同款项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2000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元，每提高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1</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奖励</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1000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w:t>
      </w:r>
    </w:p>
    <w:p w14:paraId="412E2576">
      <w:pPr>
        <w:adjustRightInd w:val="0"/>
        <w:snapToGrid w:val="0"/>
        <w:spacing w:line="360" w:lineRule="auto"/>
        <w:ind w:firstLine="480" w:firstLineChars="200"/>
        <w:rPr>
          <w:rFonts w:ascii="宋体" w:hAnsi="宋体"/>
          <w:b/>
          <w:bCs/>
          <w:color w:val="auto"/>
          <w:sz w:val="24"/>
          <w:szCs w:val="24"/>
          <w:highlight w:val="none"/>
        </w:rPr>
      </w:pPr>
      <w:r>
        <w:rPr>
          <w:rFonts w:hint="eastAsia" w:ascii="宋体" w:hAnsi="宋体"/>
          <w:color w:val="auto"/>
          <w:sz w:val="24"/>
          <w:szCs w:val="24"/>
          <w:highlight w:val="none"/>
        </w:rPr>
        <w:t>5、集中交付期间精装房户均问题数不高于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2</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条，每超出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0.5</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条扣罚乙方合同款项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5000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元，每降低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0.5</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条奖励</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2000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w:t>
      </w:r>
    </w:p>
    <w:p w14:paraId="54AA1B4B">
      <w:pPr>
        <w:adjustRightInd w:val="0"/>
        <w:snapToGrid w:val="0"/>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6、集中交付日起1个月内，集中交付验房问题整改率≥</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95</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%，若未达成，每延期一天扣罚乙方合同款项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1000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w:t>
      </w:r>
      <w:r>
        <w:rPr>
          <w:rFonts w:hint="eastAsia" w:ascii="宋体" w:hAnsi="宋体" w:eastAsia="宋体" w:cs="宋体"/>
          <w:color w:val="auto"/>
          <w:sz w:val="24"/>
          <w:szCs w:val="24"/>
          <w:highlight w:val="none"/>
        </w:rPr>
        <w:t>维修完成率100%后乙方可撤场</w:t>
      </w:r>
      <w:r>
        <w:rPr>
          <w:rFonts w:hint="eastAsia" w:ascii="宋体" w:hAnsi="宋体" w:cs="宋体"/>
          <w:color w:val="auto"/>
          <w:sz w:val="24"/>
          <w:szCs w:val="24"/>
          <w:highlight w:val="none"/>
          <w:lang w:eastAsia="zh-CN"/>
        </w:rPr>
        <w:t>；</w:t>
      </w:r>
    </w:p>
    <w:p w14:paraId="5745FFC5">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7、磨合期一业主总体满意度不低于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80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%，每降低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1</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%扣罚乙方合同款项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2000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元，每提高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奖励</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1000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w:t>
      </w:r>
    </w:p>
    <w:p w14:paraId="5409490F">
      <w:pPr>
        <w:adjustRightInd w:val="0"/>
        <w:snapToGrid w:val="0"/>
        <w:spacing w:line="360" w:lineRule="auto"/>
        <w:ind w:firstLine="480" w:firstLineChars="200"/>
        <w:rPr>
          <w:color w:val="auto"/>
          <w:highlight w:val="none"/>
        </w:rPr>
      </w:pPr>
      <w:r>
        <w:rPr>
          <w:rFonts w:hint="eastAsia" w:ascii="宋体" w:hAnsi="宋体"/>
          <w:color w:val="auto"/>
          <w:sz w:val="24"/>
          <w:szCs w:val="24"/>
          <w:highlight w:val="none"/>
        </w:rPr>
        <w:t>8、磨合期一质量满意度不低于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70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%，每降低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1</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%扣罚乙方合同款项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2000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元，每提高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奖励</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1000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w:t>
      </w:r>
    </w:p>
    <w:p w14:paraId="2A064D70">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9、模拟验收及集中交付期间乙方必须真实反馈现场数据，问题录入过程中禁止出现错录、漏录及瞒报数据的情况，否则将按</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2000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元/单扣罚乙方合同款项。</w:t>
      </w:r>
    </w:p>
    <w:p w14:paraId="770C78FD">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10、模拟验收业主问题覆盖率不低于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98</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%，每降低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1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%扣罚乙方合同款项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2000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元（模拟验收业主问题覆盖率是指工地开放及集中交付期间，业主验房过程查验出的质量问题与乙方在模拟验收已排查出的问题数的比值）</w:t>
      </w:r>
    </w:p>
    <w:p w14:paraId="2E462474">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11、在模拟验收过程中禁止出现重大设计或质量类问题漏查、漏改的情况，否则将按</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5000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元/单扣罚乙方合同款项。</w:t>
      </w:r>
    </w:p>
    <w:p w14:paraId="698AA81A">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12、集中交付陪同业主陪验过程中，乙方陪验人员应注重客户服务，且不得对客户作出不当承诺，若因乙方服务不当或作出不当承诺引发业主有效投诉，将按</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2000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元/单扣罚乙方合同款项。</w:t>
      </w:r>
    </w:p>
    <w:p w14:paraId="7A05876D">
      <w:pPr>
        <w:pStyle w:val="8"/>
        <w:keepNext w:val="0"/>
        <w:keepLines w:val="0"/>
        <w:pageBreakBefore w:val="0"/>
        <w:widowControl w:val="0"/>
        <w:kinsoku/>
        <w:wordWrap/>
        <w:overflowPunct/>
        <w:topLinePunct w:val="0"/>
        <w:bidi w:val="0"/>
        <w:spacing w:line="360" w:lineRule="auto"/>
        <w:ind w:left="115" w:right="232"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在乙方合同服务期限内，乙方应严格把控施工过程中的工程质量并积极进行工程查验工作，禁止发生工程质量类的群诉，若因乙方监管不力或未能及时发现导致的工程质量类问题引发的群诉，甲方将按当期未支付合同价款10%扣罚乙方合同款项。</w:t>
      </w:r>
    </w:p>
    <w:p w14:paraId="72BD8681">
      <w:pPr>
        <w:pStyle w:val="8"/>
        <w:keepNext w:val="0"/>
        <w:keepLines w:val="0"/>
        <w:pageBreakBefore w:val="0"/>
        <w:widowControl w:val="0"/>
        <w:kinsoku/>
        <w:wordWrap/>
        <w:overflowPunct/>
        <w:topLinePunct w:val="0"/>
        <w:bidi w:val="0"/>
        <w:spacing w:line="360" w:lineRule="auto"/>
        <w:ind w:left="115" w:right="232" w:firstLine="480"/>
        <w:jc w:val="both"/>
        <w:textAlignment w:val="auto"/>
        <w:rPr>
          <w:rFonts w:hint="eastAsia" w:ascii="宋体" w:hAnsi="宋体" w:eastAsia="宋体" w:cs="宋体"/>
          <w:color w:val="auto"/>
          <w:sz w:val="24"/>
          <w:szCs w:val="24"/>
          <w:highlight w:val="none"/>
        </w:rPr>
      </w:pPr>
      <w:bookmarkStart w:id="578" w:name="_Hlk89267703"/>
      <w:r>
        <w:rPr>
          <w:rFonts w:hint="eastAsia" w:ascii="宋体" w:hAnsi="宋体" w:eastAsia="宋体" w:cs="宋体"/>
          <w:color w:val="auto"/>
          <w:sz w:val="24"/>
          <w:szCs w:val="24"/>
          <w:highlight w:val="none"/>
        </w:rPr>
        <w:t>（客户群诉指就同一问题的投诉户数达10户及以上，或客户为提出抗议、解决诉求而发生的规模达10户及以上、带有明显负面情绪或有非理性行为的客户群聚的情况。）</w:t>
      </w:r>
    </w:p>
    <w:p w14:paraId="40391CDC">
      <w:pPr>
        <w:pStyle w:val="8"/>
        <w:keepNext w:val="0"/>
        <w:keepLines w:val="0"/>
        <w:pageBreakBefore w:val="0"/>
        <w:widowControl w:val="0"/>
        <w:numPr>
          <w:ilvl w:val="0"/>
          <w:numId w:val="5"/>
        </w:numPr>
        <w:kinsoku/>
        <w:wordWrap/>
        <w:overflowPunct/>
        <w:topLinePunct w:val="0"/>
        <w:bidi w:val="0"/>
        <w:spacing w:line="360" w:lineRule="auto"/>
        <w:ind w:left="115" w:right="232" w:firstLine="48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参与查验的相关人员负责全流程模拟验收-工地开放陪验及整改跟进-交付陪验及整改跟进，原则上以上人员不得更换（除甲方要求外），若需更换需提前通知甲方并征得甲方同意后，方可更换</w:t>
      </w:r>
      <w:bookmarkEnd w:id="578"/>
      <w:r>
        <w:rPr>
          <w:rFonts w:hint="eastAsia" w:ascii="宋体" w:hAnsi="宋体" w:cs="宋体"/>
          <w:color w:val="auto"/>
          <w:sz w:val="24"/>
          <w:szCs w:val="24"/>
          <w:highlight w:val="none"/>
          <w:lang w:val="en-US" w:eastAsia="zh-CN"/>
        </w:rPr>
        <w:t>。</w:t>
      </w:r>
    </w:p>
    <w:p w14:paraId="6D771978">
      <w:pPr>
        <w:pStyle w:val="8"/>
        <w:keepNext w:val="0"/>
        <w:keepLines w:val="0"/>
        <w:pageBreakBefore w:val="0"/>
        <w:widowControl w:val="0"/>
        <w:numPr>
          <w:ilvl w:val="0"/>
          <w:numId w:val="5"/>
        </w:numPr>
        <w:kinsoku/>
        <w:wordWrap/>
        <w:overflowPunct/>
        <w:topLinePunct w:val="0"/>
        <w:bidi w:val="0"/>
        <w:spacing w:line="360" w:lineRule="auto"/>
        <w:ind w:left="115" w:right="232" w:firstLine="480"/>
        <w:jc w:val="both"/>
        <w:textAlignment w:val="auto"/>
        <w:rPr>
          <w:rFonts w:hint="eastAsia" w:eastAsia="宋体"/>
          <w:color w:val="auto"/>
          <w:highlight w:val="none"/>
          <w:lang w:val="en-US" w:eastAsia="zh-CN"/>
        </w:rPr>
      </w:pPr>
      <w:r>
        <w:rPr>
          <w:rFonts w:hint="eastAsia" w:ascii="宋体" w:hAnsi="宋体" w:eastAsia="宋体" w:cs="宋体"/>
          <w:color w:val="auto"/>
          <w:sz w:val="24"/>
          <w:szCs w:val="24"/>
          <w:highlight w:val="none"/>
        </w:rPr>
        <w:t>本合同乙方扣款止损金额为</w:t>
      </w:r>
      <w:r>
        <w:rPr>
          <w:rFonts w:hint="eastAsia" w:ascii="宋体" w:hAnsi="宋体" w:eastAsia="宋体" w:cs="宋体"/>
          <w:color w:val="auto"/>
          <w:sz w:val="24"/>
          <w:szCs w:val="24"/>
          <w:highlight w:val="none"/>
          <w:lang w:val="en-US"/>
        </w:rPr>
        <w:t>合同总价</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none"/>
          <w:lang w:val="en-US" w:eastAsia="zh-CN"/>
        </w:rPr>
        <w:t xml:space="preserve"> 。</w:t>
      </w:r>
    </w:p>
    <w:p w14:paraId="145D3B55">
      <w:pPr>
        <w:spacing w:line="360" w:lineRule="auto"/>
        <w:ind w:left="479" w:leftChars="228"/>
        <w:rPr>
          <w:rFonts w:ascii="宋体" w:hAnsi="宋体"/>
          <w:color w:val="auto"/>
          <w:sz w:val="24"/>
          <w:highlight w:val="none"/>
        </w:rPr>
      </w:pPr>
      <w:r>
        <w:rPr>
          <w:rFonts w:hint="eastAsia" w:ascii="宋体" w:hAnsi="宋体" w:cs="Arial"/>
          <w:b/>
          <w:color w:val="auto"/>
          <w:sz w:val="24"/>
          <w:highlight w:val="none"/>
        </w:rPr>
        <w:t>第五条  双方权利和义务</w:t>
      </w:r>
    </w:p>
    <w:p w14:paraId="37CC3DEA">
      <w:pPr>
        <w:spacing w:line="360" w:lineRule="auto"/>
        <w:rPr>
          <w:rFonts w:ascii="宋体" w:hAnsi="宋体"/>
          <w:b/>
          <w:bCs/>
          <w:color w:val="auto"/>
          <w:sz w:val="24"/>
          <w:szCs w:val="24"/>
          <w:highlight w:val="none"/>
        </w:rPr>
      </w:pPr>
      <w:r>
        <w:rPr>
          <w:rFonts w:hint="eastAsia" w:ascii="宋体" w:hAnsi="宋体"/>
          <w:b/>
          <w:bCs/>
          <w:color w:val="auto"/>
          <w:sz w:val="24"/>
          <w:szCs w:val="24"/>
          <w:highlight w:val="none"/>
        </w:rPr>
        <w:t>1、甲方权利</w:t>
      </w:r>
    </w:p>
    <w:p w14:paraId="69CDB2F2">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1）甲方有权审定乙方制定的质量检查方案、质量检查标准和检查表单。</w:t>
      </w:r>
    </w:p>
    <w:p w14:paraId="47C42941">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2）甲方有权对乙方委派人员进行审核。</w:t>
      </w:r>
    </w:p>
    <w:p w14:paraId="26169A39">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3）甲方有权对乙方的工作进展进行检查和督促，有权要求乙方对工作不称职的检查人员予以调换，若乙方在5个工作日内未完成人员调整，甲方有权按1000元/人/天对乙方进行扣罚。</w:t>
      </w:r>
    </w:p>
    <w:p w14:paraId="7D898E5F">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4）针对对乙方驻场人员不配合工作、工作不到位的情形、按合同履行工作的情形，甲方有权进行必要的扣款。</w:t>
      </w:r>
    </w:p>
    <w:p w14:paraId="03EDBC1E">
      <w:pPr>
        <w:spacing w:line="360" w:lineRule="auto"/>
        <w:rPr>
          <w:rFonts w:ascii="宋体" w:hAnsi="宋体"/>
          <w:b/>
          <w:bCs/>
          <w:color w:val="auto"/>
          <w:sz w:val="24"/>
          <w:szCs w:val="24"/>
          <w:highlight w:val="none"/>
        </w:rPr>
      </w:pPr>
      <w:r>
        <w:rPr>
          <w:rFonts w:hint="eastAsia" w:ascii="宋体" w:hAnsi="宋体"/>
          <w:b/>
          <w:bCs/>
          <w:color w:val="auto"/>
          <w:sz w:val="24"/>
          <w:szCs w:val="24"/>
          <w:highlight w:val="none"/>
        </w:rPr>
        <w:t>甲方义务</w:t>
      </w:r>
    </w:p>
    <w:p w14:paraId="0C583F59">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1）乙方检查组进场检查时，甲方须保证各楼栋房屋的“户内土建界面”、“户内交标”（包括楼内公共部位和外墙）检查项目基本达到交付条件。</w:t>
      </w:r>
    </w:p>
    <w:p w14:paraId="5601D58D">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2）在质量检查开始前，负责召集乙方、监理、施工单位召开四方会议，明确各方权利、责任及配合协调事项，并形成书面文件备案。</w:t>
      </w:r>
    </w:p>
    <w:p w14:paraId="15099320">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3）在项目工程例会上安排研讨和处理细部检查有关事项。</w:t>
      </w:r>
    </w:p>
    <w:p w14:paraId="53C1A721">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4）在乙方人员进场后3天内提供与各总承包单位的承包合同、各类房型标准层“建施”图、户内设备、材料清单（包括品牌、型号、验收标准、注意要点）等相关工程资料。</w:t>
      </w:r>
    </w:p>
    <w:p w14:paraId="65F4EA9A">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5）甲方负责免费提供使用复印机，提供满足乙方验房使用的办公地点、桌椅和电源。</w:t>
      </w:r>
    </w:p>
    <w:p w14:paraId="09596015">
      <w:pPr>
        <w:adjustRightInd w:val="0"/>
        <w:snapToGrid w:val="0"/>
        <w:spacing w:line="360" w:lineRule="auto"/>
        <w:ind w:firstLine="480" w:firstLineChars="200"/>
        <w:rPr>
          <w:color w:val="auto"/>
          <w:highlight w:val="none"/>
        </w:rPr>
      </w:pPr>
      <w:r>
        <w:rPr>
          <w:rFonts w:hint="eastAsia" w:ascii="宋体" w:hAnsi="宋体"/>
          <w:color w:val="auto"/>
          <w:sz w:val="24"/>
          <w:szCs w:val="24"/>
          <w:highlight w:val="none"/>
        </w:rPr>
        <w:t>6）按本合同约定时间向乙方支付委托检查工作费用。</w:t>
      </w:r>
    </w:p>
    <w:p w14:paraId="5D909B57">
      <w:pPr>
        <w:spacing w:line="360" w:lineRule="auto"/>
        <w:rPr>
          <w:rFonts w:ascii="宋体" w:hAnsi="宋体"/>
          <w:b/>
          <w:bCs/>
          <w:color w:val="auto"/>
          <w:sz w:val="24"/>
          <w:highlight w:val="none"/>
        </w:rPr>
      </w:pPr>
      <w:r>
        <w:rPr>
          <w:rFonts w:hint="eastAsia" w:ascii="宋体" w:hAnsi="宋体" w:cs="Arial"/>
          <w:b/>
          <w:bCs/>
          <w:color w:val="auto"/>
          <w:sz w:val="24"/>
          <w:highlight w:val="none"/>
          <w:lang w:val="en-US" w:eastAsia="zh-CN"/>
        </w:rPr>
        <w:t>2、</w:t>
      </w:r>
      <w:r>
        <w:rPr>
          <w:rFonts w:hint="eastAsia" w:ascii="宋体" w:hAnsi="宋体" w:cs="Arial"/>
          <w:b/>
          <w:bCs/>
          <w:color w:val="auto"/>
          <w:sz w:val="24"/>
          <w:highlight w:val="none"/>
        </w:rPr>
        <w:t>乙方权利和义务</w:t>
      </w:r>
    </w:p>
    <w:p w14:paraId="0837E1BC">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s="Arial"/>
          <w:color w:val="auto"/>
          <w:sz w:val="24"/>
          <w:highlight w:val="none"/>
        </w:rPr>
        <w:t>1）</w:t>
      </w:r>
      <w:r>
        <w:rPr>
          <w:rFonts w:hint="eastAsia" w:ascii="宋体" w:hAnsi="宋体"/>
          <w:color w:val="auto"/>
          <w:sz w:val="24"/>
          <w:szCs w:val="24"/>
          <w:highlight w:val="none"/>
        </w:rPr>
        <w:t>按本合同的要求保质保量地完成约定的各项工作。</w:t>
      </w:r>
    </w:p>
    <w:p w14:paraId="26CBE678">
      <w:pPr>
        <w:adjustRightInd w:val="0"/>
        <w:snapToGrid w:val="0"/>
        <w:spacing w:line="360" w:lineRule="auto"/>
        <w:ind w:firstLine="480" w:firstLineChars="200"/>
        <w:rPr>
          <w:color w:val="auto"/>
          <w:highlight w:val="none"/>
        </w:rPr>
      </w:pPr>
      <w:r>
        <w:rPr>
          <w:rFonts w:hint="eastAsia" w:ascii="宋体" w:hAnsi="宋体"/>
          <w:color w:val="auto"/>
          <w:sz w:val="24"/>
          <w:szCs w:val="24"/>
          <w:highlight w:val="none"/>
          <w:lang w:val="en-US" w:eastAsia="zh-CN"/>
        </w:rPr>
        <w:t>2）</w:t>
      </w:r>
      <w:r>
        <w:rPr>
          <w:rFonts w:hint="eastAsia" w:ascii="宋体" w:hAnsi="宋体" w:cs="Arial"/>
          <w:color w:val="auto"/>
          <w:sz w:val="24"/>
          <w:highlight w:val="none"/>
        </w:rPr>
        <w:t>乙方必须严格遵守甲方的规章制度，配备足够</w:t>
      </w:r>
      <w:r>
        <w:rPr>
          <w:rFonts w:hint="eastAsia" w:ascii="宋体" w:hAnsi="宋体" w:cs="Arial"/>
          <w:color w:val="auto"/>
          <w:sz w:val="24"/>
          <w:highlight w:val="none"/>
          <w:lang w:val="en-US" w:eastAsia="zh-CN"/>
        </w:rPr>
        <w:t>查验</w:t>
      </w:r>
      <w:r>
        <w:rPr>
          <w:rFonts w:hint="eastAsia" w:ascii="宋体" w:hAnsi="宋体" w:cs="Arial"/>
          <w:color w:val="auto"/>
          <w:sz w:val="24"/>
          <w:highlight w:val="none"/>
        </w:rPr>
        <w:t>人员，提供所有进场人员名单和必备的</w:t>
      </w:r>
      <w:r>
        <w:rPr>
          <w:rFonts w:hint="eastAsia" w:ascii="宋体" w:hAnsi="宋体" w:cs="Arial"/>
          <w:color w:val="auto"/>
          <w:sz w:val="24"/>
          <w:highlight w:val="none"/>
          <w:lang w:val="en-US" w:eastAsia="zh-CN"/>
        </w:rPr>
        <w:t>查验</w:t>
      </w:r>
      <w:r>
        <w:rPr>
          <w:rFonts w:hint="eastAsia" w:ascii="宋体" w:hAnsi="宋体" w:cs="Arial"/>
          <w:color w:val="auto"/>
          <w:sz w:val="24"/>
          <w:highlight w:val="none"/>
        </w:rPr>
        <w:t>设备。</w:t>
      </w:r>
      <w:r>
        <w:rPr>
          <w:rFonts w:hint="eastAsia" w:ascii="宋体" w:hAnsi="宋体"/>
          <w:color w:val="auto"/>
          <w:sz w:val="24"/>
          <w:szCs w:val="24"/>
          <w:highlight w:val="none"/>
        </w:rPr>
        <w:t>）如：水准仪、激光扫平仪、激光测距仪、数码相机、垂直测量尺、卷线器、靠尺、塞尺、工程内外直角检测尺、空鼓锤、水平尺、强光电筒等项目部要求的其他装修检测工具。</w:t>
      </w:r>
    </w:p>
    <w:p w14:paraId="6CF2A9E8">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s="Arial"/>
          <w:color w:val="auto"/>
          <w:sz w:val="24"/>
          <w:highlight w:val="none"/>
          <w:lang w:val="en-US" w:eastAsia="zh-CN"/>
        </w:rPr>
        <w:t>3</w:t>
      </w:r>
      <w:r>
        <w:rPr>
          <w:rFonts w:hint="eastAsia" w:ascii="宋体" w:hAnsi="宋体" w:cs="Arial"/>
          <w:color w:val="auto"/>
          <w:sz w:val="24"/>
          <w:highlight w:val="none"/>
        </w:rPr>
        <w:t>）</w:t>
      </w:r>
      <w:r>
        <w:rPr>
          <w:rFonts w:hint="eastAsia" w:ascii="宋体" w:hAnsi="宋体"/>
          <w:color w:val="auto"/>
          <w:sz w:val="24"/>
          <w:szCs w:val="24"/>
          <w:highlight w:val="none"/>
        </w:rPr>
        <w:t>现场</w:t>
      </w:r>
      <w:r>
        <w:rPr>
          <w:rFonts w:hint="eastAsia" w:ascii="宋体" w:hAnsi="宋体"/>
          <w:color w:val="auto"/>
          <w:sz w:val="24"/>
          <w:szCs w:val="24"/>
          <w:highlight w:val="none"/>
          <w:lang w:val="en-US" w:eastAsia="zh-CN"/>
        </w:rPr>
        <w:t>查验</w:t>
      </w:r>
      <w:r>
        <w:rPr>
          <w:rFonts w:hint="eastAsia" w:ascii="宋体" w:hAnsi="宋体"/>
          <w:color w:val="auto"/>
          <w:sz w:val="24"/>
          <w:szCs w:val="24"/>
          <w:highlight w:val="none"/>
        </w:rPr>
        <w:t>必须具有细部检查相关的专业和管理能力、具有一定验房工作经验，检查人员数量须满足检查进度要求。</w:t>
      </w:r>
    </w:p>
    <w:p w14:paraId="1BA3ACAB">
      <w:pPr>
        <w:spacing w:line="360" w:lineRule="auto"/>
        <w:ind w:firstLine="480" w:firstLineChars="200"/>
        <w:rPr>
          <w:rFonts w:hint="eastAsia" w:ascii="宋体" w:hAnsi="宋体"/>
          <w:color w:val="auto"/>
          <w:sz w:val="24"/>
          <w:szCs w:val="24"/>
          <w:highlight w:val="none"/>
        </w:rPr>
      </w:pPr>
      <w:r>
        <w:rPr>
          <w:rFonts w:hint="eastAsia" w:ascii="宋体" w:hAnsi="宋体" w:cs="Arial"/>
          <w:color w:val="auto"/>
          <w:sz w:val="24"/>
          <w:highlight w:val="none"/>
          <w:lang w:val="en-US" w:eastAsia="zh-CN"/>
        </w:rPr>
        <w:t>4</w:t>
      </w:r>
      <w:r>
        <w:rPr>
          <w:rFonts w:hint="eastAsia" w:ascii="宋体" w:hAnsi="宋体" w:cs="Arial"/>
          <w:color w:val="auto"/>
          <w:sz w:val="24"/>
          <w:highlight w:val="none"/>
        </w:rPr>
        <w:t>）</w:t>
      </w:r>
      <w:r>
        <w:rPr>
          <w:rFonts w:hint="eastAsia" w:ascii="宋体" w:hAnsi="宋体"/>
          <w:color w:val="auto"/>
          <w:sz w:val="24"/>
          <w:szCs w:val="24"/>
          <w:highlight w:val="none"/>
        </w:rPr>
        <w:t>针对甲方的换人要求，乙方须予以配合，并在甲方提出要求后5个工作日更换完毕。</w:t>
      </w:r>
    </w:p>
    <w:p w14:paraId="1A99DD88">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w:t>
      </w:r>
      <w:r>
        <w:rPr>
          <w:rFonts w:hint="eastAsia" w:ascii="宋体" w:hAnsi="宋体"/>
          <w:color w:val="auto"/>
          <w:sz w:val="24"/>
          <w:szCs w:val="24"/>
          <w:highlight w:val="none"/>
        </w:rPr>
        <w:t>乙方负责验收小组的人员管理，并自行承担人员管理的相关责任。</w:t>
      </w:r>
    </w:p>
    <w:p w14:paraId="1473D7CA">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s="Arial"/>
          <w:color w:val="auto"/>
          <w:sz w:val="24"/>
          <w:highlight w:val="none"/>
          <w:lang w:val="en-US" w:eastAsia="zh-CN"/>
        </w:rPr>
        <w:t>6</w:t>
      </w:r>
      <w:r>
        <w:rPr>
          <w:rFonts w:hint="eastAsia" w:ascii="宋体" w:hAnsi="宋体" w:cs="Arial"/>
          <w:color w:val="auto"/>
          <w:sz w:val="24"/>
          <w:highlight w:val="none"/>
        </w:rPr>
        <w:t>）乙</w:t>
      </w:r>
      <w:r>
        <w:rPr>
          <w:rFonts w:hint="eastAsia" w:ascii="宋体" w:hAnsi="宋体"/>
          <w:color w:val="auto"/>
          <w:sz w:val="24"/>
          <w:szCs w:val="24"/>
          <w:highlight w:val="none"/>
        </w:rPr>
        <w:t>合同范围内验收合格的项目，若有业主委托乙方进行模拟验收工作，乙方应及时将相关信息反馈给甲方。对于发现的质量通病应做出合理解释，避免业主向甲方提出索赔要求。</w:t>
      </w:r>
    </w:p>
    <w:p w14:paraId="1E9E6CFF">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s="Arial"/>
          <w:color w:val="auto"/>
          <w:sz w:val="24"/>
          <w:highlight w:val="none"/>
          <w:lang w:val="en-US" w:eastAsia="zh-CN"/>
        </w:rPr>
        <w:t>7</w:t>
      </w:r>
      <w:r>
        <w:rPr>
          <w:rFonts w:hint="eastAsia" w:ascii="宋体" w:hAnsi="宋体" w:cs="Arial"/>
          <w:color w:val="auto"/>
          <w:sz w:val="24"/>
          <w:highlight w:val="none"/>
        </w:rPr>
        <w:t>）</w:t>
      </w:r>
      <w:r>
        <w:rPr>
          <w:rFonts w:hint="eastAsia" w:ascii="宋体" w:hAnsi="宋体"/>
          <w:color w:val="auto"/>
          <w:sz w:val="24"/>
          <w:szCs w:val="24"/>
          <w:highlight w:val="none"/>
        </w:rPr>
        <w:t>验房过程中乙方应坚持客观公正、实事求是的原则，不得弄虚作假，不得损害甲方利益。若有违反，甲方有权扣除合同总价的5％作为违约金，情节严重的，将追究乙方的法律责任。</w:t>
      </w:r>
    </w:p>
    <w:p w14:paraId="0BB5C53E">
      <w:pPr>
        <w:spacing w:line="360" w:lineRule="auto"/>
        <w:rPr>
          <w:rFonts w:ascii="宋体" w:hAnsi="宋体"/>
          <w:b/>
          <w:color w:val="auto"/>
          <w:sz w:val="24"/>
          <w:highlight w:val="none"/>
        </w:rPr>
      </w:pPr>
      <w:r>
        <w:rPr>
          <w:rFonts w:hint="eastAsia" w:ascii="宋体" w:hAnsi="宋体" w:cs="Arial"/>
          <w:b/>
          <w:color w:val="auto"/>
          <w:sz w:val="24"/>
          <w:highlight w:val="none"/>
        </w:rPr>
        <w:t>第六条  违约责任</w:t>
      </w:r>
    </w:p>
    <w:p w14:paraId="0AEA0D62">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甲方将在模拟验收期间根据乙方的检查记录进行不定期抽查，发现乙方因自身原因未按甲方要求的质量检查标准进行100%的检查，甲方有权按合理标准酌情扣减支付给乙方的款项，届时，乙方须无条件同意甲方据此酌定的扣减标准。</w:t>
      </w:r>
    </w:p>
    <w:p w14:paraId="3ED3947B">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2、乙方因自身原因未在工期内或未按甲方要求的进度节点完成相应工作，每延迟一天乙方须向甲方支付人民币500元的违约金。延迟达 15 天，甲方有权解除本合同，并要求乙方按合同总价的20%支付违约金。如因乙方逾期完工而导致甲方需向业主承担逾期交房的违约责任或发生其他损失的，乙方应承担赔偿责任。因施工单位不能及时竣工或因甲方销售计划调整推迟等非乙方原因而导致的工期延误，乙方不承担此项违约责任。</w:t>
      </w:r>
    </w:p>
    <w:p w14:paraId="0AD0EE92">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3、如有重大质量问题乙方未发现或未跟进而导致客户拒收楼，乙方须按其过错程度向甲方承担赔偿责任。</w:t>
      </w:r>
    </w:p>
    <w:p w14:paraId="68FF8AAF">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4、质量检查实施工期内未暴露的质量问题，如交付后出现的墙面裂缝；</w:t>
      </w:r>
      <w:r>
        <w:rPr>
          <w:rFonts w:hint="eastAsia" w:ascii="宋体" w:hAnsi="宋体"/>
          <w:color w:val="auto"/>
          <w:sz w:val="24"/>
          <w:szCs w:val="24"/>
          <w:highlight w:val="none"/>
          <w:u w:val="none"/>
        </w:rPr>
        <w:t>由</w:t>
      </w:r>
      <w:r>
        <w:rPr>
          <w:rFonts w:hint="eastAsia" w:ascii="宋体" w:hAnsi="宋体"/>
          <w:color w:val="auto"/>
          <w:sz w:val="24"/>
          <w:szCs w:val="24"/>
          <w:highlight w:val="none"/>
        </w:rPr>
        <w:t>设计及施工工艺等原因导致暴露滞后的质量问题，以及检查人员无法靠近检查到的（顶层阁楼墙面、门窗）质量问题，乙方不承担此项违约责任。</w:t>
      </w:r>
    </w:p>
    <w:p w14:paraId="35EFAA40">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针对施工过程中的隐蔽工程检查项，乙方检查组在做了相应充分检查（需提供可确认实施时间的书面记录）后而未能发现的渗漏问题，在业主入住后发生因房屋渗漏而出现的投诉与索赔退房情形，乙方不承担此项违约责任。</w:t>
      </w:r>
    </w:p>
    <w:p w14:paraId="01C989B2">
      <w:pPr>
        <w:spacing w:line="360" w:lineRule="auto"/>
        <w:rPr>
          <w:rFonts w:ascii="宋体" w:hAnsi="宋体"/>
          <w:b/>
          <w:color w:val="auto"/>
          <w:sz w:val="24"/>
          <w:highlight w:val="none"/>
        </w:rPr>
      </w:pPr>
      <w:r>
        <w:rPr>
          <w:rFonts w:hint="eastAsia" w:ascii="宋体" w:hAnsi="宋体" w:cs="Arial"/>
          <w:b/>
          <w:color w:val="auto"/>
          <w:sz w:val="24"/>
          <w:highlight w:val="none"/>
        </w:rPr>
        <w:t>第七条  合同的终止</w:t>
      </w:r>
    </w:p>
    <w:p w14:paraId="1FD18013">
      <w:pPr>
        <w:spacing w:line="360" w:lineRule="auto"/>
        <w:rPr>
          <w:rFonts w:ascii="宋体" w:hAnsi="宋体"/>
          <w:color w:val="auto"/>
          <w:sz w:val="24"/>
          <w:highlight w:val="none"/>
        </w:rPr>
      </w:pPr>
      <w:r>
        <w:rPr>
          <w:rFonts w:hint="eastAsia" w:ascii="宋体" w:hAnsi="宋体" w:cs="Arial"/>
          <w:color w:val="auto"/>
          <w:sz w:val="24"/>
          <w:highlight w:val="none"/>
        </w:rPr>
        <w:t>1、本合同规定的承包合同期满，合同自然终止。</w:t>
      </w:r>
    </w:p>
    <w:p w14:paraId="7D317CB5">
      <w:pPr>
        <w:spacing w:line="360" w:lineRule="auto"/>
        <w:rPr>
          <w:rFonts w:ascii="宋体" w:hAnsi="宋体"/>
          <w:color w:val="auto"/>
          <w:sz w:val="24"/>
          <w:highlight w:val="none"/>
        </w:rPr>
      </w:pPr>
      <w:r>
        <w:rPr>
          <w:rFonts w:hint="eastAsia" w:ascii="宋体" w:hAnsi="宋体" w:cs="Arial"/>
          <w:color w:val="auto"/>
          <w:sz w:val="24"/>
          <w:highlight w:val="none"/>
        </w:rPr>
        <w:t>2、由于不可抗力因素导致合同无法继续履行时，本合同可提前终止，甲乙双方均不需承担任何经济责任。</w:t>
      </w:r>
    </w:p>
    <w:p w14:paraId="614E95D2">
      <w:pPr>
        <w:spacing w:line="360" w:lineRule="auto"/>
        <w:rPr>
          <w:rFonts w:ascii="宋体" w:hAnsi="宋体"/>
          <w:color w:val="auto"/>
          <w:sz w:val="24"/>
          <w:highlight w:val="none"/>
        </w:rPr>
      </w:pPr>
      <w:r>
        <w:rPr>
          <w:rFonts w:hint="eastAsia" w:ascii="宋体" w:hAnsi="宋体" w:cs="Arial"/>
          <w:color w:val="auto"/>
          <w:sz w:val="24"/>
          <w:highlight w:val="none"/>
        </w:rPr>
        <w:t>3、合同期内，乙方如有下述情况之一的，经甲乙双方确认属实，甲方可提前解除合同，同时乙方应向甲方支付人民币的违约金，造成甲方损失的，乙方另向甲方赔偿。</w:t>
      </w:r>
    </w:p>
    <w:p w14:paraId="7DB781A3">
      <w:pPr>
        <w:spacing w:line="360" w:lineRule="auto"/>
        <w:ind w:firstLine="480" w:firstLineChars="200"/>
        <w:rPr>
          <w:rFonts w:ascii="宋体" w:hAnsi="宋体"/>
          <w:color w:val="auto"/>
          <w:sz w:val="24"/>
          <w:highlight w:val="none"/>
        </w:rPr>
      </w:pPr>
      <w:r>
        <w:rPr>
          <w:rFonts w:hint="eastAsia" w:ascii="宋体" w:hAnsi="宋体" w:cs="Arial"/>
          <w:color w:val="auto"/>
          <w:sz w:val="24"/>
          <w:highlight w:val="none"/>
        </w:rPr>
        <w:t>1）合同未到期，乙方在未经甲方同意的情况下停止作业；</w:t>
      </w:r>
    </w:p>
    <w:p w14:paraId="3405E437">
      <w:pPr>
        <w:spacing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2）乙方</w:t>
      </w:r>
      <w:r>
        <w:rPr>
          <w:rFonts w:hint="eastAsia" w:ascii="宋体" w:hAnsi="宋体" w:cs="Arial"/>
          <w:color w:val="auto"/>
          <w:sz w:val="24"/>
          <w:highlight w:val="none"/>
          <w:lang w:val="en-US" w:eastAsia="zh-CN"/>
        </w:rPr>
        <w:t>检查数据作假</w:t>
      </w:r>
      <w:r>
        <w:rPr>
          <w:rFonts w:hint="eastAsia" w:ascii="宋体" w:hAnsi="宋体" w:cs="Arial"/>
          <w:color w:val="auto"/>
          <w:sz w:val="24"/>
          <w:highlight w:val="none"/>
        </w:rPr>
        <w:t>或使用</w:t>
      </w:r>
      <w:r>
        <w:rPr>
          <w:rFonts w:hint="eastAsia" w:ascii="宋体" w:hAnsi="宋体" w:cs="Arial"/>
          <w:color w:val="auto"/>
          <w:sz w:val="24"/>
          <w:highlight w:val="none"/>
          <w:lang w:val="en-US" w:eastAsia="zh-CN"/>
        </w:rPr>
        <w:t>劣质</w:t>
      </w:r>
      <w:r>
        <w:rPr>
          <w:rFonts w:hint="eastAsia" w:ascii="宋体" w:hAnsi="宋体" w:cs="Arial"/>
          <w:color w:val="auto"/>
          <w:sz w:val="24"/>
          <w:highlight w:val="none"/>
        </w:rPr>
        <w:t>材料、设备、人员</w:t>
      </w:r>
      <w:r>
        <w:rPr>
          <w:rFonts w:hint="eastAsia" w:ascii="宋体" w:hAnsi="宋体" w:cs="Arial"/>
          <w:color w:val="auto"/>
          <w:sz w:val="24"/>
          <w:highlight w:val="none"/>
          <w:lang w:val="en-US" w:eastAsia="zh-CN"/>
        </w:rPr>
        <w:t>素质不符</w:t>
      </w:r>
      <w:r>
        <w:rPr>
          <w:rFonts w:hint="eastAsia" w:ascii="宋体" w:hAnsi="宋体" w:cs="Arial"/>
          <w:color w:val="auto"/>
          <w:sz w:val="24"/>
          <w:highlight w:val="none"/>
        </w:rPr>
        <w:t>，造成甲方不可弥补的财产或声誉损失；</w:t>
      </w:r>
    </w:p>
    <w:p w14:paraId="245601ED">
      <w:pPr>
        <w:spacing w:line="360" w:lineRule="auto"/>
        <w:ind w:firstLine="480" w:firstLineChars="200"/>
        <w:rPr>
          <w:rFonts w:ascii="宋体" w:hAnsi="宋体"/>
          <w:color w:val="auto"/>
          <w:sz w:val="24"/>
          <w:highlight w:val="none"/>
        </w:rPr>
      </w:pPr>
      <w:r>
        <w:rPr>
          <w:rFonts w:hint="eastAsia" w:ascii="宋体" w:hAnsi="宋体" w:cs="Arial"/>
          <w:color w:val="auto"/>
          <w:sz w:val="24"/>
          <w:highlight w:val="none"/>
        </w:rPr>
        <w:t>3）</w:t>
      </w:r>
      <w:r>
        <w:rPr>
          <w:rFonts w:hint="eastAsia" w:ascii="宋体" w:hAnsi="宋体" w:cs="Arial"/>
          <w:color w:val="auto"/>
          <w:sz w:val="24"/>
          <w:highlight w:val="none"/>
          <w:lang w:val="en-US" w:eastAsia="zh-CN"/>
        </w:rPr>
        <w:t>服务</w:t>
      </w:r>
      <w:r>
        <w:rPr>
          <w:rFonts w:hint="eastAsia" w:ascii="宋体" w:hAnsi="宋体" w:cs="Arial"/>
          <w:color w:val="auto"/>
          <w:sz w:val="24"/>
          <w:highlight w:val="none"/>
        </w:rPr>
        <w:t>期间乙方无法提供</w:t>
      </w:r>
      <w:r>
        <w:rPr>
          <w:rFonts w:hint="eastAsia" w:ascii="宋体" w:hAnsi="宋体" w:cs="Arial"/>
          <w:color w:val="auto"/>
          <w:sz w:val="24"/>
          <w:highlight w:val="none"/>
          <w:lang w:val="en-US" w:eastAsia="zh-CN"/>
        </w:rPr>
        <w:t>要求</w:t>
      </w:r>
      <w:r>
        <w:rPr>
          <w:rFonts w:hint="eastAsia" w:ascii="宋体" w:hAnsi="宋体" w:cs="Arial"/>
          <w:color w:val="auto"/>
          <w:sz w:val="24"/>
          <w:highlight w:val="none"/>
        </w:rPr>
        <w:t>的人员，无法按进度要求完成工作，服务质量低劣或服务效率低下，造成客户投诉或甲方不可弥补的财产或声誉损失的；</w:t>
      </w:r>
    </w:p>
    <w:p w14:paraId="0A7F551A">
      <w:pPr>
        <w:spacing w:line="360" w:lineRule="auto"/>
        <w:ind w:firstLine="480" w:firstLineChars="200"/>
        <w:rPr>
          <w:rFonts w:ascii="宋体" w:hAnsi="宋体"/>
          <w:color w:val="auto"/>
          <w:sz w:val="24"/>
          <w:highlight w:val="none"/>
        </w:rPr>
      </w:pPr>
      <w:r>
        <w:rPr>
          <w:rFonts w:hint="eastAsia" w:ascii="宋体" w:hAnsi="宋体" w:cs="Arial"/>
          <w:color w:val="auto"/>
          <w:sz w:val="24"/>
          <w:highlight w:val="none"/>
        </w:rPr>
        <w:t>4）乙方其它违约或违规行为，造成甲方经济或声誉损失。</w:t>
      </w:r>
    </w:p>
    <w:p w14:paraId="7BB48ABD">
      <w:pPr>
        <w:spacing w:line="360" w:lineRule="auto"/>
        <w:rPr>
          <w:rFonts w:ascii="宋体" w:hAnsi="宋体"/>
          <w:color w:val="auto"/>
          <w:sz w:val="24"/>
          <w:highlight w:val="none"/>
        </w:rPr>
      </w:pPr>
      <w:r>
        <w:rPr>
          <w:rFonts w:hint="eastAsia" w:ascii="宋体" w:hAnsi="宋体" w:cs="Arial"/>
          <w:color w:val="auto"/>
          <w:sz w:val="24"/>
          <w:highlight w:val="none"/>
        </w:rPr>
        <w:t>4、合同期内，甲方如有下述情况之一的，经甲乙双方确认属实，乙方可提前解除合同，甲方应向乙方支付相应未支付的费用及因此造成的损失。</w:t>
      </w:r>
    </w:p>
    <w:p w14:paraId="1DFAEA8F">
      <w:pPr>
        <w:spacing w:line="360" w:lineRule="auto"/>
        <w:ind w:firstLine="480" w:firstLineChars="200"/>
        <w:rPr>
          <w:rFonts w:ascii="宋体" w:hAnsi="宋体"/>
          <w:color w:val="auto"/>
          <w:sz w:val="24"/>
          <w:highlight w:val="none"/>
        </w:rPr>
      </w:pPr>
      <w:r>
        <w:rPr>
          <w:rFonts w:hint="eastAsia" w:ascii="宋体" w:hAnsi="宋体" w:cs="Arial"/>
          <w:color w:val="auto"/>
          <w:sz w:val="24"/>
          <w:highlight w:val="none"/>
        </w:rPr>
        <w:t>1）甲方未能足额向乙方支付合同约定的清洗费用。</w:t>
      </w:r>
    </w:p>
    <w:p w14:paraId="4FF682B4">
      <w:pPr>
        <w:spacing w:line="360" w:lineRule="auto"/>
        <w:ind w:firstLine="480" w:firstLineChars="200"/>
        <w:rPr>
          <w:rFonts w:ascii="宋体" w:hAnsi="宋体"/>
          <w:color w:val="auto"/>
          <w:sz w:val="24"/>
          <w:highlight w:val="none"/>
        </w:rPr>
      </w:pPr>
      <w:r>
        <w:rPr>
          <w:rFonts w:hint="eastAsia" w:ascii="宋体" w:hAnsi="宋体" w:cs="Arial"/>
          <w:color w:val="auto"/>
          <w:sz w:val="24"/>
          <w:highlight w:val="none"/>
        </w:rPr>
        <w:t>2）甲方未经乙方认可并无正当理由随意扣除</w:t>
      </w:r>
      <w:r>
        <w:rPr>
          <w:rFonts w:hint="eastAsia" w:ascii="宋体" w:hAnsi="宋体" w:cs="Arial"/>
          <w:color w:val="auto"/>
          <w:sz w:val="24"/>
          <w:highlight w:val="none"/>
          <w:lang w:val="en-US" w:eastAsia="zh-CN"/>
        </w:rPr>
        <w:t>查验服务</w:t>
      </w:r>
      <w:r>
        <w:rPr>
          <w:rFonts w:hint="eastAsia" w:ascii="宋体" w:hAnsi="宋体" w:cs="Arial"/>
          <w:color w:val="auto"/>
          <w:sz w:val="24"/>
          <w:highlight w:val="none"/>
        </w:rPr>
        <w:t>费用。</w:t>
      </w:r>
    </w:p>
    <w:p w14:paraId="1CBDD1A1">
      <w:pPr>
        <w:spacing w:line="360" w:lineRule="auto"/>
        <w:rPr>
          <w:rFonts w:ascii="宋体" w:hAnsi="宋体"/>
          <w:b/>
          <w:color w:val="auto"/>
          <w:sz w:val="24"/>
          <w:highlight w:val="none"/>
        </w:rPr>
      </w:pPr>
      <w:r>
        <w:rPr>
          <w:rFonts w:hint="eastAsia" w:ascii="宋体" w:hAnsi="宋体" w:cs="Arial"/>
          <w:b/>
          <w:color w:val="auto"/>
          <w:sz w:val="24"/>
          <w:highlight w:val="none"/>
        </w:rPr>
        <w:t>第八条  争议解决</w:t>
      </w:r>
    </w:p>
    <w:p w14:paraId="559459DF">
      <w:pPr>
        <w:spacing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本合同在履行期间，甲乙双方若发生争议时，双方应本着相互谅解的精神协商解决，双方达不成一致时，任何一方均可向</w:t>
      </w:r>
      <w:r>
        <w:rPr>
          <w:rFonts w:hint="eastAsia" w:ascii="宋体" w:hAnsi="宋体" w:cs="Arial"/>
          <w:color w:val="auto"/>
          <w:sz w:val="24"/>
          <w:highlight w:val="none"/>
          <w:lang w:val="en-US" w:eastAsia="zh-CN"/>
        </w:rPr>
        <w:t>甲方</w:t>
      </w:r>
      <w:r>
        <w:rPr>
          <w:rFonts w:hint="eastAsia" w:ascii="宋体" w:hAnsi="宋体" w:cs="Arial"/>
          <w:color w:val="auto"/>
          <w:sz w:val="24"/>
          <w:highlight w:val="none"/>
        </w:rPr>
        <w:t>所在地的人民法院起诉。</w:t>
      </w:r>
    </w:p>
    <w:p w14:paraId="6451F8E9">
      <w:pPr>
        <w:spacing w:line="360" w:lineRule="auto"/>
        <w:ind w:firstLine="0" w:firstLineChars="0"/>
        <w:rPr>
          <w:rFonts w:ascii="宋体" w:hAnsi="宋体" w:cs="Arial"/>
          <w:color w:val="auto"/>
          <w:sz w:val="24"/>
          <w:highlight w:val="none"/>
          <w:u w:val="single"/>
        </w:rPr>
      </w:pPr>
      <w:r>
        <w:rPr>
          <w:rFonts w:hint="eastAsia" w:ascii="宋体" w:hAnsi="宋体" w:cs="Arial"/>
          <w:b/>
          <w:color w:val="auto"/>
          <w:sz w:val="24"/>
          <w:highlight w:val="none"/>
        </w:rPr>
        <w:t xml:space="preserve">第九条 </w:t>
      </w:r>
      <w:r>
        <w:rPr>
          <w:rFonts w:hint="eastAsia" w:ascii="宋体" w:hAnsi="宋体" w:cs="Arial"/>
          <w:b/>
          <w:color w:val="auto"/>
          <w:sz w:val="24"/>
          <w:highlight w:val="none"/>
          <w:lang w:val="en-US" w:eastAsia="zh-CN"/>
        </w:rPr>
        <w:t>质量及验收标准</w:t>
      </w:r>
    </w:p>
    <w:p w14:paraId="46C6199B">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rPr>
        <w:t>乙方服务质量均须满足国家、地方、行业等相关质量评定标准及甲方技术、质量标准要求。</w:t>
      </w:r>
    </w:p>
    <w:p w14:paraId="578902BD">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装修房质量验收依据（以国家/地方/相关部门颁布的最新规范为准）：</w:t>
      </w:r>
    </w:p>
    <w:p w14:paraId="7B7B9D73">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1GB50096-1999《住宅设计规范》；</w:t>
      </w:r>
    </w:p>
    <w:p w14:paraId="0837EBEC">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GB50210-2001《建筑装饰装修工程质量验收规范》；</w:t>
      </w:r>
    </w:p>
    <w:p w14:paraId="12594968">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GB50325-2001《民用建筑工程室内环境污染控制规范》；</w:t>
      </w:r>
    </w:p>
    <w:p w14:paraId="6167A5C2">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验收标准参照《模拟验收实施内容及标准（精装、毛坯）》执行</w:t>
      </w:r>
    </w:p>
    <w:p w14:paraId="15325F42">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业主购房合同约定的交房标准；</w:t>
      </w:r>
    </w:p>
    <w:p w14:paraId="0E1BBE80">
      <w:pPr>
        <w:adjustRightInd w:val="0"/>
        <w:snapToGrid w:val="0"/>
        <w:spacing w:line="360" w:lineRule="auto"/>
        <w:ind w:firstLine="480" w:firstLineChars="200"/>
        <w:rPr>
          <w:color w:val="auto"/>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房屋建筑装修施工图。</w:t>
      </w:r>
    </w:p>
    <w:p w14:paraId="62EB8D96">
      <w:pPr>
        <w:spacing w:line="360" w:lineRule="auto"/>
        <w:rPr>
          <w:rFonts w:ascii="宋体" w:hAnsi="宋体"/>
          <w:b/>
          <w:color w:val="auto"/>
          <w:sz w:val="24"/>
          <w:highlight w:val="none"/>
        </w:rPr>
      </w:pPr>
      <w:r>
        <w:rPr>
          <w:rFonts w:hint="eastAsia" w:ascii="宋体" w:hAnsi="宋体" w:cs="Arial"/>
          <w:b/>
          <w:color w:val="auto"/>
          <w:sz w:val="24"/>
          <w:highlight w:val="none"/>
        </w:rPr>
        <w:t>第十条 其它</w:t>
      </w:r>
    </w:p>
    <w:p w14:paraId="02DEAC08">
      <w:pPr>
        <w:spacing w:line="360" w:lineRule="auto"/>
        <w:ind w:firstLine="480" w:firstLineChars="200"/>
        <w:rPr>
          <w:rFonts w:ascii="宋体" w:hAnsi="宋体" w:cs="Arial"/>
          <w:color w:val="auto"/>
          <w:sz w:val="24"/>
          <w:highlight w:val="none"/>
        </w:rPr>
      </w:pPr>
      <w:r>
        <w:rPr>
          <w:rFonts w:ascii="宋体" w:hAnsi="宋体" w:cs="Arial"/>
          <w:color w:val="auto"/>
          <w:sz w:val="24"/>
          <w:highlight w:val="none"/>
        </w:rPr>
        <w:t>1</w:t>
      </w:r>
      <w:r>
        <w:rPr>
          <w:rFonts w:hint="eastAsia" w:ascii="宋体" w:hAnsi="宋体" w:cs="Arial"/>
          <w:color w:val="auto"/>
          <w:sz w:val="24"/>
          <w:highlight w:val="none"/>
        </w:rPr>
        <w:t>、合同期内，乙方应确保</w:t>
      </w:r>
      <w:r>
        <w:rPr>
          <w:rFonts w:hint="eastAsia" w:ascii="宋体" w:hAnsi="宋体" w:cs="Arial"/>
          <w:color w:val="auto"/>
          <w:sz w:val="24"/>
          <w:highlight w:val="none"/>
          <w:lang w:val="en-US" w:eastAsia="zh-CN"/>
        </w:rPr>
        <w:t>模拟查验</w:t>
      </w:r>
      <w:r>
        <w:rPr>
          <w:rFonts w:hint="eastAsia" w:ascii="宋体" w:hAnsi="宋体" w:cs="Arial"/>
          <w:color w:val="auto"/>
          <w:sz w:val="24"/>
          <w:highlight w:val="none"/>
        </w:rPr>
        <w:t>人员的相对固定，不得随意将人员调往其他地方。</w:t>
      </w:r>
    </w:p>
    <w:p w14:paraId="629F280E">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、本合同壹式贰份，双方各执壹份，具同等法律效力，自</w:t>
      </w:r>
      <w:r>
        <w:rPr>
          <w:rFonts w:hint="eastAsia" w:ascii="宋体" w:hAnsi="宋体" w:cs="宋体"/>
          <w:color w:val="auto"/>
          <w:kern w:val="0"/>
          <w:sz w:val="24"/>
          <w:highlight w:val="none"/>
        </w:rPr>
        <w:t>本合同双方签字盖章之日起生效</w:t>
      </w:r>
      <w:r>
        <w:rPr>
          <w:rFonts w:hint="eastAsia" w:ascii="宋体" w:hAnsi="宋体"/>
          <w:color w:val="auto"/>
          <w:sz w:val="24"/>
          <w:highlight w:val="none"/>
        </w:rPr>
        <w:t>。</w:t>
      </w:r>
    </w:p>
    <w:p w14:paraId="2B6847F3">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、如有未尽事宜，由双方协商解决并可签署补充合同，补充合同与本合同具有同等效力。</w:t>
      </w:r>
    </w:p>
    <w:p w14:paraId="39D92AEA">
      <w:pPr>
        <w:spacing w:line="360" w:lineRule="auto"/>
        <w:ind w:firstLine="482" w:firstLineChars="200"/>
        <w:rPr>
          <w:rFonts w:ascii="宋体" w:hAnsi="宋体" w:cs="Arial"/>
          <w:color w:val="auto"/>
          <w:sz w:val="24"/>
          <w:highlight w:val="none"/>
        </w:rPr>
      </w:pPr>
      <w:r>
        <w:rPr>
          <w:rFonts w:hint="eastAsia" w:ascii="宋体" w:hAnsi="宋体" w:cs="Arial"/>
          <w:b/>
          <w:color w:val="auto"/>
          <w:sz w:val="24"/>
          <w:highlight w:val="none"/>
        </w:rPr>
        <w:t>附件：施工安全责任书</w:t>
      </w:r>
    </w:p>
    <w:p w14:paraId="514EB202">
      <w:pPr>
        <w:spacing w:line="360" w:lineRule="auto"/>
        <w:ind w:left="-141" w:leftChars="-67"/>
        <w:rPr>
          <w:rFonts w:ascii="宋体" w:hAnsi="宋体" w:cs="Arial"/>
          <w:color w:val="auto"/>
          <w:sz w:val="24"/>
          <w:highlight w:val="none"/>
        </w:rPr>
      </w:pPr>
    </w:p>
    <w:p w14:paraId="6DC5B28C">
      <w:pPr>
        <w:spacing w:line="360" w:lineRule="auto"/>
        <w:ind w:left="-141" w:leftChars="-67"/>
        <w:rPr>
          <w:rFonts w:ascii="宋体" w:hAnsi="宋体" w:cs="Arial"/>
          <w:color w:val="auto"/>
          <w:sz w:val="24"/>
          <w:highlight w:val="none"/>
        </w:rPr>
      </w:pPr>
    </w:p>
    <w:p w14:paraId="0D5CD053">
      <w:pPr>
        <w:spacing w:line="360" w:lineRule="auto"/>
        <w:ind w:left="-141" w:leftChars="-67"/>
        <w:rPr>
          <w:rFonts w:ascii="宋体" w:hAnsi="宋体" w:cs="Arial"/>
          <w:color w:val="auto"/>
          <w:sz w:val="24"/>
          <w:highlight w:val="none"/>
        </w:rPr>
      </w:pPr>
    </w:p>
    <w:p w14:paraId="43C21B1C">
      <w:pPr>
        <w:spacing w:line="360" w:lineRule="auto"/>
        <w:ind w:left="-141" w:leftChars="-67"/>
        <w:rPr>
          <w:rFonts w:ascii="宋体" w:hAnsi="宋体" w:cs="Arial"/>
          <w:color w:val="auto"/>
          <w:sz w:val="24"/>
          <w:highlight w:val="none"/>
        </w:rPr>
      </w:pPr>
    </w:p>
    <w:p w14:paraId="5DA461F3">
      <w:pPr>
        <w:spacing w:line="360" w:lineRule="auto"/>
        <w:rPr>
          <w:rFonts w:ascii="宋体" w:hAnsi="宋体"/>
          <w:b/>
          <w:color w:val="auto"/>
          <w:sz w:val="24"/>
          <w:highlight w:val="none"/>
        </w:rPr>
      </w:pPr>
      <w:r>
        <w:rPr>
          <w:rFonts w:hint="eastAsia" w:ascii="宋体" w:hAnsi="宋体"/>
          <w:b/>
          <w:color w:val="auto"/>
          <w:sz w:val="24"/>
          <w:highlight w:val="none"/>
        </w:rPr>
        <w:t>甲方：                                  乙方：</w:t>
      </w:r>
    </w:p>
    <w:p w14:paraId="5CCAD9A2">
      <w:pPr>
        <w:spacing w:line="360" w:lineRule="auto"/>
        <w:rPr>
          <w:rFonts w:ascii="宋体" w:hAnsi="宋体"/>
          <w:b/>
          <w:color w:val="auto"/>
          <w:sz w:val="24"/>
          <w:highlight w:val="none"/>
        </w:rPr>
      </w:pPr>
      <w:r>
        <w:rPr>
          <w:rFonts w:hint="eastAsia" w:ascii="宋体" w:hAnsi="宋体"/>
          <w:b/>
          <w:color w:val="auto"/>
          <w:sz w:val="24"/>
          <w:highlight w:val="none"/>
        </w:rPr>
        <w:t>授权代表：                              授权代表：</w:t>
      </w:r>
    </w:p>
    <w:p w14:paraId="5D365F86">
      <w:pPr>
        <w:spacing w:line="360" w:lineRule="auto"/>
        <w:rPr>
          <w:rFonts w:ascii="宋体" w:hAnsi="宋体"/>
          <w:b/>
          <w:color w:val="auto"/>
          <w:sz w:val="24"/>
          <w:highlight w:val="none"/>
        </w:rPr>
      </w:pPr>
      <w:r>
        <w:rPr>
          <w:rFonts w:hint="eastAsia" w:ascii="宋体" w:hAnsi="宋体"/>
          <w:b/>
          <w:color w:val="auto"/>
          <w:sz w:val="24"/>
          <w:highlight w:val="none"/>
        </w:rPr>
        <w:t>联系方式：                              联系方式：</w:t>
      </w:r>
    </w:p>
    <w:p w14:paraId="61F88017">
      <w:pPr>
        <w:spacing w:line="360" w:lineRule="auto"/>
        <w:ind w:left="-141" w:leftChars="-67" w:firstLine="116" w:firstLineChars="48"/>
        <w:rPr>
          <w:rFonts w:ascii="宋体" w:hAnsi="宋体" w:cs="Arial"/>
          <w:color w:val="auto"/>
          <w:sz w:val="24"/>
          <w:highlight w:val="none"/>
        </w:rPr>
      </w:pPr>
      <w:r>
        <w:rPr>
          <w:rFonts w:hint="eastAsia" w:ascii="宋体" w:hAnsi="宋体"/>
          <w:b/>
          <w:color w:val="auto"/>
          <w:sz w:val="24"/>
          <w:highlight w:val="none"/>
        </w:rPr>
        <w:t>日期：                                  日期：</w:t>
      </w:r>
    </w:p>
    <w:p w14:paraId="03162F2B">
      <w:pPr>
        <w:tabs>
          <w:tab w:val="left" w:pos="3645"/>
        </w:tabs>
        <w:spacing w:line="360" w:lineRule="auto"/>
        <w:rPr>
          <w:rFonts w:ascii="宋体" w:hAnsi="宋体"/>
          <w:color w:val="auto"/>
          <w:sz w:val="24"/>
          <w:highlight w:val="none"/>
        </w:rPr>
      </w:pPr>
    </w:p>
    <w:p w14:paraId="4AA38587">
      <w:pPr>
        <w:pStyle w:val="24"/>
        <w:rPr>
          <w:rFonts w:ascii="宋体" w:hAnsi="宋体"/>
          <w:color w:val="auto"/>
          <w:sz w:val="24"/>
          <w:highlight w:val="none"/>
        </w:rPr>
      </w:pPr>
    </w:p>
    <w:p w14:paraId="1ED258A2">
      <w:pPr>
        <w:rPr>
          <w:rFonts w:ascii="宋体" w:hAnsi="宋体"/>
          <w:color w:val="auto"/>
          <w:sz w:val="24"/>
          <w:highlight w:val="none"/>
        </w:rPr>
      </w:pPr>
      <w:r>
        <w:rPr>
          <w:rFonts w:ascii="宋体" w:hAnsi="宋体"/>
          <w:color w:val="auto"/>
          <w:sz w:val="24"/>
          <w:highlight w:val="none"/>
        </w:rPr>
        <w:br w:type="page"/>
      </w:r>
    </w:p>
    <w:p w14:paraId="1427FC16">
      <w:pPr>
        <w:tabs>
          <w:tab w:val="left" w:pos="3645"/>
        </w:tabs>
        <w:spacing w:line="360" w:lineRule="auto"/>
        <w:rPr>
          <w:rFonts w:ascii="宋体" w:hAnsi="宋体"/>
          <w:b/>
          <w:bCs/>
          <w:color w:val="auto"/>
          <w:sz w:val="24"/>
          <w:highlight w:val="none"/>
        </w:rPr>
      </w:pPr>
      <w:r>
        <w:rPr>
          <w:rFonts w:hint="eastAsia" w:ascii="宋体" w:hAnsi="宋体"/>
          <w:b/>
          <w:bCs/>
          <w:color w:val="auto"/>
          <w:sz w:val="24"/>
          <w:highlight w:val="none"/>
        </w:rPr>
        <w:t>附件：施工安全责任书</w:t>
      </w:r>
    </w:p>
    <w:p w14:paraId="20B0520A">
      <w:pPr>
        <w:spacing w:line="360" w:lineRule="auto"/>
        <w:jc w:val="center"/>
        <w:rPr>
          <w:rFonts w:ascii="宋体" w:hAnsi="宋体"/>
          <w:bCs/>
          <w:color w:val="auto"/>
          <w:sz w:val="24"/>
          <w:highlight w:val="none"/>
        </w:rPr>
      </w:pPr>
    </w:p>
    <w:p w14:paraId="7A34E275">
      <w:pPr>
        <w:spacing w:line="360" w:lineRule="auto"/>
        <w:rPr>
          <w:rFonts w:hint="eastAsia" w:ascii="宋体" w:hAnsi="宋体" w:eastAsia="宋体" w:cs="Arial"/>
          <w:color w:val="auto"/>
          <w:sz w:val="24"/>
          <w:highlight w:val="none"/>
          <w:lang w:eastAsia="zh-CN"/>
        </w:rPr>
      </w:pPr>
      <w:r>
        <w:rPr>
          <w:rFonts w:hint="eastAsia" w:ascii="宋体" w:hAnsi="宋体"/>
          <w:bCs/>
          <w:color w:val="auto"/>
          <w:sz w:val="24"/>
          <w:highlight w:val="none"/>
        </w:rPr>
        <w:t>甲方：</w:t>
      </w:r>
      <w:r>
        <w:rPr>
          <w:rFonts w:hint="eastAsia" w:ascii="宋体" w:hAnsi="宋体" w:cs="Arial"/>
          <w:color w:val="auto"/>
          <w:sz w:val="24"/>
          <w:highlight w:val="none"/>
          <w:lang w:eastAsia="zh-CN"/>
        </w:rPr>
        <w:t>厦门国贸物业服务有限公司</w:t>
      </w:r>
    </w:p>
    <w:p w14:paraId="6E7CCAA9">
      <w:pPr>
        <w:spacing w:line="360" w:lineRule="auto"/>
        <w:rPr>
          <w:rFonts w:ascii="宋体" w:hAnsi="宋体"/>
          <w:bCs/>
          <w:color w:val="auto"/>
          <w:sz w:val="24"/>
          <w:highlight w:val="none"/>
        </w:rPr>
      </w:pPr>
      <w:r>
        <w:rPr>
          <w:rFonts w:hint="eastAsia" w:ascii="宋体" w:hAnsi="宋体"/>
          <w:bCs/>
          <w:color w:val="auto"/>
          <w:sz w:val="24"/>
          <w:highlight w:val="none"/>
        </w:rPr>
        <w:t>乙方：</w:t>
      </w:r>
    </w:p>
    <w:p w14:paraId="60258831">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为确保在</w:t>
      </w:r>
      <w:r>
        <w:rPr>
          <w:rFonts w:hint="eastAsia" w:ascii="宋体" w:hAnsi="宋体"/>
          <w:bCs/>
          <w:color w:val="auto"/>
          <w:sz w:val="24"/>
          <w:highlight w:val="none"/>
          <w:lang w:val="en-US" w:eastAsia="zh-CN"/>
        </w:rPr>
        <w:t>项目模拟查验服务</w:t>
      </w:r>
      <w:r>
        <w:rPr>
          <w:rFonts w:hint="eastAsia" w:ascii="宋体" w:hAnsi="宋体"/>
          <w:bCs/>
          <w:color w:val="auto"/>
          <w:sz w:val="24"/>
          <w:highlight w:val="none"/>
        </w:rPr>
        <w:t>施工期间内安全达标，并督促乙方负责人认真贯彻落实《建设工程安全生产管理条例》的要求，管理好施工现场，顺利完成该工程，特签订本责任书：</w:t>
      </w:r>
    </w:p>
    <w:p w14:paraId="55143A94">
      <w:pPr>
        <w:spacing w:line="360" w:lineRule="auto"/>
        <w:ind w:firstLine="480" w:firstLineChars="200"/>
        <w:rPr>
          <w:rFonts w:ascii="宋体" w:hAns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、乙方必须严格执行甲方公司的各项规章制度，认真履行安全生产责任，配合甲方项目人员的工作安排，确保安全生产管理目标。</w:t>
      </w:r>
    </w:p>
    <w:p w14:paraId="4818FE3D">
      <w:pPr>
        <w:spacing w:line="360" w:lineRule="auto"/>
        <w:ind w:firstLine="480" w:firstLineChars="200"/>
        <w:rPr>
          <w:rFonts w:ascii="宋体" w:hAnsi="宋体"/>
          <w:bCs/>
          <w:color w:val="auto"/>
          <w:sz w:val="24"/>
          <w:highlight w:val="none"/>
        </w:rPr>
      </w:pPr>
      <w:r>
        <w:rPr>
          <w:rFonts w:ascii="宋体" w:hAnsi="宋体"/>
          <w:bCs/>
          <w:color w:val="auto"/>
          <w:sz w:val="24"/>
          <w:highlight w:val="none"/>
        </w:rPr>
        <w:t>2</w:t>
      </w:r>
      <w:r>
        <w:rPr>
          <w:rFonts w:hint="eastAsia" w:ascii="宋体" w:hAnsi="宋体"/>
          <w:bCs/>
          <w:color w:val="auto"/>
          <w:sz w:val="24"/>
          <w:highlight w:val="none"/>
        </w:rPr>
        <w:t>、乙方在施工中应保护好现场环境，在施工中如有破坏本工程原有建筑物品，应负责修复或赔偿；不破坏或损坏其它现有的植物和道路，如果有破坏或损坏乙方应及时恢复原状。</w:t>
      </w:r>
    </w:p>
    <w:p w14:paraId="1D8E4DE3">
      <w:pPr>
        <w:spacing w:line="360" w:lineRule="auto"/>
        <w:ind w:firstLine="480" w:firstLineChars="200"/>
        <w:rPr>
          <w:rFonts w:ascii="宋体" w:hAnsi="宋体"/>
          <w:bCs/>
          <w:color w:val="auto"/>
          <w:sz w:val="24"/>
          <w:highlight w:val="none"/>
        </w:rPr>
      </w:pPr>
      <w:r>
        <w:rPr>
          <w:rFonts w:ascii="宋体" w:hAnsi="宋体"/>
          <w:bCs/>
          <w:color w:val="auto"/>
          <w:sz w:val="24"/>
          <w:highlight w:val="none"/>
        </w:rPr>
        <w:t>3</w:t>
      </w:r>
      <w:r>
        <w:rPr>
          <w:rFonts w:hint="eastAsia" w:ascii="宋体" w:hAnsi="宋体"/>
          <w:bCs/>
          <w:color w:val="auto"/>
          <w:sz w:val="24"/>
          <w:highlight w:val="none"/>
        </w:rPr>
        <w:t>、乙方施工人员在施工过程中应佩戴防护装置，并做好相应的安全防范措施，</w:t>
      </w:r>
      <w:r>
        <w:rPr>
          <w:rFonts w:hint="eastAsia" w:ascii="宋体" w:hAnsi="宋体"/>
          <w:color w:val="auto"/>
          <w:sz w:val="24"/>
          <w:highlight w:val="none"/>
        </w:rPr>
        <w:t>施工过程中造成乙方操作人员及其他人员人身或财产损坏损害的，由乙方承担全部责任</w:t>
      </w:r>
      <w:r>
        <w:rPr>
          <w:rFonts w:hint="eastAsia" w:ascii="宋体" w:hAnsi="宋体"/>
          <w:bCs/>
          <w:color w:val="auto"/>
          <w:sz w:val="24"/>
          <w:highlight w:val="none"/>
        </w:rPr>
        <w:t>。</w:t>
      </w:r>
    </w:p>
    <w:p w14:paraId="4C301AAC">
      <w:pPr>
        <w:spacing w:line="360" w:lineRule="auto"/>
        <w:ind w:firstLine="480" w:firstLineChars="200"/>
        <w:rPr>
          <w:rFonts w:ascii="宋体" w:hAnsi="宋体"/>
          <w:bCs/>
          <w:color w:val="auto"/>
          <w:sz w:val="24"/>
          <w:highlight w:val="none"/>
        </w:rPr>
      </w:pPr>
      <w:r>
        <w:rPr>
          <w:rFonts w:ascii="宋体" w:hAnsi="宋体"/>
          <w:bCs/>
          <w:color w:val="auto"/>
          <w:sz w:val="24"/>
          <w:highlight w:val="none"/>
        </w:rPr>
        <w:t>4</w:t>
      </w:r>
      <w:r>
        <w:rPr>
          <w:rFonts w:hint="eastAsia" w:ascii="宋体" w:hAnsi="宋体"/>
          <w:bCs/>
          <w:color w:val="auto"/>
          <w:sz w:val="24"/>
          <w:highlight w:val="none"/>
        </w:rPr>
        <w:t>、乙方在进行高空作业之前应根据高空作业的相关规定，结合工人实际操作对工人作业时挂绳、上绳、定期检查绳子质量等问题进行全面检查和培训，严格按照操作规程、各种安全技术措施进行操作。</w:t>
      </w:r>
    </w:p>
    <w:p w14:paraId="5EC7DB51">
      <w:pPr>
        <w:spacing w:line="360" w:lineRule="auto"/>
        <w:ind w:firstLine="480" w:firstLineChars="200"/>
        <w:rPr>
          <w:rFonts w:ascii="宋体" w:hAnsi="宋体"/>
          <w:bCs/>
          <w:color w:val="auto"/>
          <w:sz w:val="24"/>
          <w:highlight w:val="none"/>
        </w:rPr>
      </w:pPr>
      <w:r>
        <w:rPr>
          <w:rFonts w:ascii="宋体" w:hAnsi="宋体"/>
          <w:bCs/>
          <w:color w:val="auto"/>
          <w:sz w:val="24"/>
          <w:highlight w:val="none"/>
        </w:rPr>
        <w:t>5</w:t>
      </w:r>
      <w:r>
        <w:rPr>
          <w:rFonts w:hint="eastAsia" w:ascii="宋体" w:hAnsi="宋体"/>
          <w:bCs/>
          <w:color w:val="auto"/>
          <w:sz w:val="24"/>
          <w:highlight w:val="none"/>
        </w:rPr>
        <w:t>、乙方须严格贯彻执行国家安全法规，确保工人人身安全及设备正常运转。</w:t>
      </w:r>
    </w:p>
    <w:p w14:paraId="32602DF5">
      <w:pPr>
        <w:spacing w:line="360" w:lineRule="auto"/>
        <w:ind w:firstLine="480" w:firstLineChars="200"/>
        <w:rPr>
          <w:rFonts w:ascii="宋体" w:hAnsi="宋体"/>
          <w:bCs/>
          <w:color w:val="auto"/>
          <w:sz w:val="24"/>
          <w:highlight w:val="none"/>
        </w:rPr>
      </w:pPr>
      <w:r>
        <w:rPr>
          <w:rFonts w:ascii="宋体" w:hAnsi="宋体"/>
          <w:color w:val="auto"/>
          <w:sz w:val="24"/>
          <w:highlight w:val="none"/>
        </w:rPr>
        <w:t>6</w:t>
      </w:r>
      <w:r>
        <w:rPr>
          <w:rFonts w:hint="eastAsia" w:ascii="宋体" w:hAnsi="宋体"/>
          <w:color w:val="auto"/>
          <w:sz w:val="24"/>
          <w:highlight w:val="none"/>
        </w:rPr>
        <w:t>、从事高空作业人员必须全部经过专业技术培训，并持国家认可的资格证书方可上岗。</w:t>
      </w:r>
    </w:p>
    <w:p w14:paraId="22B5C503">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以上各项如有违反，甲方将追究乙方责任，情节严重者要追究其法律责任。</w:t>
      </w:r>
    </w:p>
    <w:p w14:paraId="7ACBBC8D">
      <w:pPr>
        <w:spacing w:line="360" w:lineRule="auto"/>
        <w:rPr>
          <w:rFonts w:ascii="宋体" w:hAnsi="宋体"/>
          <w:bCs/>
          <w:color w:val="auto"/>
          <w:sz w:val="24"/>
          <w:highlight w:val="none"/>
        </w:rPr>
      </w:pPr>
    </w:p>
    <w:p w14:paraId="3B4D5C23">
      <w:pPr>
        <w:spacing w:line="360" w:lineRule="auto"/>
        <w:rPr>
          <w:rFonts w:ascii="宋体" w:hAnsi="宋体"/>
          <w:bCs/>
          <w:color w:val="auto"/>
          <w:sz w:val="24"/>
          <w:highlight w:val="none"/>
        </w:rPr>
      </w:pPr>
    </w:p>
    <w:p w14:paraId="2606BAF1">
      <w:pPr>
        <w:spacing w:line="360" w:lineRule="auto"/>
        <w:rPr>
          <w:rFonts w:hint="eastAsia" w:ascii="宋体" w:hAnsi="宋体" w:eastAsia="宋体" w:cs="Arial"/>
          <w:color w:val="auto"/>
          <w:sz w:val="24"/>
          <w:highlight w:val="none"/>
          <w:lang w:eastAsia="zh-CN"/>
        </w:rPr>
      </w:pPr>
      <w:r>
        <w:rPr>
          <w:rFonts w:hint="eastAsia" w:ascii="宋体" w:hAnsi="宋体"/>
          <w:bCs/>
          <w:color w:val="auto"/>
          <w:sz w:val="24"/>
          <w:highlight w:val="none"/>
        </w:rPr>
        <w:t>甲方：</w:t>
      </w:r>
      <w:r>
        <w:rPr>
          <w:rFonts w:hint="eastAsia" w:ascii="宋体" w:hAnsi="宋体" w:cs="Arial"/>
          <w:color w:val="auto"/>
          <w:sz w:val="24"/>
          <w:highlight w:val="none"/>
          <w:lang w:eastAsia="zh-CN"/>
        </w:rPr>
        <w:t>厦门国贸物业服务有限公司</w:t>
      </w:r>
    </w:p>
    <w:p w14:paraId="23BB4711">
      <w:pPr>
        <w:pStyle w:val="24"/>
        <w:rPr>
          <w:rFonts w:hint="default" w:eastAsia="宋体"/>
          <w:color w:val="auto"/>
          <w:lang w:val="en-US" w:eastAsia="zh-CN"/>
        </w:rPr>
      </w:pPr>
      <w:r>
        <w:rPr>
          <w:rFonts w:hint="eastAsia" w:ascii="宋体" w:hAnsi="宋体" w:cs="Arial"/>
          <w:color w:val="auto"/>
          <w:sz w:val="24"/>
          <w:highlight w:val="none"/>
          <w:lang w:val="en-US" w:eastAsia="zh-CN"/>
        </w:rPr>
        <w:t>代表人：</w:t>
      </w:r>
    </w:p>
    <w:p w14:paraId="31F39D9B">
      <w:pPr>
        <w:spacing w:line="360" w:lineRule="auto"/>
        <w:rPr>
          <w:rFonts w:ascii="宋体" w:hAnsi="宋体"/>
          <w:bCs/>
          <w:color w:val="auto"/>
          <w:sz w:val="24"/>
          <w:highlight w:val="none"/>
        </w:rPr>
      </w:pPr>
      <w:r>
        <w:rPr>
          <w:rFonts w:hint="eastAsia" w:ascii="宋体" w:hAnsi="宋体"/>
          <w:bCs/>
          <w:color w:val="auto"/>
          <w:sz w:val="24"/>
          <w:highlight w:val="none"/>
        </w:rPr>
        <w:t>乙方：</w:t>
      </w:r>
    </w:p>
    <w:p w14:paraId="4E09767A">
      <w:pPr>
        <w:spacing w:line="360" w:lineRule="auto"/>
        <w:rPr>
          <w:rFonts w:ascii="宋体" w:hAnsi="宋体"/>
          <w:bCs/>
          <w:color w:val="auto"/>
          <w:sz w:val="24"/>
          <w:highlight w:val="none"/>
        </w:rPr>
      </w:pPr>
      <w:r>
        <w:rPr>
          <w:rFonts w:hint="eastAsia" w:ascii="宋体" w:hAnsi="宋体"/>
          <w:bCs/>
          <w:color w:val="auto"/>
          <w:sz w:val="24"/>
          <w:highlight w:val="none"/>
        </w:rPr>
        <w:t>代表人：</w:t>
      </w:r>
    </w:p>
    <w:p w14:paraId="73B9A483">
      <w:pPr>
        <w:tabs>
          <w:tab w:val="left" w:pos="3600"/>
          <w:tab w:val="left" w:pos="3780"/>
        </w:tabs>
        <w:spacing w:line="360" w:lineRule="auto"/>
        <w:ind w:left="-178" w:leftChars="-85" w:firstLine="177" w:firstLineChars="74"/>
        <w:rPr>
          <w:rFonts w:ascii="宋体" w:hAnsi="宋体" w:cs="Arial"/>
          <w:color w:val="auto"/>
          <w:sz w:val="24"/>
          <w:highlight w:val="none"/>
        </w:rPr>
      </w:pPr>
      <w:r>
        <w:rPr>
          <w:rFonts w:hint="eastAsia" w:ascii="宋体" w:hAnsi="宋体"/>
          <w:bCs/>
          <w:color w:val="auto"/>
          <w:sz w:val="24"/>
          <w:highlight w:val="none"/>
        </w:rPr>
        <w:t>日期：年月日</w:t>
      </w:r>
    </w:p>
    <w:p w14:paraId="5A10A319">
      <w:pPr>
        <w:rPr>
          <w:color w:val="auto"/>
          <w:highlight w:val="none"/>
        </w:rPr>
      </w:pPr>
    </w:p>
    <w:sectPr>
      <w:footerReference r:id="rId5" w:type="default"/>
      <w:pgSz w:w="11906" w:h="16838"/>
      <w:pgMar w:top="1418" w:right="1418" w:bottom="141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69924"/>
    </w:sdtPr>
    <w:sdtContent>
      <w:p w14:paraId="41517CE4">
        <w:pPr>
          <w:pStyle w:val="13"/>
          <w:jc w:val="center"/>
        </w:pPr>
        <w:r>
          <w:fldChar w:fldCharType="begin"/>
        </w:r>
        <w:r>
          <w:instrText xml:space="preserve"> PAGE   \* MERGEFORMAT </w:instrText>
        </w:r>
        <w:r>
          <w:fldChar w:fldCharType="separate"/>
        </w:r>
        <w:r>
          <w:rPr>
            <w:lang w:val="zh-CN"/>
          </w:rPr>
          <w:t>31</w:t>
        </w:r>
        <w:r>
          <w:rPr>
            <w:lang w:val="zh-CN"/>
          </w:rPr>
          <w:fldChar w:fldCharType="end"/>
        </w:r>
      </w:p>
    </w:sdtContent>
  </w:sdt>
  <w:p w14:paraId="08803AA5">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51F6B">
    <w:pPr>
      <w:pStyle w:val="30"/>
    </w:pPr>
    <w:r>
      <w:rPr>
        <w:rFonts w:hint="eastAsia"/>
      </w:rPr>
      <w:t xml:space="preserve">                                    第</w:t>
    </w:r>
    <w:r>
      <w:fldChar w:fldCharType="begin"/>
    </w:r>
    <w:r>
      <w:rPr>
        <w:rStyle w:val="21"/>
      </w:rPr>
      <w:instrText xml:space="preserve"> PAGE </w:instrText>
    </w:r>
    <w:r>
      <w:fldChar w:fldCharType="separate"/>
    </w:r>
    <w:r>
      <w:rPr>
        <w:rStyle w:val="21"/>
      </w:rPr>
      <w:t>47</w:t>
    </w:r>
    <w:r>
      <w:fldChar w:fldCharType="end"/>
    </w:r>
    <w:r>
      <w:rPr>
        <w:rFonts w:hint="eastAsia"/>
      </w:rPr>
      <w:t>页，共</w:t>
    </w:r>
    <w:r>
      <w:fldChar w:fldCharType="begin"/>
    </w:r>
    <w:r>
      <w:rPr>
        <w:rStyle w:val="21"/>
      </w:rPr>
      <w:instrText xml:space="preserve"> NUMPAGES </w:instrText>
    </w:r>
    <w:r>
      <w:fldChar w:fldCharType="separate"/>
    </w:r>
    <w:r>
      <w:rPr>
        <w:rStyle w:val="21"/>
      </w:rPr>
      <w:t>47</w:t>
    </w:r>
    <w:r>
      <w:fldChar w:fldCharType="end"/>
    </w:r>
    <w:r>
      <w:rPr>
        <w:rFonts w:hint="eastAsia"/>
      </w:rPr>
      <w:t>页</w:t>
    </w:r>
  </w:p>
  <w:p w14:paraId="1865F2F1">
    <w:pPr>
      <w:rPr>
        <w:rFonts w:ascii="宋体" w:hAnsi="宋体"/>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714B2">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276B26"/>
    <w:multiLevelType w:val="singleLevel"/>
    <w:tmpl w:val="A3276B26"/>
    <w:lvl w:ilvl="0" w:tentative="0">
      <w:start w:val="1"/>
      <w:numFmt w:val="decimal"/>
      <w:suff w:val="nothing"/>
      <w:lvlText w:val="%1）"/>
      <w:lvlJc w:val="left"/>
    </w:lvl>
  </w:abstractNum>
  <w:abstractNum w:abstractNumId="1">
    <w:nsid w:val="03332028"/>
    <w:multiLevelType w:val="singleLevel"/>
    <w:tmpl w:val="03332028"/>
    <w:lvl w:ilvl="0" w:tentative="0">
      <w:start w:val="9"/>
      <w:numFmt w:val="decimal"/>
      <w:suff w:val="space"/>
      <w:lvlText w:val="(%1)"/>
      <w:lvlJc w:val="left"/>
    </w:lvl>
  </w:abstractNum>
  <w:abstractNum w:abstractNumId="2">
    <w:nsid w:val="44A1A284"/>
    <w:multiLevelType w:val="singleLevel"/>
    <w:tmpl w:val="44A1A284"/>
    <w:lvl w:ilvl="0" w:tentative="0">
      <w:start w:val="1"/>
      <w:numFmt w:val="decimal"/>
      <w:suff w:val="nothing"/>
      <w:lvlText w:val="%1、"/>
      <w:lvlJc w:val="left"/>
    </w:lvl>
  </w:abstractNum>
  <w:abstractNum w:abstractNumId="3">
    <w:nsid w:val="58FAF588"/>
    <w:multiLevelType w:val="singleLevel"/>
    <w:tmpl w:val="58FAF588"/>
    <w:lvl w:ilvl="0" w:tentative="0">
      <w:start w:val="2"/>
      <w:numFmt w:val="chineseCounting"/>
      <w:suff w:val="nothing"/>
      <w:lvlText w:val="%1、"/>
      <w:lvlJc w:val="left"/>
      <w:rPr>
        <w:rFonts w:hint="eastAsia"/>
      </w:rPr>
    </w:lvl>
  </w:abstractNum>
  <w:abstractNum w:abstractNumId="4">
    <w:nsid w:val="6C6CB1D0"/>
    <w:multiLevelType w:val="singleLevel"/>
    <w:tmpl w:val="6C6CB1D0"/>
    <w:lvl w:ilvl="0" w:tentative="0">
      <w:start w:val="14"/>
      <w:numFmt w:val="decimal"/>
      <w:suff w:val="nothing"/>
      <w:lvlText w:val="%1、"/>
      <w:lvlJc w:val="left"/>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displayBackgroundShape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wYTVjMWE2YjYwZTc5ZjNiOWZlYTJjZWRmYmNiZGEifQ=="/>
  </w:docVars>
  <w:rsids>
    <w:rsidRoot w:val="00172A27"/>
    <w:rsid w:val="0007691E"/>
    <w:rsid w:val="009212E9"/>
    <w:rsid w:val="00A92F32"/>
    <w:rsid w:val="00CD3D14"/>
    <w:rsid w:val="00F46AD6"/>
    <w:rsid w:val="00F97650"/>
    <w:rsid w:val="014D4F68"/>
    <w:rsid w:val="02427965"/>
    <w:rsid w:val="03106CF8"/>
    <w:rsid w:val="03626FA9"/>
    <w:rsid w:val="046B20F9"/>
    <w:rsid w:val="047144DF"/>
    <w:rsid w:val="0477097E"/>
    <w:rsid w:val="049727D9"/>
    <w:rsid w:val="0537511C"/>
    <w:rsid w:val="05840A34"/>
    <w:rsid w:val="0640211D"/>
    <w:rsid w:val="064A02FC"/>
    <w:rsid w:val="068943A3"/>
    <w:rsid w:val="06C61153"/>
    <w:rsid w:val="08AB52C8"/>
    <w:rsid w:val="08EE635C"/>
    <w:rsid w:val="091B628A"/>
    <w:rsid w:val="09CB3921"/>
    <w:rsid w:val="0A0124A3"/>
    <w:rsid w:val="0B0B2DB0"/>
    <w:rsid w:val="0B9F6D1F"/>
    <w:rsid w:val="0BD02D72"/>
    <w:rsid w:val="0D1349C7"/>
    <w:rsid w:val="0D5C2499"/>
    <w:rsid w:val="0DED16BC"/>
    <w:rsid w:val="0E494B07"/>
    <w:rsid w:val="0E5536F4"/>
    <w:rsid w:val="0EA92008"/>
    <w:rsid w:val="0F864782"/>
    <w:rsid w:val="0FDD02BA"/>
    <w:rsid w:val="0FFB3144"/>
    <w:rsid w:val="10BA0C23"/>
    <w:rsid w:val="10DA1D1E"/>
    <w:rsid w:val="11612713"/>
    <w:rsid w:val="121662AF"/>
    <w:rsid w:val="12375BEF"/>
    <w:rsid w:val="13342CDD"/>
    <w:rsid w:val="13F53769"/>
    <w:rsid w:val="141E6A33"/>
    <w:rsid w:val="14206D94"/>
    <w:rsid w:val="14B22D17"/>
    <w:rsid w:val="15145780"/>
    <w:rsid w:val="158D55F1"/>
    <w:rsid w:val="163C1EA1"/>
    <w:rsid w:val="166A5D4B"/>
    <w:rsid w:val="173B4B85"/>
    <w:rsid w:val="174C255E"/>
    <w:rsid w:val="18D13844"/>
    <w:rsid w:val="19042D9A"/>
    <w:rsid w:val="1C416AC5"/>
    <w:rsid w:val="1C6A51DD"/>
    <w:rsid w:val="1C9378D2"/>
    <w:rsid w:val="1DFD165E"/>
    <w:rsid w:val="201C3E3A"/>
    <w:rsid w:val="20FB4647"/>
    <w:rsid w:val="217613B1"/>
    <w:rsid w:val="21DE339D"/>
    <w:rsid w:val="228C453A"/>
    <w:rsid w:val="22AD0EB3"/>
    <w:rsid w:val="22E9168C"/>
    <w:rsid w:val="23A931DE"/>
    <w:rsid w:val="23B4085A"/>
    <w:rsid w:val="24997A50"/>
    <w:rsid w:val="24DB0068"/>
    <w:rsid w:val="25BC57A4"/>
    <w:rsid w:val="26330B38"/>
    <w:rsid w:val="271C5D19"/>
    <w:rsid w:val="275B2D9A"/>
    <w:rsid w:val="279369D8"/>
    <w:rsid w:val="28656A55"/>
    <w:rsid w:val="28814EFD"/>
    <w:rsid w:val="28FE17A7"/>
    <w:rsid w:val="29AB23B5"/>
    <w:rsid w:val="2A1F0575"/>
    <w:rsid w:val="2A4A0D9B"/>
    <w:rsid w:val="2AB821A7"/>
    <w:rsid w:val="2AC60E73"/>
    <w:rsid w:val="2AF7061B"/>
    <w:rsid w:val="2B1020EE"/>
    <w:rsid w:val="2B76734B"/>
    <w:rsid w:val="2BEC66B7"/>
    <w:rsid w:val="2C625CF0"/>
    <w:rsid w:val="2CF61AA4"/>
    <w:rsid w:val="2D332C5B"/>
    <w:rsid w:val="2F6F34DE"/>
    <w:rsid w:val="2F754550"/>
    <w:rsid w:val="3088782E"/>
    <w:rsid w:val="316078CF"/>
    <w:rsid w:val="31737306"/>
    <w:rsid w:val="31CD40BC"/>
    <w:rsid w:val="34CB0AD9"/>
    <w:rsid w:val="34DE380D"/>
    <w:rsid w:val="353D2CE5"/>
    <w:rsid w:val="35944047"/>
    <w:rsid w:val="36304D91"/>
    <w:rsid w:val="368876BA"/>
    <w:rsid w:val="377C7325"/>
    <w:rsid w:val="37B875D6"/>
    <w:rsid w:val="382C0205"/>
    <w:rsid w:val="388E38AC"/>
    <w:rsid w:val="38D23B29"/>
    <w:rsid w:val="39F74BDF"/>
    <w:rsid w:val="3BEF518C"/>
    <w:rsid w:val="3C926E07"/>
    <w:rsid w:val="3D527E27"/>
    <w:rsid w:val="3D7A6218"/>
    <w:rsid w:val="40674C51"/>
    <w:rsid w:val="407A7741"/>
    <w:rsid w:val="421E7386"/>
    <w:rsid w:val="421F16F7"/>
    <w:rsid w:val="42482385"/>
    <w:rsid w:val="42B577AE"/>
    <w:rsid w:val="43AF5C17"/>
    <w:rsid w:val="44402686"/>
    <w:rsid w:val="44FF3C0C"/>
    <w:rsid w:val="455A06DD"/>
    <w:rsid w:val="45625ABA"/>
    <w:rsid w:val="456A1771"/>
    <w:rsid w:val="459223EF"/>
    <w:rsid w:val="45BA393A"/>
    <w:rsid w:val="462875A5"/>
    <w:rsid w:val="466E61EE"/>
    <w:rsid w:val="46945A23"/>
    <w:rsid w:val="46C9712E"/>
    <w:rsid w:val="478F16C1"/>
    <w:rsid w:val="47CB5A57"/>
    <w:rsid w:val="4A116F4C"/>
    <w:rsid w:val="4A19661E"/>
    <w:rsid w:val="4A7D363E"/>
    <w:rsid w:val="4A871F75"/>
    <w:rsid w:val="4A9A1CA8"/>
    <w:rsid w:val="4AD11442"/>
    <w:rsid w:val="4AF93FED"/>
    <w:rsid w:val="4DB150DA"/>
    <w:rsid w:val="4DC14B42"/>
    <w:rsid w:val="4DDF5248"/>
    <w:rsid w:val="4E162E45"/>
    <w:rsid w:val="4E7808CE"/>
    <w:rsid w:val="4ED94B63"/>
    <w:rsid w:val="4EE340D0"/>
    <w:rsid w:val="4F310AFB"/>
    <w:rsid w:val="509016B8"/>
    <w:rsid w:val="50DC69CA"/>
    <w:rsid w:val="51317043"/>
    <w:rsid w:val="5158485D"/>
    <w:rsid w:val="51A2208A"/>
    <w:rsid w:val="52831274"/>
    <w:rsid w:val="52EB172B"/>
    <w:rsid w:val="531445C2"/>
    <w:rsid w:val="533054A0"/>
    <w:rsid w:val="538B741D"/>
    <w:rsid w:val="53903887"/>
    <w:rsid w:val="546845CF"/>
    <w:rsid w:val="54821457"/>
    <w:rsid w:val="55594824"/>
    <w:rsid w:val="560F58BD"/>
    <w:rsid w:val="564B432E"/>
    <w:rsid w:val="58726CF2"/>
    <w:rsid w:val="59CE54CA"/>
    <w:rsid w:val="5A8B53EE"/>
    <w:rsid w:val="5A9E4E10"/>
    <w:rsid w:val="5B181766"/>
    <w:rsid w:val="5B8F0C89"/>
    <w:rsid w:val="5C0244DB"/>
    <w:rsid w:val="5C365A4F"/>
    <w:rsid w:val="5C83637D"/>
    <w:rsid w:val="5D6A5988"/>
    <w:rsid w:val="5E002C02"/>
    <w:rsid w:val="5EDA252D"/>
    <w:rsid w:val="5EF35656"/>
    <w:rsid w:val="5F067599"/>
    <w:rsid w:val="5F10533B"/>
    <w:rsid w:val="5F91425A"/>
    <w:rsid w:val="5FFD464A"/>
    <w:rsid w:val="60803296"/>
    <w:rsid w:val="60D13AF2"/>
    <w:rsid w:val="60FE0044"/>
    <w:rsid w:val="62E96426"/>
    <w:rsid w:val="62EB0199"/>
    <w:rsid w:val="62EE44E7"/>
    <w:rsid w:val="630073FA"/>
    <w:rsid w:val="630C628B"/>
    <w:rsid w:val="63EC5945"/>
    <w:rsid w:val="64151F48"/>
    <w:rsid w:val="647C130E"/>
    <w:rsid w:val="6495365F"/>
    <w:rsid w:val="65820995"/>
    <w:rsid w:val="65B82199"/>
    <w:rsid w:val="65EA16D1"/>
    <w:rsid w:val="67760BCD"/>
    <w:rsid w:val="688B1BF3"/>
    <w:rsid w:val="692E3CC2"/>
    <w:rsid w:val="69740693"/>
    <w:rsid w:val="6AAD5E11"/>
    <w:rsid w:val="6B080AA9"/>
    <w:rsid w:val="6B421874"/>
    <w:rsid w:val="6BE13825"/>
    <w:rsid w:val="6C2947E2"/>
    <w:rsid w:val="6C7F38D5"/>
    <w:rsid w:val="6C9F4AA4"/>
    <w:rsid w:val="6E35193F"/>
    <w:rsid w:val="6F250095"/>
    <w:rsid w:val="6FA9032D"/>
    <w:rsid w:val="71083F82"/>
    <w:rsid w:val="71940C37"/>
    <w:rsid w:val="72255653"/>
    <w:rsid w:val="73751374"/>
    <w:rsid w:val="73DB24D4"/>
    <w:rsid w:val="73E00A78"/>
    <w:rsid w:val="73E865B9"/>
    <w:rsid w:val="740C15B0"/>
    <w:rsid w:val="74213FF1"/>
    <w:rsid w:val="74315BCE"/>
    <w:rsid w:val="754F789D"/>
    <w:rsid w:val="75A3688F"/>
    <w:rsid w:val="765A633E"/>
    <w:rsid w:val="76BC155A"/>
    <w:rsid w:val="76C16B18"/>
    <w:rsid w:val="77185A8F"/>
    <w:rsid w:val="787C3AB9"/>
    <w:rsid w:val="79C478F8"/>
    <w:rsid w:val="79CC0F0F"/>
    <w:rsid w:val="7A131E4E"/>
    <w:rsid w:val="7A9D4606"/>
    <w:rsid w:val="7B4C4049"/>
    <w:rsid w:val="7B9C5FDF"/>
    <w:rsid w:val="7D646E5D"/>
    <w:rsid w:val="7DD864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eastAsia="黑体"/>
      <w:b/>
      <w:bCs/>
      <w:kern w:val="44"/>
      <w:sz w:val="32"/>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0"/>
      <w:szCs w:val="32"/>
    </w:rPr>
  </w:style>
  <w:style w:type="paragraph" w:styleId="5">
    <w:name w:val="heading 3"/>
    <w:basedOn w:val="1"/>
    <w:next w:val="1"/>
    <w:qFormat/>
    <w:uiPriority w:val="0"/>
    <w:pPr>
      <w:keepNext/>
      <w:keepLines/>
      <w:spacing w:before="260" w:after="260" w:line="415" w:lineRule="auto"/>
      <w:outlineLvl w:val="2"/>
    </w:pPr>
    <w:rPr>
      <w:rFonts w:eastAsia="黑体"/>
      <w:b/>
      <w:bCs/>
      <w:sz w:val="28"/>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c 1"/>
    <w:basedOn w:val="1"/>
    <w:next w:val="1"/>
    <w:qFormat/>
    <w:uiPriority w:val="39"/>
    <w:pPr>
      <w:spacing w:before="120" w:after="120" w:line="360" w:lineRule="auto"/>
      <w:jc w:val="left"/>
    </w:pPr>
    <w:rPr>
      <w:b/>
      <w:bCs/>
      <w:caps/>
      <w:sz w:val="24"/>
      <w:szCs w:val="20"/>
    </w:rPr>
  </w:style>
  <w:style w:type="paragraph" w:styleId="6">
    <w:name w:val="Normal Indent"/>
    <w:basedOn w:val="1"/>
    <w:qFormat/>
    <w:uiPriority w:val="0"/>
    <w:pPr>
      <w:widowControl/>
      <w:ind w:left="425"/>
      <w:jc w:val="left"/>
    </w:pPr>
    <w:rPr>
      <w:kern w:val="0"/>
      <w:sz w:val="20"/>
      <w:szCs w:val="20"/>
      <w:lang w:eastAsia="en-US"/>
    </w:rPr>
  </w:style>
  <w:style w:type="paragraph" w:styleId="7">
    <w:name w:val="annotation text"/>
    <w:basedOn w:val="1"/>
    <w:qFormat/>
    <w:uiPriority w:val="0"/>
    <w:pPr>
      <w:jc w:val="left"/>
    </w:pPr>
  </w:style>
  <w:style w:type="paragraph" w:styleId="8">
    <w:name w:val="Body Text"/>
    <w:basedOn w:val="1"/>
    <w:next w:val="9"/>
    <w:qFormat/>
    <w:uiPriority w:val="0"/>
    <w:rPr>
      <w:color w:val="FF0000"/>
    </w:rPr>
  </w:style>
  <w:style w:type="paragraph" w:styleId="9">
    <w:name w:val="Body Text First Indent"/>
    <w:basedOn w:val="8"/>
    <w:qFormat/>
    <w:uiPriority w:val="0"/>
    <w:pPr>
      <w:ind w:firstLine="420" w:firstLineChars="100"/>
    </w:pPr>
  </w:style>
  <w:style w:type="paragraph" w:styleId="10">
    <w:name w:val="toc 3"/>
    <w:basedOn w:val="1"/>
    <w:next w:val="1"/>
    <w:qFormat/>
    <w:uiPriority w:val="39"/>
    <w:pPr>
      <w:spacing w:line="360" w:lineRule="auto"/>
      <w:ind w:left="420"/>
      <w:jc w:val="left"/>
    </w:pPr>
    <w:rPr>
      <w:iCs/>
      <w:sz w:val="24"/>
      <w:szCs w:val="20"/>
    </w:rPr>
  </w:style>
  <w:style w:type="paragraph" w:styleId="11">
    <w:name w:val="Plain Text"/>
    <w:basedOn w:val="1"/>
    <w:qFormat/>
    <w:uiPriority w:val="0"/>
    <w:rPr>
      <w:rFonts w:ascii="宋体" w:hAnsi="Courier New" w:cs="Courier New"/>
      <w:szCs w:val="21"/>
    </w:rPr>
  </w:style>
  <w:style w:type="paragraph" w:styleId="12">
    <w:name w:val="Balloon Text"/>
    <w:basedOn w:val="1"/>
    <w:link w:val="31"/>
    <w:qFormat/>
    <w:uiPriority w:val="0"/>
    <w:rPr>
      <w:sz w:val="18"/>
      <w:szCs w:val="18"/>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39"/>
    <w:pPr>
      <w:spacing w:line="360" w:lineRule="auto"/>
      <w:ind w:left="210"/>
      <w:jc w:val="left"/>
    </w:pPr>
    <w:rPr>
      <w:smallCaps/>
      <w:sz w:val="24"/>
      <w:szCs w:val="20"/>
    </w:rPr>
  </w:style>
  <w:style w:type="paragraph" w:styleId="16">
    <w:name w:val="Normal (Web)"/>
    <w:basedOn w:val="1"/>
    <w:qFormat/>
    <w:uiPriority w:val="99"/>
    <w:pPr>
      <w:spacing w:line="300" w:lineRule="auto"/>
    </w:pPr>
    <w:rPr>
      <w:sz w:val="24"/>
    </w:rPr>
  </w:style>
  <w:style w:type="table" w:styleId="18">
    <w:name w:val="Table Grid"/>
    <w:basedOn w:val="1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22"/>
    <w:rPr>
      <w:b/>
      <w:bCs/>
    </w:rPr>
  </w:style>
  <w:style w:type="character" w:styleId="21">
    <w:name w:val="page number"/>
    <w:basedOn w:val="19"/>
    <w:qFormat/>
    <w:uiPriority w:val="0"/>
  </w:style>
  <w:style w:type="character" w:styleId="22">
    <w:name w:val="Hyperlink"/>
    <w:qFormat/>
    <w:uiPriority w:val="99"/>
    <w:rPr>
      <w:color w:val="0000FF"/>
      <w:u w:val="single"/>
    </w:rPr>
  </w:style>
  <w:style w:type="character" w:styleId="23">
    <w:name w:val="annotation reference"/>
    <w:qFormat/>
    <w:uiPriority w:val="0"/>
    <w:rPr>
      <w:sz w:val="21"/>
      <w:szCs w:val="21"/>
    </w:rPr>
  </w:style>
  <w:style w:type="paragraph" w:customStyle="1" w:styleId="24">
    <w:name w:val="表格文字"/>
    <w:basedOn w:val="1"/>
    <w:next w:val="1"/>
    <w:qFormat/>
    <w:uiPriority w:val="0"/>
    <w:pPr>
      <w:spacing w:before="25" w:after="25"/>
      <w:jc w:val="left"/>
    </w:pPr>
    <w:rPr>
      <w:bCs/>
      <w:spacing w:val="10"/>
      <w:kern w:val="0"/>
      <w:sz w:val="24"/>
    </w:rPr>
  </w:style>
  <w:style w:type="paragraph" w:styleId="25">
    <w:name w:val="List Paragraph"/>
    <w:basedOn w:val="1"/>
    <w:qFormat/>
    <w:uiPriority w:val="99"/>
    <w:pPr>
      <w:ind w:firstLine="420" w:firstLineChars="200"/>
    </w:pPr>
  </w:style>
  <w:style w:type="paragraph" w:customStyle="1" w:styleId="26">
    <w:name w:val="表头文本"/>
    <w:basedOn w:val="1"/>
    <w:qFormat/>
    <w:uiPriority w:val="0"/>
    <w:pPr>
      <w:autoSpaceDE w:val="0"/>
      <w:autoSpaceDN w:val="0"/>
      <w:adjustRightInd w:val="0"/>
      <w:jc w:val="center"/>
    </w:pPr>
    <w:rPr>
      <w:b/>
      <w:kern w:val="0"/>
      <w:sz w:val="24"/>
      <w:szCs w:val="20"/>
    </w:rPr>
  </w:style>
  <w:style w:type="paragraph" w:customStyle="1" w:styleId="2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8">
    <w:name w:val="样式3"/>
    <w:basedOn w:val="11"/>
    <w:qFormat/>
    <w:uiPriority w:val="0"/>
    <w:pPr>
      <w:spacing w:line="0" w:lineRule="atLeast"/>
      <w:outlineLvl w:val="0"/>
    </w:pPr>
    <w:rPr>
      <w:rFonts w:cs="Times New Roman"/>
      <w:sz w:val="28"/>
      <w:szCs w:val="20"/>
    </w:rPr>
  </w:style>
  <w:style w:type="paragraph" w:customStyle="1" w:styleId="29">
    <w:name w:val="Table Paragraph"/>
    <w:basedOn w:val="1"/>
    <w:qFormat/>
    <w:uiPriority w:val="1"/>
    <w:pPr>
      <w:jc w:val="left"/>
    </w:pPr>
    <w:rPr>
      <w:rFonts w:ascii="Calibri" w:hAnsi="Calibri"/>
      <w:kern w:val="0"/>
      <w:sz w:val="22"/>
      <w:szCs w:val="22"/>
      <w:lang w:eastAsia="en-US"/>
    </w:rPr>
  </w:style>
  <w:style w:type="paragraph" w:customStyle="1" w:styleId="30">
    <w:name w:val="样式2"/>
    <w:basedOn w:val="13"/>
    <w:qFormat/>
    <w:uiPriority w:val="0"/>
    <w:pPr>
      <w:ind w:right="360"/>
    </w:pPr>
    <w:rPr>
      <w:rFonts w:ascii="宋体" w:hAnsi="宋体"/>
      <w:sz w:val="21"/>
      <w:szCs w:val="21"/>
    </w:rPr>
  </w:style>
  <w:style w:type="character" w:customStyle="1" w:styleId="31">
    <w:name w:val="批注框文本 Char"/>
    <w:basedOn w:val="19"/>
    <w:link w:val="12"/>
    <w:qFormat/>
    <w:uiPriority w:val="0"/>
    <w:rPr>
      <w:rFonts w:ascii="Times New Roman" w:hAnsi="Times New Roman"/>
      <w:kern w:val="2"/>
      <w:sz w:val="18"/>
      <w:szCs w:val="18"/>
    </w:rPr>
  </w:style>
  <w:style w:type="character" w:customStyle="1" w:styleId="32">
    <w:name w:val="页眉 Char"/>
    <w:basedOn w:val="19"/>
    <w:link w:val="14"/>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2929B5-BC5A-4222-AAA8-8AC8E8DD111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56</Pages>
  <Words>17019</Words>
  <Characters>17802</Characters>
  <Lines>164</Lines>
  <Paragraphs>46</Paragraphs>
  <TotalTime>3</TotalTime>
  <ScaleCrop>false</ScaleCrop>
  <LinksUpToDate>false</LinksUpToDate>
  <CharactersWithSpaces>18664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2019-07-19T07:32:00Z</dcterms:created>
  <dc:creator>国贸物业招标办</dc:creator>
  <cp:lastModifiedBy>慢動作小姐</cp:lastModifiedBy>
  <dcterms:modified xsi:type="dcterms:W3CDTF">2026-02-03T06:09:15Z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BA4A44EC35B048988F6739DAD1458CB1_13</vt:lpwstr>
  </property>
  <property fmtid="{D5CDD505-2E9C-101B-9397-08002B2CF9AE}" pid="4" name="KSOTemplateDocerSaveRecord">
    <vt:lpwstr>eyJoZGlkIjoiZjZmMmVkZTQ1Y2E5NmFjNDhjNjQ4YmNiMzlmNjM3MTgiLCJ1c2VySWQiOiI0NjA1NzEyMzUifQ==</vt:lpwstr>
  </property>
</Properties>
</file>