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FB47">
      <w:pPr>
        <w:spacing w:line="276" w:lineRule="auto"/>
        <w:jc w:val="left"/>
        <w:rPr>
          <w:rFonts w:ascii="宋体"/>
          <w:color w:val="000000" w:themeColor="text1"/>
          <w:sz w:val="24"/>
          <w:highlight w:val="none"/>
          <w14:textFill>
            <w14:solidFill>
              <w14:schemeClr w14:val="tx1"/>
            </w14:solidFill>
          </w14:textFill>
        </w:rPr>
      </w:pPr>
      <w:bookmarkStart w:id="0" w:name="_Toc163364646"/>
      <w:bookmarkStart w:id="1" w:name="_Toc157418350"/>
      <w:bookmarkStart w:id="2" w:name="_Toc165385343"/>
      <w:bookmarkStart w:id="3" w:name="_Toc157418557"/>
      <w:bookmarkStart w:id="4" w:name="_Toc178674763"/>
      <w:bookmarkStart w:id="5" w:name="_Toc125129292"/>
      <w:bookmarkStart w:id="6" w:name="_Toc32815540"/>
    </w:p>
    <w:p w14:paraId="73DF3235">
      <w:pPr>
        <w:spacing w:line="276" w:lineRule="auto"/>
        <w:jc w:val="left"/>
        <w:rPr>
          <w:rFonts w:ascii="宋体"/>
          <w:color w:val="000000" w:themeColor="text1"/>
          <w:sz w:val="24"/>
          <w:highlight w:val="none"/>
          <w14:textFill>
            <w14:solidFill>
              <w14:schemeClr w14:val="tx1"/>
            </w14:solidFill>
          </w14:textFill>
        </w:rPr>
      </w:pPr>
    </w:p>
    <w:p w14:paraId="4841DBCD">
      <w:pPr>
        <w:spacing w:line="276" w:lineRule="auto"/>
        <w:jc w:val="left"/>
        <w:rPr>
          <w:rFonts w:ascii="宋体"/>
          <w:color w:val="000000" w:themeColor="text1"/>
          <w:sz w:val="24"/>
          <w:highlight w:val="none"/>
          <w14:textFill>
            <w14:solidFill>
              <w14:schemeClr w14:val="tx1"/>
            </w14:solidFill>
          </w14:textFill>
        </w:rPr>
      </w:pPr>
    </w:p>
    <w:p w14:paraId="563BEFA2">
      <w:pPr>
        <w:spacing w:line="276" w:lineRule="auto"/>
        <w:jc w:val="center"/>
        <w:rPr>
          <w:rFonts w:ascii="仿宋" w:hAnsi="仿宋" w:eastAsia="仿宋"/>
          <w:b/>
          <w:bCs/>
          <w:color w:val="000000" w:themeColor="text1"/>
          <w:sz w:val="84"/>
          <w:szCs w:val="84"/>
          <w:highlight w:val="none"/>
          <w:lang w:val="zh-CN"/>
          <w14:textFill>
            <w14:solidFill>
              <w14:schemeClr w14:val="tx1"/>
            </w14:solidFill>
          </w14:textFill>
        </w:rPr>
      </w:pPr>
      <w:r>
        <w:rPr>
          <w:rFonts w:hint="eastAsia" w:ascii="仿宋" w:hAnsi="仿宋" w:eastAsia="仿宋" w:cs="仿宋"/>
          <w:b/>
          <w:bCs/>
          <w:color w:val="000000" w:themeColor="text1"/>
          <w:sz w:val="84"/>
          <w:szCs w:val="84"/>
          <w:highlight w:val="none"/>
          <w:lang w:val="zh-CN"/>
          <w14:textFill>
            <w14:solidFill>
              <w14:schemeClr w14:val="tx1"/>
            </w14:solidFill>
          </w14:textFill>
        </w:rPr>
        <w:t>招标文件</w:t>
      </w:r>
    </w:p>
    <w:p w14:paraId="00263161">
      <w:pPr>
        <w:spacing w:line="276" w:lineRule="auto"/>
        <w:jc w:val="center"/>
        <w:rPr>
          <w:rFonts w:ascii="宋体"/>
          <w:color w:val="000000" w:themeColor="text1"/>
          <w:sz w:val="36"/>
          <w:szCs w:val="36"/>
          <w:highlight w:val="none"/>
          <w14:textFill>
            <w14:solidFill>
              <w14:schemeClr w14:val="tx1"/>
            </w14:solidFill>
          </w14:textFill>
        </w:rPr>
      </w:pPr>
      <w:bookmarkStart w:id="7" w:name="_Toc342899794"/>
    </w:p>
    <w:p w14:paraId="42195ECB">
      <w:pPr>
        <w:spacing w:line="276" w:lineRule="auto"/>
        <w:jc w:val="center"/>
        <w:rPr>
          <w:rFonts w:ascii="宋体"/>
          <w:color w:val="000000" w:themeColor="text1"/>
          <w:sz w:val="36"/>
          <w:szCs w:val="36"/>
          <w:highlight w:val="none"/>
          <w14:textFill>
            <w14:solidFill>
              <w14:schemeClr w14:val="tx1"/>
            </w14:solidFill>
          </w14:textFill>
        </w:rPr>
      </w:pPr>
    </w:p>
    <w:p w14:paraId="3E29164B">
      <w:pPr>
        <w:spacing w:line="276" w:lineRule="auto"/>
        <w:ind w:firstLine="708" w:firstLineChars="196"/>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highlight w:val="none"/>
          <w:lang w:val="zh-CN"/>
          <w14:textFill>
            <w14:solidFill>
              <w14:schemeClr w14:val="tx1"/>
            </w14:solidFill>
          </w14:textFill>
        </w:rPr>
        <w:t>：</w:t>
      </w:r>
      <w:r>
        <w:rPr>
          <w:rFonts w:hint="eastAsia" w:ascii="仿宋" w:hAnsi="仿宋" w:eastAsia="仿宋" w:cs="仿宋"/>
          <w:b/>
          <w:bCs/>
          <w:color w:val="000000" w:themeColor="text1"/>
          <w:sz w:val="36"/>
          <w:szCs w:val="36"/>
          <w:highlight w:val="none"/>
          <w:lang w:eastAsia="zh-CN"/>
          <w14:textFill>
            <w14:solidFill>
              <w14:schemeClr w14:val="tx1"/>
            </w14:solidFill>
          </w14:textFill>
        </w:rPr>
        <w:t>泉州国贸天琴樾</w:t>
      </w:r>
      <w:r>
        <w:rPr>
          <w:rFonts w:hint="eastAsia" w:ascii="仿宋" w:hAnsi="仿宋" w:eastAsia="仿宋" w:cs="仿宋"/>
          <w:b/>
          <w:bCs/>
          <w:color w:val="000000" w:themeColor="text1"/>
          <w:sz w:val="36"/>
          <w:szCs w:val="36"/>
          <w:highlight w:val="none"/>
          <w14:textFill>
            <w14:solidFill>
              <w14:schemeClr w14:val="tx1"/>
            </w14:solidFill>
          </w14:textFill>
        </w:rPr>
        <w:t>建筑垃圾清运服务</w:t>
      </w:r>
    </w:p>
    <w:p w14:paraId="7D4B026E">
      <w:pPr>
        <w:spacing w:line="276" w:lineRule="auto"/>
        <w:ind w:firstLine="2515" w:firstLineChars="696"/>
        <w:rPr>
          <w:rFonts w:hint="default"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第二次）</w:t>
      </w:r>
    </w:p>
    <w:p w14:paraId="1638C45D">
      <w:pPr>
        <w:pStyle w:val="9"/>
        <w:spacing w:line="360" w:lineRule="auto"/>
        <w:rPr>
          <w:rFonts w:ascii="仿宋" w:hAnsi="仿宋" w:eastAsia="仿宋" w:cs="Times New Roman"/>
          <w:b/>
          <w:bCs/>
          <w:color w:val="000000" w:themeColor="text1"/>
          <w:sz w:val="36"/>
          <w:szCs w:val="36"/>
          <w:highlight w:val="none"/>
          <w14:textFill>
            <w14:solidFill>
              <w14:schemeClr w14:val="tx1"/>
            </w14:solidFill>
          </w14:textFill>
        </w:rPr>
      </w:pPr>
    </w:p>
    <w:p w14:paraId="0038A1A5">
      <w:pPr>
        <w:spacing w:line="276" w:lineRule="auto"/>
        <w:ind w:firstLine="708" w:firstLineChars="196"/>
        <w:rPr>
          <w:rFonts w:hint="eastAsia" w:ascii="仿宋" w:hAnsi="仿宋" w:eastAsia="仿宋" w:cs="宋体"/>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项目编号：</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 xml:space="preserve">GMWY-2026-02 </w:t>
      </w:r>
    </w:p>
    <w:p w14:paraId="759EA0D5">
      <w:pPr>
        <w:pStyle w:val="9"/>
        <w:spacing w:line="360" w:lineRule="auto"/>
        <w:ind w:firstLine="708" w:firstLineChars="196"/>
        <w:rPr>
          <w:rFonts w:ascii="仿宋" w:hAnsi="仿宋" w:eastAsia="仿宋" w:cs="仿宋"/>
          <w:b/>
          <w:bCs/>
          <w:color w:val="000000" w:themeColor="text1"/>
          <w:sz w:val="36"/>
          <w:szCs w:val="36"/>
          <w:highlight w:val="none"/>
          <w:lang w:val="zh-CN"/>
          <w14:textFill>
            <w14:solidFill>
              <w14:schemeClr w14:val="tx1"/>
            </w14:solidFill>
          </w14:textFill>
        </w:rPr>
      </w:pPr>
    </w:p>
    <w:p w14:paraId="696FCCCB">
      <w:pPr>
        <w:pStyle w:val="9"/>
        <w:spacing w:line="360" w:lineRule="auto"/>
        <w:ind w:firstLine="708" w:firstLineChars="196"/>
        <w:rPr>
          <w:rFonts w:ascii="仿宋" w:hAnsi="仿宋" w:eastAsia="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招标人：</w:t>
      </w:r>
      <w:r>
        <w:rPr>
          <w:rFonts w:hint="eastAsia" w:ascii="仿宋" w:hAnsi="仿宋" w:eastAsia="仿宋"/>
          <w:b/>
          <w:bCs/>
          <w:color w:val="000000" w:themeColor="text1"/>
          <w:sz w:val="36"/>
          <w:szCs w:val="36"/>
          <w:highlight w:val="none"/>
          <w14:textFill>
            <w14:solidFill>
              <w14:schemeClr w14:val="tx1"/>
            </w14:solidFill>
          </w14:textFill>
        </w:rPr>
        <w:t>厦门国贸物业服务有限公司</w:t>
      </w:r>
    </w:p>
    <w:p w14:paraId="378F7A8E">
      <w:pPr>
        <w:spacing w:line="276" w:lineRule="auto"/>
        <w:jc w:val="center"/>
        <w:rPr>
          <w:rFonts w:ascii="宋体"/>
          <w:color w:val="000000" w:themeColor="text1"/>
          <w:sz w:val="36"/>
          <w:szCs w:val="36"/>
          <w:highlight w:val="none"/>
          <w14:textFill>
            <w14:solidFill>
              <w14:schemeClr w14:val="tx1"/>
            </w14:solidFill>
          </w14:textFill>
        </w:rPr>
      </w:pPr>
    </w:p>
    <w:p w14:paraId="0AEA8356">
      <w:pPr>
        <w:spacing w:line="276" w:lineRule="auto"/>
        <w:jc w:val="center"/>
        <w:rPr>
          <w:rFonts w:ascii="宋体"/>
          <w:color w:val="000000" w:themeColor="text1"/>
          <w:sz w:val="36"/>
          <w:szCs w:val="36"/>
          <w:highlight w:val="none"/>
          <w14:textFill>
            <w14:solidFill>
              <w14:schemeClr w14:val="tx1"/>
            </w14:solidFill>
          </w14:textFill>
        </w:rPr>
      </w:pPr>
    </w:p>
    <w:p w14:paraId="38B8C3AD">
      <w:pPr>
        <w:spacing w:line="276" w:lineRule="auto"/>
        <w:jc w:val="center"/>
        <w:rPr>
          <w:rFonts w:ascii="宋体"/>
          <w:color w:val="000000" w:themeColor="text1"/>
          <w:sz w:val="36"/>
          <w:szCs w:val="36"/>
          <w:highlight w:val="none"/>
          <w14:textFill>
            <w14:solidFill>
              <w14:schemeClr w14:val="tx1"/>
            </w14:solidFill>
          </w14:textFill>
        </w:rPr>
      </w:pPr>
    </w:p>
    <w:p w14:paraId="061E99F7">
      <w:pPr>
        <w:spacing w:line="276" w:lineRule="auto"/>
        <w:jc w:val="center"/>
        <w:rPr>
          <w:rFonts w:ascii="宋体"/>
          <w:color w:val="000000" w:themeColor="text1"/>
          <w:sz w:val="36"/>
          <w:szCs w:val="36"/>
          <w:highlight w:val="none"/>
          <w14:textFill>
            <w14:solidFill>
              <w14:schemeClr w14:val="tx1"/>
            </w14:solidFill>
          </w14:textFill>
        </w:rPr>
      </w:pPr>
    </w:p>
    <w:p w14:paraId="3EF8712E">
      <w:pPr>
        <w:spacing w:line="276" w:lineRule="auto"/>
        <w:jc w:val="center"/>
        <w:rPr>
          <w:rFonts w:ascii="宋体"/>
          <w:color w:val="000000" w:themeColor="text1"/>
          <w:sz w:val="36"/>
          <w:szCs w:val="36"/>
          <w:highlight w:val="none"/>
          <w14:textFill>
            <w14:solidFill>
              <w14:schemeClr w14:val="tx1"/>
            </w14:solidFill>
          </w14:textFill>
        </w:rPr>
      </w:pPr>
    </w:p>
    <w:p w14:paraId="10B74832">
      <w:pPr>
        <w:spacing w:line="276" w:lineRule="auto"/>
        <w:jc w:val="center"/>
        <w:rPr>
          <w:rFonts w:ascii="宋体"/>
          <w:color w:val="000000" w:themeColor="text1"/>
          <w:sz w:val="36"/>
          <w:szCs w:val="36"/>
          <w:highlight w:val="none"/>
          <w14:textFill>
            <w14:solidFill>
              <w14:schemeClr w14:val="tx1"/>
            </w14:solidFill>
          </w14:textFill>
        </w:rPr>
      </w:pPr>
    </w:p>
    <w:p w14:paraId="6CC1E5E0">
      <w:pPr>
        <w:spacing w:line="276" w:lineRule="auto"/>
        <w:jc w:val="center"/>
        <w:rPr>
          <w:rFonts w:ascii="宋体"/>
          <w:color w:val="000000" w:themeColor="text1"/>
          <w:sz w:val="36"/>
          <w:szCs w:val="36"/>
          <w:highlight w:val="none"/>
          <w14:textFill>
            <w14:solidFill>
              <w14:schemeClr w14:val="tx1"/>
            </w14:solidFill>
          </w14:textFill>
        </w:rPr>
      </w:pPr>
    </w:p>
    <w:p w14:paraId="509B41C9">
      <w:pPr>
        <w:spacing w:line="276" w:lineRule="auto"/>
        <w:rPr>
          <w:rFonts w:ascii="宋体"/>
          <w:color w:val="000000" w:themeColor="text1"/>
          <w:sz w:val="36"/>
          <w:szCs w:val="36"/>
          <w:highlight w:val="none"/>
          <w14:textFill>
            <w14:solidFill>
              <w14:schemeClr w14:val="tx1"/>
            </w14:solidFill>
          </w14:textFill>
        </w:rPr>
      </w:pPr>
    </w:p>
    <w:p w14:paraId="4A7B5815">
      <w:pPr>
        <w:spacing w:line="276" w:lineRule="auto"/>
        <w:jc w:val="center"/>
        <w:rPr>
          <w:rFonts w:ascii="宋体"/>
          <w:color w:val="000000" w:themeColor="text1"/>
          <w:sz w:val="36"/>
          <w:szCs w:val="36"/>
          <w:highlight w:val="none"/>
          <w14:textFill>
            <w14:solidFill>
              <w14:schemeClr w14:val="tx1"/>
            </w14:solidFill>
          </w14:textFill>
        </w:rPr>
      </w:pPr>
    </w:p>
    <w:p w14:paraId="0AB341CE">
      <w:pPr>
        <w:spacing w:line="276" w:lineRule="auto"/>
        <w:ind w:firstLine="0" w:firstLineChars="0"/>
        <w:jc w:val="center"/>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b/>
          <w:bCs/>
          <w:color w:val="000000" w:themeColor="text1"/>
          <w:sz w:val="36"/>
          <w:szCs w:val="36"/>
          <w:highlight w:val="none"/>
          <w14:textFill>
            <w14:solidFill>
              <w14:schemeClr w14:val="tx1"/>
            </w14:solidFill>
          </w14:textFill>
        </w:rPr>
        <w:t>厦门国贸物业服务有限公司</w:t>
      </w:r>
    </w:p>
    <w:p w14:paraId="150027F2">
      <w:pPr>
        <w:spacing w:line="276" w:lineRule="auto"/>
        <w:ind w:firstLine="0" w:firstLineChars="0"/>
        <w:jc w:val="center"/>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202</w:t>
      </w:r>
      <w:r>
        <w:rPr>
          <w:rFonts w:hint="eastAsia" w:ascii="仿宋" w:hAnsi="仿宋" w:eastAsia="仿宋"/>
          <w:b/>
          <w:color w:val="000000" w:themeColor="text1"/>
          <w:sz w:val="36"/>
          <w:szCs w:val="36"/>
          <w:highlight w:val="none"/>
          <w:lang w:val="en-US" w:eastAsia="zh-CN"/>
          <w14:textFill>
            <w14:solidFill>
              <w14:schemeClr w14:val="tx1"/>
            </w14:solidFill>
          </w14:textFill>
        </w:rPr>
        <w:t>6</w:t>
      </w:r>
      <w:r>
        <w:rPr>
          <w:rFonts w:hint="eastAsia" w:ascii="仿宋" w:hAnsi="仿宋" w:eastAsia="仿宋"/>
          <w:b/>
          <w:color w:val="000000" w:themeColor="text1"/>
          <w:sz w:val="36"/>
          <w:szCs w:val="36"/>
          <w:highlight w:val="none"/>
          <w14:textFill>
            <w14:solidFill>
              <w14:schemeClr w14:val="tx1"/>
            </w14:solidFill>
          </w14:textFill>
        </w:rPr>
        <w:t>年</w:t>
      </w:r>
      <w:r>
        <w:rPr>
          <w:rFonts w:hint="eastAsia" w:ascii="仿宋" w:hAnsi="仿宋" w:eastAsia="仿宋"/>
          <w:b/>
          <w:color w:val="000000" w:themeColor="text1"/>
          <w:sz w:val="36"/>
          <w:szCs w:val="36"/>
          <w:highlight w:val="none"/>
          <w:lang w:val="en-US" w:eastAsia="zh-CN"/>
          <w14:textFill>
            <w14:solidFill>
              <w14:schemeClr w14:val="tx1"/>
            </w14:solidFill>
          </w14:textFill>
        </w:rPr>
        <w:t>1</w:t>
      </w:r>
      <w:r>
        <w:rPr>
          <w:rFonts w:hint="eastAsia" w:ascii="仿宋" w:hAnsi="仿宋" w:eastAsia="仿宋"/>
          <w:b/>
          <w:color w:val="000000" w:themeColor="text1"/>
          <w:sz w:val="36"/>
          <w:szCs w:val="36"/>
          <w:highlight w:val="none"/>
          <w14:textFill>
            <w14:solidFill>
              <w14:schemeClr w14:val="tx1"/>
            </w14:solidFill>
          </w14:textFill>
        </w:rPr>
        <w:t>月</w:t>
      </w:r>
    </w:p>
    <w:p w14:paraId="2FB5D7BB">
      <w:pPr>
        <w:pStyle w:val="9"/>
        <w:spacing w:line="360" w:lineRule="auto"/>
        <w:jc w:val="both"/>
        <w:rPr>
          <w:rFonts w:ascii="仿宋" w:hAnsi="仿宋" w:eastAsia="仿宋" w:cs="仿宋"/>
          <w:b/>
          <w:bCs/>
          <w:color w:val="000000" w:themeColor="text1"/>
          <w:sz w:val="44"/>
          <w:szCs w:val="44"/>
          <w:highlight w:val="none"/>
          <w14:textFill>
            <w14:solidFill>
              <w14:schemeClr w14:val="tx1"/>
            </w14:solidFill>
          </w14:textFill>
        </w:rPr>
      </w:pPr>
    </w:p>
    <w:p w14:paraId="32FE59BB">
      <w:pP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br w:type="page"/>
      </w:r>
    </w:p>
    <w:p w14:paraId="58BCBB86">
      <w:pPr>
        <w:pStyle w:val="9"/>
        <w:spacing w:line="360" w:lineRule="auto"/>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bookmarkEnd w:id="0"/>
      <w:bookmarkEnd w:id="1"/>
      <w:bookmarkEnd w:id="2"/>
      <w:bookmarkEnd w:id="3"/>
      <w:bookmarkEnd w:id="4"/>
    </w:p>
    <w:p w14:paraId="6113BB7F">
      <w:pPr>
        <w:pStyle w:val="13"/>
        <w:tabs>
          <w:tab w:val="right" w:leader="dot" w:pos="9071"/>
        </w:tabs>
      </w:pPr>
      <w:r>
        <w:rPr>
          <w:rFonts w:ascii="宋体" w:hAnsi="宋体"/>
          <w:color w:val="000000" w:themeColor="text1"/>
          <w:sz w:val="36"/>
          <w:szCs w:val="36"/>
          <w:highlight w:val="none"/>
          <w14:textFill>
            <w14:solidFill>
              <w14:schemeClr w14:val="tx1"/>
            </w14:solidFill>
          </w14:textFill>
        </w:rPr>
        <w:fldChar w:fldCharType="begin"/>
      </w:r>
      <w:r>
        <w:rPr>
          <w:rFonts w:ascii="宋体" w:hAnsi="宋体"/>
          <w:color w:val="000000" w:themeColor="text1"/>
          <w:sz w:val="36"/>
          <w:szCs w:val="36"/>
          <w:highlight w:val="none"/>
          <w14:textFill>
            <w14:solidFill>
              <w14:schemeClr w14:val="tx1"/>
            </w14:solidFill>
          </w14:textFill>
        </w:rPr>
        <w:instrText xml:space="preserve"> TOC \o "1-3" \h \z \u </w:instrText>
      </w:r>
      <w:r>
        <w:rPr>
          <w:rFonts w:ascii="宋体" w:hAnsi="宋体"/>
          <w:color w:val="000000" w:themeColor="text1"/>
          <w:sz w:val="36"/>
          <w:szCs w:val="36"/>
          <w:highlight w:val="none"/>
          <w14:textFill>
            <w14:solidFill>
              <w14:schemeClr w14:val="tx1"/>
            </w14:solidFill>
          </w14:textFill>
        </w:rPr>
        <w:fldChar w:fldCharType="separate"/>
      </w: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_Toc25536 </w:instrText>
      </w:r>
      <w:r>
        <w:rPr>
          <w:rFonts w:ascii="宋体" w:hAnsi="宋体"/>
          <w:szCs w:val="36"/>
          <w:highlight w:val="none"/>
        </w:rPr>
        <w:fldChar w:fldCharType="separate"/>
      </w:r>
      <w:r>
        <w:rPr>
          <w:rFonts w:hint="eastAsia" w:ascii="仿宋" w:hAnsi="仿宋" w:eastAsia="仿宋" w:cs="仿宋"/>
          <w:bCs w:val="0"/>
          <w:kern w:val="0"/>
          <w:szCs w:val="32"/>
          <w:highlight w:val="none"/>
        </w:rPr>
        <w:t>第一章　招标公告</w:t>
      </w:r>
      <w:r>
        <w:tab/>
      </w:r>
      <w:r>
        <w:fldChar w:fldCharType="begin"/>
      </w:r>
      <w:r>
        <w:instrText xml:space="preserve"> PAGEREF _Toc25536 \h </w:instrText>
      </w:r>
      <w:r>
        <w:fldChar w:fldCharType="separate"/>
      </w:r>
      <w:r>
        <w:t>4</w:t>
      </w:r>
      <w:r>
        <w:fldChar w:fldCharType="end"/>
      </w:r>
      <w:r>
        <w:rPr>
          <w:rFonts w:ascii="宋体" w:hAnsi="宋体"/>
          <w:color w:val="000000" w:themeColor="text1"/>
          <w:szCs w:val="36"/>
          <w:highlight w:val="none"/>
          <w14:textFill>
            <w14:solidFill>
              <w14:schemeClr w14:val="tx1"/>
            </w14:solidFill>
          </w14:textFill>
        </w:rPr>
        <w:fldChar w:fldCharType="end"/>
      </w:r>
    </w:p>
    <w:p w14:paraId="62EFF56C">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_Toc21413 </w:instrText>
      </w:r>
      <w:r>
        <w:rPr>
          <w:rFonts w:ascii="宋体" w:hAnsi="宋体"/>
          <w:szCs w:val="36"/>
          <w:highlight w:val="none"/>
        </w:rPr>
        <w:fldChar w:fldCharType="separate"/>
      </w:r>
      <w:r>
        <w:rPr>
          <w:rFonts w:hint="eastAsia" w:ascii="仿宋" w:hAnsi="仿宋" w:eastAsia="仿宋"/>
          <w:highlight w:val="none"/>
        </w:rPr>
        <w:t>附：招标项目一览表</w:t>
      </w:r>
      <w:r>
        <w:tab/>
      </w:r>
      <w:r>
        <w:fldChar w:fldCharType="begin"/>
      </w:r>
      <w:r>
        <w:instrText xml:space="preserve"> PAGEREF _Toc21413 \h </w:instrText>
      </w:r>
      <w:r>
        <w:fldChar w:fldCharType="separate"/>
      </w:r>
      <w:r>
        <w:t>5</w:t>
      </w:r>
      <w:r>
        <w:fldChar w:fldCharType="end"/>
      </w:r>
      <w:r>
        <w:rPr>
          <w:rFonts w:ascii="宋体" w:hAnsi="宋体"/>
          <w:color w:val="000000" w:themeColor="text1"/>
          <w:szCs w:val="36"/>
          <w:highlight w:val="none"/>
          <w14:textFill>
            <w14:solidFill>
              <w14:schemeClr w14:val="tx1"/>
            </w14:solidFill>
          </w14:textFill>
        </w:rPr>
        <w:fldChar w:fldCharType="end"/>
      </w:r>
    </w:p>
    <w:p w14:paraId="7DAC8C4D">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_Toc21466 </w:instrText>
      </w:r>
      <w:r>
        <w:rPr>
          <w:rFonts w:ascii="宋体" w:hAnsi="宋体"/>
          <w:szCs w:val="36"/>
          <w:highlight w:val="none"/>
        </w:rPr>
        <w:fldChar w:fldCharType="separate"/>
      </w:r>
      <w:r>
        <w:rPr>
          <w:rFonts w:hint="eastAsia" w:ascii="仿宋" w:hAnsi="仿宋" w:eastAsia="仿宋" w:cs="仿宋"/>
          <w:kern w:val="0"/>
          <w:szCs w:val="32"/>
          <w:highlight w:val="none"/>
        </w:rPr>
        <w:t>第二章　投标人须知</w:t>
      </w:r>
      <w:r>
        <w:tab/>
      </w:r>
      <w:r>
        <w:fldChar w:fldCharType="begin"/>
      </w:r>
      <w:r>
        <w:instrText xml:space="preserve"> PAGEREF _Toc21466 \h </w:instrText>
      </w:r>
      <w:r>
        <w:fldChar w:fldCharType="separate"/>
      </w:r>
      <w:r>
        <w:t>6</w:t>
      </w:r>
      <w:r>
        <w:fldChar w:fldCharType="end"/>
      </w:r>
      <w:r>
        <w:rPr>
          <w:rFonts w:ascii="宋体" w:hAnsi="宋体"/>
          <w:color w:val="000000" w:themeColor="text1"/>
          <w:szCs w:val="36"/>
          <w:highlight w:val="none"/>
          <w14:textFill>
            <w14:solidFill>
              <w14:schemeClr w14:val="tx1"/>
            </w14:solidFill>
          </w14:textFill>
        </w:rPr>
        <w:fldChar w:fldCharType="end"/>
      </w:r>
    </w:p>
    <w:p w14:paraId="59236777">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_Toc23551 </w:instrText>
      </w:r>
      <w:r>
        <w:rPr>
          <w:rFonts w:ascii="宋体" w:hAnsi="宋体"/>
          <w:szCs w:val="36"/>
          <w:highlight w:val="none"/>
        </w:rPr>
        <w:fldChar w:fldCharType="separate"/>
      </w:r>
      <w:r>
        <w:rPr>
          <w:rFonts w:hint="eastAsia" w:ascii="仿宋" w:hAnsi="仿宋" w:eastAsia="仿宋"/>
          <w:highlight w:val="none"/>
        </w:rPr>
        <w:t>第一节  说  明</w:t>
      </w:r>
      <w:r>
        <w:tab/>
      </w:r>
      <w:r>
        <w:fldChar w:fldCharType="begin"/>
      </w:r>
      <w:r>
        <w:instrText xml:space="preserve"> PAGEREF _Toc23551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389BFFE8">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_Toc32751 </w:instrText>
      </w:r>
      <w:r>
        <w:rPr>
          <w:rFonts w:ascii="宋体" w:hAnsi="宋体"/>
          <w:szCs w:val="36"/>
          <w:highlight w:val="none"/>
        </w:rPr>
        <w:fldChar w:fldCharType="separate"/>
      </w:r>
      <w:r>
        <w:rPr>
          <w:rFonts w:ascii="仿宋" w:hAnsi="仿宋" w:eastAsia="仿宋"/>
          <w:highlight w:val="none"/>
        </w:rPr>
        <w:t xml:space="preserve">1. </w:t>
      </w:r>
      <w:r>
        <w:rPr>
          <w:rFonts w:hint="eastAsia" w:ascii="仿宋" w:hAnsi="仿宋" w:eastAsia="仿宋"/>
          <w:highlight w:val="none"/>
        </w:rPr>
        <w:t>适用范围</w:t>
      </w:r>
      <w:r>
        <w:tab/>
      </w:r>
      <w:r>
        <w:fldChar w:fldCharType="begin"/>
      </w:r>
      <w:r>
        <w:instrText xml:space="preserve"> PAGEREF _Toc32751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4418468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_Toc6900 </w:instrText>
      </w:r>
      <w:r>
        <w:rPr>
          <w:rFonts w:ascii="宋体" w:hAnsi="宋体"/>
          <w:szCs w:val="36"/>
          <w:highlight w:val="none"/>
        </w:rPr>
        <w:fldChar w:fldCharType="separate"/>
      </w:r>
      <w:r>
        <w:rPr>
          <w:rFonts w:ascii="仿宋" w:hAnsi="仿宋" w:eastAsia="仿宋"/>
          <w:szCs w:val="32"/>
          <w:highlight w:val="none"/>
        </w:rPr>
        <w:t xml:space="preserve">2. </w:t>
      </w:r>
      <w:r>
        <w:rPr>
          <w:rFonts w:hint="default" w:ascii="仿宋" w:hAnsi="仿宋" w:eastAsia="仿宋"/>
          <w:szCs w:val="32"/>
          <w:highlight w:val="none"/>
        </w:rPr>
        <w:t>定义</w:t>
      </w:r>
      <w:r>
        <w:tab/>
      </w:r>
      <w:r>
        <w:fldChar w:fldCharType="begin"/>
      </w:r>
      <w:r>
        <w:instrText xml:space="preserve"> PAGEREF _Toc6900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70818FF2">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_Toc16790 </w:instrText>
      </w:r>
      <w:r>
        <w:rPr>
          <w:rFonts w:ascii="宋体" w:hAnsi="宋体"/>
          <w:szCs w:val="36"/>
          <w:highlight w:val="none"/>
        </w:rPr>
        <w:fldChar w:fldCharType="separate"/>
      </w:r>
      <w:r>
        <w:rPr>
          <w:rFonts w:ascii="仿宋" w:hAnsi="仿宋" w:eastAsia="仿宋"/>
          <w:highlight w:val="none"/>
        </w:rPr>
        <w:t xml:space="preserve">3. </w:t>
      </w:r>
      <w:r>
        <w:rPr>
          <w:rFonts w:hint="eastAsia" w:ascii="仿宋" w:hAnsi="仿宋" w:eastAsia="仿宋"/>
          <w:highlight w:val="none"/>
        </w:rPr>
        <w:t>合格的投标人</w:t>
      </w:r>
      <w:r>
        <w:tab/>
      </w:r>
      <w:r>
        <w:fldChar w:fldCharType="begin"/>
      </w:r>
      <w:r>
        <w:instrText xml:space="preserve"> PAGEREF _Toc16790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5B4E7EA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_Toc527 </w:instrText>
      </w:r>
      <w:r>
        <w:rPr>
          <w:rFonts w:ascii="宋体" w:hAnsi="宋体"/>
          <w:szCs w:val="36"/>
          <w:highlight w:val="none"/>
        </w:rPr>
        <w:fldChar w:fldCharType="separate"/>
      </w: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 xml:space="preserve"> 投标费用</w:t>
      </w:r>
      <w:r>
        <w:tab/>
      </w:r>
      <w:r>
        <w:fldChar w:fldCharType="begin"/>
      </w:r>
      <w:r>
        <w:instrText xml:space="preserve"> PAGEREF _Toc527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2E1E3662">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_Toc4406 </w:instrText>
      </w:r>
      <w:r>
        <w:rPr>
          <w:rFonts w:ascii="宋体" w:hAnsi="宋体"/>
          <w:szCs w:val="36"/>
          <w:highlight w:val="none"/>
        </w:rPr>
        <w:fldChar w:fldCharType="separate"/>
      </w:r>
      <w:r>
        <w:rPr>
          <w:rFonts w:hint="eastAsia" w:ascii="仿宋" w:hAnsi="仿宋" w:eastAsia="仿宋"/>
          <w:highlight w:val="none"/>
        </w:rPr>
        <w:t>第二节  招标文件说明</w:t>
      </w:r>
      <w:r>
        <w:tab/>
      </w:r>
      <w:r>
        <w:fldChar w:fldCharType="begin"/>
      </w:r>
      <w:r>
        <w:instrText xml:space="preserve"> PAGEREF _Toc4406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176E064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_Toc26877 </w:instrText>
      </w:r>
      <w:r>
        <w:rPr>
          <w:rFonts w:ascii="宋体" w:hAnsi="宋体"/>
          <w:szCs w:val="36"/>
          <w:highlight w:val="none"/>
        </w:rPr>
        <w:fldChar w:fldCharType="separate"/>
      </w:r>
      <w:r>
        <w:rPr>
          <w:rFonts w:hint="eastAsia" w:ascii="仿宋" w:hAnsi="仿宋" w:eastAsia="仿宋"/>
          <w:highlight w:val="none"/>
        </w:rPr>
        <w:t>5</w:t>
      </w:r>
      <w:r>
        <w:rPr>
          <w:rFonts w:ascii="仿宋" w:hAnsi="仿宋" w:eastAsia="仿宋"/>
          <w:highlight w:val="none"/>
        </w:rPr>
        <w:t xml:space="preserve">. </w:t>
      </w:r>
      <w:r>
        <w:rPr>
          <w:rFonts w:hint="eastAsia" w:ascii="仿宋" w:hAnsi="仿宋" w:eastAsia="仿宋"/>
          <w:highlight w:val="none"/>
        </w:rPr>
        <w:t>招标文件的组成</w:t>
      </w:r>
      <w:r>
        <w:tab/>
      </w:r>
      <w:r>
        <w:fldChar w:fldCharType="begin"/>
      </w:r>
      <w:r>
        <w:instrText xml:space="preserve"> PAGEREF _Toc26877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46419F8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_Toc11552 </w:instrText>
      </w:r>
      <w:r>
        <w:rPr>
          <w:rFonts w:ascii="宋体" w:hAnsi="宋体"/>
          <w:szCs w:val="36"/>
          <w:highlight w:val="none"/>
        </w:rPr>
        <w:fldChar w:fldCharType="separate"/>
      </w:r>
      <w:r>
        <w:rPr>
          <w:rFonts w:ascii="仿宋" w:hAnsi="仿宋" w:eastAsia="仿宋"/>
          <w:highlight w:val="none"/>
        </w:rPr>
        <w:t>6. 招标文件的澄清</w:t>
      </w:r>
      <w:r>
        <w:tab/>
      </w:r>
      <w:r>
        <w:fldChar w:fldCharType="begin"/>
      </w:r>
      <w:r>
        <w:instrText xml:space="preserve"> PAGEREF _Toc11552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22AB7FA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_Toc11454 </w:instrText>
      </w:r>
      <w:r>
        <w:rPr>
          <w:rFonts w:ascii="宋体" w:hAnsi="宋体"/>
          <w:szCs w:val="36"/>
          <w:highlight w:val="none"/>
        </w:rPr>
        <w:fldChar w:fldCharType="separate"/>
      </w:r>
      <w:r>
        <w:rPr>
          <w:rFonts w:ascii="仿宋" w:hAnsi="仿宋" w:eastAsia="仿宋"/>
          <w:highlight w:val="none"/>
        </w:rPr>
        <w:t xml:space="preserve">7. </w:t>
      </w:r>
      <w:r>
        <w:rPr>
          <w:rFonts w:hint="eastAsia" w:ascii="仿宋" w:hAnsi="仿宋" w:eastAsia="仿宋"/>
          <w:highlight w:val="none"/>
        </w:rPr>
        <w:t>招标文件的修改</w:t>
      </w:r>
      <w:r>
        <w:tab/>
      </w:r>
      <w:r>
        <w:fldChar w:fldCharType="begin"/>
      </w:r>
      <w:r>
        <w:instrText xml:space="preserve"> PAGEREF _Toc11454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11E81E40">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_Toc32388 </w:instrText>
      </w:r>
      <w:r>
        <w:rPr>
          <w:rFonts w:ascii="宋体" w:hAnsi="宋体"/>
          <w:szCs w:val="36"/>
          <w:highlight w:val="none"/>
        </w:rPr>
        <w:fldChar w:fldCharType="separate"/>
      </w:r>
      <w:r>
        <w:rPr>
          <w:rFonts w:hint="eastAsia" w:ascii="仿宋" w:hAnsi="仿宋" w:eastAsia="仿宋"/>
          <w:highlight w:val="none"/>
        </w:rPr>
        <w:t>第三节  投标文件的编写</w:t>
      </w:r>
      <w:r>
        <w:tab/>
      </w:r>
      <w:r>
        <w:fldChar w:fldCharType="begin"/>
      </w:r>
      <w:r>
        <w:instrText xml:space="preserve"> PAGEREF _Toc32388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55BFF42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_Toc14658 </w:instrText>
      </w:r>
      <w:r>
        <w:rPr>
          <w:rFonts w:ascii="宋体" w:hAnsi="宋体"/>
          <w:szCs w:val="36"/>
          <w:highlight w:val="none"/>
        </w:rPr>
        <w:fldChar w:fldCharType="separate"/>
      </w:r>
      <w:r>
        <w:rPr>
          <w:rFonts w:hint="eastAsia" w:ascii="仿宋" w:hAnsi="仿宋" w:eastAsia="仿宋"/>
          <w:highlight w:val="none"/>
        </w:rPr>
        <w:t>8</w:t>
      </w:r>
      <w:r>
        <w:rPr>
          <w:rFonts w:ascii="仿宋" w:hAnsi="仿宋" w:eastAsia="仿宋"/>
          <w:highlight w:val="none"/>
        </w:rPr>
        <w:t xml:space="preserve">. </w:t>
      </w:r>
      <w:r>
        <w:rPr>
          <w:rFonts w:hint="eastAsia" w:ascii="仿宋" w:hAnsi="仿宋" w:eastAsia="仿宋"/>
          <w:highlight w:val="none"/>
        </w:rPr>
        <w:t>要求</w:t>
      </w:r>
      <w:r>
        <w:tab/>
      </w:r>
      <w:r>
        <w:fldChar w:fldCharType="begin"/>
      </w:r>
      <w:r>
        <w:instrText xml:space="preserve"> PAGEREF _Toc14658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247D186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_Toc21254 </w:instrText>
      </w:r>
      <w:r>
        <w:rPr>
          <w:rFonts w:ascii="宋体" w:hAnsi="宋体"/>
          <w:szCs w:val="36"/>
          <w:highlight w:val="none"/>
        </w:rPr>
        <w:fldChar w:fldCharType="separate"/>
      </w:r>
      <w:r>
        <w:rPr>
          <w:rFonts w:hint="eastAsia" w:ascii="仿宋" w:hAnsi="仿宋" w:eastAsia="仿宋"/>
          <w:highlight w:val="none"/>
        </w:rPr>
        <w:t>9</w:t>
      </w:r>
      <w:r>
        <w:rPr>
          <w:rFonts w:ascii="仿宋" w:hAnsi="仿宋" w:eastAsia="仿宋"/>
          <w:highlight w:val="none"/>
        </w:rPr>
        <w:t xml:space="preserve">. </w:t>
      </w:r>
      <w:r>
        <w:rPr>
          <w:rFonts w:hint="eastAsia" w:ascii="仿宋" w:hAnsi="仿宋" w:eastAsia="仿宋"/>
          <w:highlight w:val="none"/>
        </w:rPr>
        <w:t>投标文件语言</w:t>
      </w:r>
      <w:r>
        <w:tab/>
      </w:r>
      <w:r>
        <w:fldChar w:fldCharType="begin"/>
      </w:r>
      <w:r>
        <w:instrText xml:space="preserve"> PAGEREF _Toc21254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41927095">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_Toc22833 </w:instrText>
      </w:r>
      <w:r>
        <w:rPr>
          <w:rFonts w:ascii="宋体" w:hAnsi="宋体"/>
          <w:szCs w:val="36"/>
          <w:highlight w:val="none"/>
        </w:rPr>
        <w:fldChar w:fldCharType="separate"/>
      </w:r>
      <w:r>
        <w:rPr>
          <w:rFonts w:hint="eastAsia" w:ascii="仿宋" w:hAnsi="仿宋" w:eastAsia="仿宋"/>
          <w:highlight w:val="none"/>
        </w:rPr>
        <w:t>10</w:t>
      </w:r>
      <w:r>
        <w:rPr>
          <w:rFonts w:ascii="仿宋" w:hAnsi="仿宋" w:eastAsia="仿宋"/>
          <w:highlight w:val="none"/>
        </w:rPr>
        <w:t xml:space="preserve">. </w:t>
      </w:r>
      <w:r>
        <w:rPr>
          <w:rFonts w:hint="eastAsia" w:ascii="仿宋" w:hAnsi="仿宋" w:eastAsia="仿宋"/>
          <w:highlight w:val="none"/>
        </w:rPr>
        <w:t>投标文件的组成</w:t>
      </w:r>
      <w:r>
        <w:tab/>
      </w:r>
      <w:r>
        <w:fldChar w:fldCharType="begin"/>
      </w:r>
      <w:r>
        <w:instrText xml:space="preserve"> PAGEREF _Toc22833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16069E2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_Toc30716 </w:instrText>
      </w:r>
      <w:r>
        <w:rPr>
          <w:rFonts w:ascii="宋体" w:hAnsi="宋体"/>
          <w:szCs w:val="36"/>
          <w:highlight w:val="none"/>
        </w:rPr>
        <w:fldChar w:fldCharType="separate"/>
      </w:r>
      <w:r>
        <w:rPr>
          <w:rFonts w:hint="eastAsia" w:ascii="仿宋" w:hAnsi="仿宋" w:eastAsia="仿宋"/>
          <w:highlight w:val="none"/>
        </w:rPr>
        <w:t>11</w:t>
      </w:r>
      <w:r>
        <w:rPr>
          <w:rFonts w:ascii="仿宋" w:hAnsi="仿宋" w:eastAsia="仿宋"/>
          <w:highlight w:val="none"/>
        </w:rPr>
        <w:t xml:space="preserve">. </w:t>
      </w:r>
      <w:r>
        <w:rPr>
          <w:rFonts w:hint="eastAsia" w:ascii="仿宋" w:hAnsi="仿宋" w:eastAsia="仿宋"/>
          <w:highlight w:val="none"/>
        </w:rPr>
        <w:t>投标有效期</w:t>
      </w:r>
      <w:r>
        <w:tab/>
      </w:r>
      <w:r>
        <w:fldChar w:fldCharType="begin"/>
      </w:r>
      <w:r>
        <w:instrText xml:space="preserve"> PAGEREF _Toc30716 \h </w:instrText>
      </w:r>
      <w:r>
        <w:fldChar w:fldCharType="separate"/>
      </w:r>
      <w:r>
        <w:t>11</w:t>
      </w:r>
      <w:r>
        <w:fldChar w:fldCharType="end"/>
      </w:r>
      <w:r>
        <w:rPr>
          <w:rFonts w:ascii="宋体" w:hAnsi="宋体"/>
          <w:color w:val="000000" w:themeColor="text1"/>
          <w:szCs w:val="36"/>
          <w:highlight w:val="none"/>
          <w14:textFill>
            <w14:solidFill>
              <w14:schemeClr w14:val="tx1"/>
            </w14:solidFill>
          </w14:textFill>
        </w:rPr>
        <w:fldChar w:fldCharType="end"/>
      </w:r>
    </w:p>
    <w:p w14:paraId="773D4EF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_Toc17579 </w:instrText>
      </w:r>
      <w:r>
        <w:rPr>
          <w:rFonts w:ascii="宋体" w:hAnsi="宋体"/>
          <w:szCs w:val="36"/>
          <w:highlight w:val="none"/>
        </w:rPr>
        <w:fldChar w:fldCharType="separate"/>
      </w:r>
      <w:r>
        <w:rPr>
          <w:rFonts w:hint="eastAsia" w:ascii="仿宋" w:hAnsi="仿宋" w:eastAsia="仿宋"/>
          <w:highlight w:val="none"/>
        </w:rPr>
        <w:t>12. 投标保证金</w:t>
      </w:r>
      <w:r>
        <w:tab/>
      </w:r>
      <w:r>
        <w:fldChar w:fldCharType="begin"/>
      </w:r>
      <w:r>
        <w:instrText xml:space="preserve"> PAGEREF _Toc17579 \h </w:instrText>
      </w:r>
      <w:r>
        <w:fldChar w:fldCharType="separate"/>
      </w:r>
      <w:r>
        <w:t>11</w:t>
      </w:r>
      <w:r>
        <w:fldChar w:fldCharType="end"/>
      </w:r>
      <w:r>
        <w:rPr>
          <w:rFonts w:ascii="宋体" w:hAnsi="宋体"/>
          <w:color w:val="000000" w:themeColor="text1"/>
          <w:szCs w:val="36"/>
          <w:highlight w:val="none"/>
          <w14:textFill>
            <w14:solidFill>
              <w14:schemeClr w14:val="tx1"/>
            </w14:solidFill>
          </w14:textFill>
        </w:rPr>
        <w:fldChar w:fldCharType="end"/>
      </w:r>
    </w:p>
    <w:p w14:paraId="033DF1DB">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_Toc27803 </w:instrText>
      </w:r>
      <w:r>
        <w:rPr>
          <w:rFonts w:ascii="宋体" w:hAnsi="宋体"/>
          <w:szCs w:val="36"/>
          <w:highlight w:val="none"/>
        </w:rPr>
        <w:fldChar w:fldCharType="separate"/>
      </w:r>
      <w:r>
        <w:rPr>
          <w:rFonts w:hint="eastAsia" w:ascii="仿宋" w:hAnsi="仿宋" w:eastAsia="仿宋"/>
          <w:highlight w:val="none"/>
        </w:rPr>
        <w:t>13</w:t>
      </w:r>
      <w:r>
        <w:rPr>
          <w:rFonts w:ascii="仿宋" w:hAnsi="仿宋" w:eastAsia="仿宋"/>
          <w:highlight w:val="none"/>
        </w:rPr>
        <w:t xml:space="preserve">. </w:t>
      </w:r>
      <w:r>
        <w:rPr>
          <w:rFonts w:hint="eastAsia" w:ascii="仿宋" w:hAnsi="仿宋" w:eastAsia="仿宋"/>
          <w:highlight w:val="none"/>
        </w:rPr>
        <w:t>投标文件的格式</w:t>
      </w:r>
      <w:r>
        <w:tab/>
      </w:r>
      <w:r>
        <w:fldChar w:fldCharType="begin"/>
      </w:r>
      <w:r>
        <w:instrText xml:space="preserve"> PAGEREF _Toc27803 \h </w:instrText>
      </w:r>
      <w:r>
        <w:fldChar w:fldCharType="separate"/>
      </w:r>
      <w:r>
        <w:t>12</w:t>
      </w:r>
      <w:r>
        <w:fldChar w:fldCharType="end"/>
      </w:r>
      <w:r>
        <w:rPr>
          <w:rFonts w:ascii="宋体" w:hAnsi="宋体"/>
          <w:color w:val="000000" w:themeColor="text1"/>
          <w:szCs w:val="36"/>
          <w:highlight w:val="none"/>
          <w14:textFill>
            <w14:solidFill>
              <w14:schemeClr w14:val="tx1"/>
            </w14:solidFill>
          </w14:textFill>
        </w:rPr>
        <w:fldChar w:fldCharType="end"/>
      </w:r>
    </w:p>
    <w:p w14:paraId="24A730B5">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_Toc28479 </w:instrText>
      </w:r>
      <w:r>
        <w:rPr>
          <w:rFonts w:ascii="宋体" w:hAnsi="宋体"/>
          <w:szCs w:val="36"/>
          <w:highlight w:val="none"/>
        </w:rPr>
        <w:fldChar w:fldCharType="separate"/>
      </w:r>
      <w:r>
        <w:rPr>
          <w:rFonts w:hint="eastAsia" w:ascii="仿宋" w:hAnsi="仿宋" w:eastAsia="仿宋"/>
          <w:highlight w:val="none"/>
        </w:rPr>
        <w:t>第四节  投标文件的提交</w:t>
      </w:r>
      <w:r>
        <w:tab/>
      </w:r>
      <w:r>
        <w:fldChar w:fldCharType="begin"/>
      </w:r>
      <w:r>
        <w:instrText xml:space="preserve"> PAGEREF _Toc28479 \h </w:instrText>
      </w:r>
      <w:r>
        <w:fldChar w:fldCharType="separate"/>
      </w:r>
      <w:r>
        <w:t>13</w:t>
      </w:r>
      <w:r>
        <w:fldChar w:fldCharType="end"/>
      </w:r>
      <w:r>
        <w:rPr>
          <w:rFonts w:ascii="宋体" w:hAnsi="宋体"/>
          <w:color w:val="000000" w:themeColor="text1"/>
          <w:szCs w:val="36"/>
          <w:highlight w:val="none"/>
          <w14:textFill>
            <w14:solidFill>
              <w14:schemeClr w14:val="tx1"/>
            </w14:solidFill>
          </w14:textFill>
        </w:rPr>
        <w:fldChar w:fldCharType="end"/>
      </w:r>
    </w:p>
    <w:p w14:paraId="69BBB85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_Toc19109 </w:instrText>
      </w:r>
      <w:r>
        <w:rPr>
          <w:rFonts w:ascii="宋体" w:hAnsi="宋体"/>
          <w:szCs w:val="36"/>
          <w:highlight w:val="none"/>
        </w:rPr>
        <w:fldChar w:fldCharType="separate"/>
      </w:r>
      <w:r>
        <w:rPr>
          <w:rFonts w:hint="eastAsia" w:ascii="仿宋" w:hAnsi="仿宋" w:eastAsia="仿宋"/>
          <w:highlight w:val="none"/>
        </w:rPr>
        <w:t>14. 投标文件的密封、标记和递交</w:t>
      </w:r>
      <w:r>
        <w:tab/>
      </w:r>
      <w:r>
        <w:fldChar w:fldCharType="begin"/>
      </w:r>
      <w:r>
        <w:instrText xml:space="preserve"> PAGEREF _Toc19109 \h </w:instrText>
      </w:r>
      <w:r>
        <w:fldChar w:fldCharType="separate"/>
      </w:r>
      <w:r>
        <w:t>13</w:t>
      </w:r>
      <w:r>
        <w:fldChar w:fldCharType="end"/>
      </w:r>
      <w:r>
        <w:rPr>
          <w:rFonts w:ascii="宋体" w:hAnsi="宋体"/>
          <w:color w:val="000000" w:themeColor="text1"/>
          <w:szCs w:val="36"/>
          <w:highlight w:val="none"/>
          <w14:textFill>
            <w14:solidFill>
              <w14:schemeClr w14:val="tx1"/>
            </w14:solidFill>
          </w14:textFill>
        </w:rPr>
        <w:fldChar w:fldCharType="end"/>
      </w:r>
    </w:p>
    <w:p w14:paraId="6911BCA7">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_Toc22128 </w:instrText>
      </w:r>
      <w:r>
        <w:rPr>
          <w:rFonts w:ascii="宋体" w:hAnsi="宋体"/>
          <w:szCs w:val="36"/>
          <w:highlight w:val="none"/>
        </w:rPr>
        <w:fldChar w:fldCharType="separate"/>
      </w:r>
      <w:r>
        <w:rPr>
          <w:rFonts w:hint="eastAsia" w:ascii="仿宋" w:hAnsi="仿宋" w:eastAsia="仿宋"/>
          <w:highlight w:val="none"/>
        </w:rPr>
        <w:t>第五节  投标文件的评估和比较</w:t>
      </w:r>
      <w:r>
        <w:tab/>
      </w:r>
      <w:r>
        <w:fldChar w:fldCharType="begin"/>
      </w:r>
      <w:r>
        <w:instrText xml:space="preserve"> PAGEREF _Toc22128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2F96B44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_Toc16715 </w:instrText>
      </w:r>
      <w:r>
        <w:rPr>
          <w:rFonts w:ascii="宋体" w:hAnsi="宋体"/>
          <w:szCs w:val="36"/>
          <w:highlight w:val="none"/>
        </w:rPr>
        <w:fldChar w:fldCharType="separate"/>
      </w:r>
      <w:r>
        <w:rPr>
          <w:rFonts w:hint="eastAsia" w:ascii="仿宋" w:hAnsi="仿宋" w:eastAsia="仿宋"/>
          <w:highlight w:val="none"/>
        </w:rPr>
        <w:t>15．开标、评标时间</w:t>
      </w:r>
      <w:r>
        <w:tab/>
      </w:r>
      <w:r>
        <w:fldChar w:fldCharType="begin"/>
      </w:r>
      <w:r>
        <w:instrText xml:space="preserve"> PAGEREF _Toc16715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30674CD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_Toc23929 </w:instrText>
      </w:r>
      <w:r>
        <w:rPr>
          <w:rFonts w:ascii="宋体" w:hAnsi="宋体"/>
          <w:szCs w:val="36"/>
          <w:highlight w:val="none"/>
        </w:rPr>
        <w:fldChar w:fldCharType="separate"/>
      </w:r>
      <w:r>
        <w:rPr>
          <w:rFonts w:hint="eastAsia" w:ascii="仿宋" w:hAnsi="仿宋" w:eastAsia="仿宋"/>
          <w:highlight w:val="none"/>
        </w:rPr>
        <w:t>16．评标委员会</w:t>
      </w:r>
      <w:r>
        <w:tab/>
      </w:r>
      <w:r>
        <w:fldChar w:fldCharType="begin"/>
      </w:r>
      <w:r>
        <w:instrText xml:space="preserve"> PAGEREF _Toc23929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2F008BB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_Toc7267 </w:instrText>
      </w:r>
      <w:r>
        <w:rPr>
          <w:rFonts w:ascii="宋体" w:hAnsi="宋体"/>
          <w:szCs w:val="36"/>
          <w:highlight w:val="none"/>
        </w:rPr>
        <w:fldChar w:fldCharType="separate"/>
      </w:r>
      <w:r>
        <w:rPr>
          <w:rFonts w:hint="eastAsia" w:ascii="仿宋" w:hAnsi="仿宋" w:eastAsia="仿宋"/>
          <w:highlight w:val="none"/>
        </w:rPr>
        <w:t>17</w:t>
      </w:r>
      <w:r>
        <w:rPr>
          <w:rFonts w:ascii="仿宋" w:hAnsi="仿宋" w:eastAsia="仿宋"/>
          <w:highlight w:val="none"/>
        </w:rPr>
        <w:t xml:space="preserve">. </w:t>
      </w:r>
      <w:r>
        <w:rPr>
          <w:rFonts w:hint="eastAsia" w:ascii="仿宋" w:hAnsi="仿宋" w:eastAsia="仿宋"/>
          <w:highlight w:val="none"/>
        </w:rPr>
        <w:t>投标文件的初审</w:t>
      </w:r>
      <w:r>
        <w:tab/>
      </w:r>
      <w:r>
        <w:fldChar w:fldCharType="begin"/>
      </w:r>
      <w:r>
        <w:instrText xml:space="preserve"> PAGEREF _Toc7267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43FA512C">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_Toc26680 </w:instrText>
      </w:r>
      <w:r>
        <w:rPr>
          <w:rFonts w:ascii="宋体" w:hAnsi="宋体"/>
          <w:szCs w:val="36"/>
          <w:highlight w:val="none"/>
        </w:rPr>
        <w:fldChar w:fldCharType="separate"/>
      </w:r>
      <w:r>
        <w:rPr>
          <w:rFonts w:hint="eastAsia" w:ascii="仿宋" w:hAnsi="仿宋" w:eastAsia="仿宋"/>
          <w:highlight w:val="none"/>
        </w:rPr>
        <w:t>18.</w:t>
      </w:r>
      <w:r>
        <w:rPr>
          <w:rFonts w:hint="eastAsia" w:ascii="仿宋" w:hAnsi="仿宋" w:eastAsia="仿宋"/>
          <w:highlight w:val="none"/>
          <w:lang w:val="en-US" w:eastAsia="zh-CN"/>
        </w:rPr>
        <w:t xml:space="preserve"> </w:t>
      </w:r>
      <w:r>
        <w:rPr>
          <w:rFonts w:hint="eastAsia" w:ascii="仿宋" w:hAnsi="仿宋" w:eastAsia="仿宋"/>
          <w:highlight w:val="none"/>
        </w:rPr>
        <w:t>评标办法</w:t>
      </w:r>
      <w:r>
        <w:tab/>
      </w:r>
      <w:r>
        <w:fldChar w:fldCharType="begin"/>
      </w:r>
      <w:r>
        <w:instrText xml:space="preserve"> PAGEREF _Toc26680 \h </w:instrText>
      </w:r>
      <w:r>
        <w:fldChar w:fldCharType="separate"/>
      </w:r>
      <w:r>
        <w:t>17</w:t>
      </w:r>
      <w:r>
        <w:fldChar w:fldCharType="end"/>
      </w:r>
      <w:r>
        <w:rPr>
          <w:rFonts w:ascii="宋体" w:hAnsi="宋体"/>
          <w:color w:val="000000" w:themeColor="text1"/>
          <w:szCs w:val="36"/>
          <w:highlight w:val="none"/>
          <w14:textFill>
            <w14:solidFill>
              <w14:schemeClr w14:val="tx1"/>
            </w14:solidFill>
          </w14:textFill>
        </w:rPr>
        <w:fldChar w:fldCharType="end"/>
      </w:r>
    </w:p>
    <w:p w14:paraId="417EB9FF">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_Toc25131 </w:instrText>
      </w:r>
      <w:r>
        <w:rPr>
          <w:rFonts w:ascii="宋体" w:hAnsi="宋体"/>
          <w:szCs w:val="36"/>
          <w:highlight w:val="none"/>
        </w:rPr>
        <w:fldChar w:fldCharType="separate"/>
      </w:r>
      <w:r>
        <w:rPr>
          <w:rFonts w:hint="eastAsia" w:ascii="仿宋" w:hAnsi="仿宋" w:eastAsia="仿宋"/>
          <w:highlight w:val="none"/>
        </w:rPr>
        <w:t>19. 投标文件的澄清</w:t>
      </w:r>
      <w:r>
        <w:tab/>
      </w:r>
      <w:r>
        <w:fldChar w:fldCharType="begin"/>
      </w:r>
      <w:r>
        <w:instrText xml:space="preserve"> PAGEREF _Toc25131 \h </w:instrText>
      </w:r>
      <w:r>
        <w:fldChar w:fldCharType="separate"/>
      </w:r>
      <w:r>
        <w:t>21</w:t>
      </w:r>
      <w:r>
        <w:fldChar w:fldCharType="end"/>
      </w:r>
      <w:r>
        <w:rPr>
          <w:rFonts w:ascii="宋体" w:hAnsi="宋体"/>
          <w:color w:val="000000" w:themeColor="text1"/>
          <w:szCs w:val="36"/>
          <w:highlight w:val="none"/>
          <w14:textFill>
            <w14:solidFill>
              <w14:schemeClr w14:val="tx1"/>
            </w14:solidFill>
          </w14:textFill>
        </w:rPr>
        <w:fldChar w:fldCharType="end"/>
      </w:r>
    </w:p>
    <w:p w14:paraId="1220C4C7">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_Toc13927 </w:instrText>
      </w:r>
      <w:r>
        <w:rPr>
          <w:rFonts w:ascii="宋体" w:hAnsi="宋体"/>
          <w:szCs w:val="36"/>
          <w:highlight w:val="none"/>
        </w:rPr>
        <w:fldChar w:fldCharType="separate"/>
      </w:r>
      <w:r>
        <w:rPr>
          <w:rFonts w:hint="eastAsia" w:ascii="仿宋" w:hAnsi="仿宋" w:eastAsia="仿宋"/>
          <w:highlight w:val="none"/>
        </w:rPr>
        <w:t>20. 比较与评价</w:t>
      </w:r>
      <w:r>
        <w:tab/>
      </w:r>
      <w:r>
        <w:fldChar w:fldCharType="begin"/>
      </w:r>
      <w:r>
        <w:instrText xml:space="preserve"> PAGEREF _Toc13927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58239E79">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_Toc9254 </w:instrText>
      </w:r>
      <w:r>
        <w:rPr>
          <w:rFonts w:ascii="宋体" w:hAnsi="宋体"/>
          <w:szCs w:val="36"/>
          <w:highlight w:val="none"/>
        </w:rPr>
        <w:fldChar w:fldCharType="separate"/>
      </w:r>
      <w:r>
        <w:rPr>
          <w:rFonts w:hint="eastAsia" w:ascii="仿宋" w:hAnsi="仿宋" w:eastAsia="仿宋"/>
          <w:highlight w:val="none"/>
        </w:rPr>
        <w:t>第六节 定标与签订合同</w:t>
      </w:r>
      <w:r>
        <w:tab/>
      </w:r>
      <w:r>
        <w:fldChar w:fldCharType="begin"/>
      </w:r>
      <w:r>
        <w:instrText xml:space="preserve"> PAGEREF _Toc9254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4D2C7DAA">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_Toc18819 </w:instrText>
      </w:r>
      <w:r>
        <w:rPr>
          <w:rFonts w:ascii="宋体" w:hAnsi="宋体"/>
          <w:szCs w:val="36"/>
          <w:highlight w:val="none"/>
        </w:rPr>
        <w:fldChar w:fldCharType="separate"/>
      </w:r>
      <w:r>
        <w:rPr>
          <w:rFonts w:hint="eastAsia" w:ascii="仿宋" w:hAnsi="仿宋" w:eastAsia="仿宋"/>
          <w:highlight w:val="none"/>
        </w:rPr>
        <w:t>21</w:t>
      </w:r>
      <w:r>
        <w:rPr>
          <w:rFonts w:ascii="仿宋" w:hAnsi="仿宋" w:eastAsia="仿宋"/>
          <w:highlight w:val="none"/>
        </w:rPr>
        <w:t>.</w:t>
      </w:r>
      <w:r>
        <w:rPr>
          <w:rFonts w:hint="eastAsia" w:ascii="仿宋" w:hAnsi="仿宋" w:eastAsia="仿宋"/>
          <w:highlight w:val="none"/>
        </w:rPr>
        <w:t xml:space="preserve"> 定标准则</w:t>
      </w:r>
      <w:r>
        <w:tab/>
      </w:r>
      <w:r>
        <w:fldChar w:fldCharType="begin"/>
      </w:r>
      <w:r>
        <w:instrText xml:space="preserve"> PAGEREF _Toc18819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77A800DD">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_Toc17364 </w:instrText>
      </w:r>
      <w:r>
        <w:rPr>
          <w:rFonts w:ascii="宋体" w:hAnsi="宋体"/>
          <w:szCs w:val="36"/>
          <w:highlight w:val="none"/>
        </w:rPr>
        <w:fldChar w:fldCharType="separate"/>
      </w:r>
      <w:r>
        <w:rPr>
          <w:rFonts w:hint="eastAsia" w:ascii="仿宋" w:hAnsi="仿宋" w:eastAsia="仿宋"/>
          <w:highlight w:val="none"/>
        </w:rPr>
        <w:t>22</w:t>
      </w:r>
      <w:r>
        <w:rPr>
          <w:rFonts w:ascii="仿宋" w:hAnsi="仿宋" w:eastAsia="仿宋"/>
          <w:highlight w:val="none"/>
        </w:rPr>
        <w:t xml:space="preserve">. </w:t>
      </w:r>
      <w:r>
        <w:rPr>
          <w:rFonts w:hint="eastAsia" w:ascii="仿宋" w:hAnsi="仿宋" w:eastAsia="仿宋"/>
          <w:highlight w:val="none"/>
        </w:rPr>
        <w:t>中标通知</w:t>
      </w:r>
      <w:r>
        <w:tab/>
      </w:r>
      <w:r>
        <w:fldChar w:fldCharType="begin"/>
      </w:r>
      <w:r>
        <w:instrText xml:space="preserve"> PAGEREF _Toc17364 \h </w:instrText>
      </w:r>
      <w:r>
        <w:fldChar w:fldCharType="separate"/>
      </w:r>
      <w:r>
        <w:t>23</w:t>
      </w:r>
      <w:r>
        <w:fldChar w:fldCharType="end"/>
      </w:r>
      <w:r>
        <w:rPr>
          <w:rFonts w:ascii="宋体" w:hAnsi="宋体"/>
          <w:color w:val="000000" w:themeColor="text1"/>
          <w:szCs w:val="36"/>
          <w:highlight w:val="none"/>
          <w14:textFill>
            <w14:solidFill>
              <w14:schemeClr w14:val="tx1"/>
            </w14:solidFill>
          </w14:textFill>
        </w:rPr>
        <w:fldChar w:fldCharType="end"/>
      </w:r>
    </w:p>
    <w:p w14:paraId="2478125D">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_Toc13077 </w:instrText>
      </w:r>
      <w:r>
        <w:rPr>
          <w:rFonts w:ascii="宋体" w:hAnsi="宋体"/>
          <w:szCs w:val="36"/>
          <w:highlight w:val="none"/>
        </w:rPr>
        <w:fldChar w:fldCharType="separate"/>
      </w:r>
      <w:r>
        <w:rPr>
          <w:rFonts w:hint="eastAsia" w:ascii="仿宋" w:hAnsi="仿宋" w:eastAsia="仿宋"/>
          <w:highlight w:val="none"/>
        </w:rPr>
        <w:t>23. 签订合同</w:t>
      </w:r>
      <w:r>
        <w:tab/>
      </w:r>
      <w:r>
        <w:fldChar w:fldCharType="begin"/>
      </w:r>
      <w:r>
        <w:instrText xml:space="preserve"> PAGEREF _Toc13077 \h </w:instrText>
      </w:r>
      <w:r>
        <w:fldChar w:fldCharType="separate"/>
      </w:r>
      <w:r>
        <w:t>23</w:t>
      </w:r>
      <w:r>
        <w:fldChar w:fldCharType="end"/>
      </w:r>
      <w:r>
        <w:rPr>
          <w:rFonts w:ascii="宋体" w:hAnsi="宋体"/>
          <w:color w:val="000000" w:themeColor="text1"/>
          <w:szCs w:val="36"/>
          <w:highlight w:val="none"/>
          <w14:textFill>
            <w14:solidFill>
              <w14:schemeClr w14:val="tx1"/>
            </w14:solidFill>
          </w14:textFill>
        </w:rPr>
        <w:fldChar w:fldCharType="end"/>
      </w:r>
    </w:p>
    <w:p w14:paraId="30743882">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_Toc12897 </w:instrText>
      </w:r>
      <w:r>
        <w:rPr>
          <w:rFonts w:ascii="宋体" w:hAnsi="宋体"/>
          <w:szCs w:val="36"/>
          <w:highlight w:val="none"/>
        </w:rPr>
        <w:fldChar w:fldCharType="separate"/>
      </w:r>
      <w:r>
        <w:rPr>
          <w:rFonts w:hint="eastAsia" w:ascii="仿宋" w:hAnsi="仿宋" w:eastAsia="仿宋"/>
          <w:szCs w:val="32"/>
          <w:highlight w:val="none"/>
        </w:rPr>
        <w:t>第三章　招标内容及要求</w:t>
      </w:r>
      <w:r>
        <w:tab/>
      </w:r>
      <w:r>
        <w:fldChar w:fldCharType="begin"/>
      </w:r>
      <w:r>
        <w:instrText xml:space="preserve"> PAGEREF _Toc12897 \h </w:instrText>
      </w:r>
      <w:r>
        <w:fldChar w:fldCharType="separate"/>
      </w:r>
      <w:r>
        <w:t>24</w:t>
      </w:r>
      <w:r>
        <w:fldChar w:fldCharType="end"/>
      </w:r>
      <w:r>
        <w:rPr>
          <w:rFonts w:ascii="宋体" w:hAnsi="宋体"/>
          <w:color w:val="000000" w:themeColor="text1"/>
          <w:szCs w:val="36"/>
          <w:highlight w:val="none"/>
          <w14:textFill>
            <w14:solidFill>
              <w14:schemeClr w14:val="tx1"/>
            </w14:solidFill>
          </w14:textFill>
        </w:rPr>
        <w:fldChar w:fldCharType="end"/>
      </w:r>
    </w:p>
    <w:p w14:paraId="23BCAFF2">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_Toc22085 </w:instrText>
      </w:r>
      <w:r>
        <w:rPr>
          <w:rFonts w:ascii="宋体" w:hAnsi="宋体"/>
          <w:szCs w:val="36"/>
          <w:highlight w:val="none"/>
        </w:rPr>
        <w:fldChar w:fldCharType="separate"/>
      </w:r>
      <w:r>
        <w:rPr>
          <w:rFonts w:hint="eastAsia" w:ascii="仿宋" w:hAnsi="仿宋" w:eastAsia="仿宋"/>
          <w:highlight w:val="none"/>
        </w:rPr>
        <w:t>第一节 项目需求</w:t>
      </w:r>
      <w:r>
        <w:tab/>
      </w:r>
      <w:r>
        <w:fldChar w:fldCharType="begin"/>
      </w:r>
      <w:r>
        <w:instrText xml:space="preserve"> PAGEREF _Toc22085 \h </w:instrText>
      </w:r>
      <w:r>
        <w:fldChar w:fldCharType="separate"/>
      </w:r>
      <w:r>
        <w:t>24</w:t>
      </w:r>
      <w:r>
        <w:fldChar w:fldCharType="end"/>
      </w:r>
      <w:r>
        <w:rPr>
          <w:rFonts w:ascii="宋体" w:hAnsi="宋体"/>
          <w:color w:val="000000" w:themeColor="text1"/>
          <w:szCs w:val="36"/>
          <w:highlight w:val="none"/>
          <w14:textFill>
            <w14:solidFill>
              <w14:schemeClr w14:val="tx1"/>
            </w14:solidFill>
          </w14:textFill>
        </w:rPr>
        <w:fldChar w:fldCharType="end"/>
      </w:r>
    </w:p>
    <w:p w14:paraId="2EC6006E">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_Toc10866 </w:instrText>
      </w:r>
      <w:r>
        <w:rPr>
          <w:rFonts w:ascii="宋体" w:hAnsi="宋体"/>
          <w:szCs w:val="36"/>
          <w:highlight w:val="none"/>
        </w:rPr>
        <w:fldChar w:fldCharType="separate"/>
      </w:r>
      <w:r>
        <w:rPr>
          <w:rFonts w:hint="eastAsia" w:ascii="仿宋" w:hAnsi="仿宋" w:eastAsia="仿宋"/>
          <w:highlight w:val="none"/>
        </w:rPr>
        <w:t>第二节 商务技术响应要求</w:t>
      </w:r>
      <w:r>
        <w:tab/>
      </w:r>
      <w:r>
        <w:fldChar w:fldCharType="begin"/>
      </w:r>
      <w:r>
        <w:instrText xml:space="preserve"> PAGEREF _Toc10866 \h </w:instrText>
      </w:r>
      <w:r>
        <w:fldChar w:fldCharType="separate"/>
      </w:r>
      <w:r>
        <w:t>27</w:t>
      </w:r>
      <w:r>
        <w:fldChar w:fldCharType="end"/>
      </w:r>
      <w:r>
        <w:rPr>
          <w:rFonts w:ascii="宋体" w:hAnsi="宋体"/>
          <w:color w:val="000000" w:themeColor="text1"/>
          <w:szCs w:val="36"/>
          <w:highlight w:val="none"/>
          <w14:textFill>
            <w14:solidFill>
              <w14:schemeClr w14:val="tx1"/>
            </w14:solidFill>
          </w14:textFill>
        </w:rPr>
        <w:fldChar w:fldCharType="end"/>
      </w:r>
    </w:p>
    <w:p w14:paraId="7B2598F8">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_Toc16078 </w:instrText>
      </w:r>
      <w:r>
        <w:rPr>
          <w:rFonts w:ascii="宋体" w:hAnsi="宋体"/>
          <w:szCs w:val="36"/>
          <w:highlight w:val="none"/>
        </w:rPr>
        <w:fldChar w:fldCharType="separate"/>
      </w:r>
      <w:r>
        <w:rPr>
          <w:rFonts w:hint="eastAsia" w:ascii="仿宋" w:hAnsi="仿宋" w:eastAsia="仿宋"/>
          <w:highlight w:val="none"/>
        </w:rPr>
        <w:t>第三节 报价要求</w:t>
      </w:r>
      <w:r>
        <w:tab/>
      </w:r>
      <w:r>
        <w:fldChar w:fldCharType="begin"/>
      </w:r>
      <w:r>
        <w:instrText xml:space="preserve"> PAGEREF _Toc16078 \h </w:instrText>
      </w:r>
      <w:r>
        <w:fldChar w:fldCharType="separate"/>
      </w:r>
      <w:r>
        <w:t>28</w:t>
      </w:r>
      <w:r>
        <w:fldChar w:fldCharType="end"/>
      </w:r>
      <w:r>
        <w:rPr>
          <w:rFonts w:ascii="宋体" w:hAnsi="宋体"/>
          <w:color w:val="000000" w:themeColor="text1"/>
          <w:szCs w:val="36"/>
          <w:highlight w:val="none"/>
          <w14:textFill>
            <w14:solidFill>
              <w14:schemeClr w14:val="tx1"/>
            </w14:solidFill>
          </w14:textFill>
        </w:rPr>
        <w:fldChar w:fldCharType="end"/>
      </w:r>
    </w:p>
    <w:p w14:paraId="3E24D9E1">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_Toc7614 </w:instrText>
      </w:r>
      <w:r>
        <w:rPr>
          <w:rFonts w:ascii="宋体" w:hAnsi="宋体"/>
          <w:szCs w:val="36"/>
          <w:highlight w:val="none"/>
        </w:rPr>
        <w:fldChar w:fldCharType="separate"/>
      </w:r>
      <w:r>
        <w:rPr>
          <w:rFonts w:hint="eastAsia" w:ascii="仿宋" w:hAnsi="仿宋" w:eastAsia="仿宋"/>
          <w:szCs w:val="32"/>
          <w:highlight w:val="none"/>
        </w:rPr>
        <w:t>第四章</w:t>
      </w:r>
      <w:r>
        <w:rPr>
          <w:rFonts w:ascii="仿宋" w:hAnsi="仿宋" w:eastAsia="仿宋"/>
          <w:szCs w:val="32"/>
          <w:highlight w:val="none"/>
        </w:rPr>
        <w:t xml:space="preserve">  </w:t>
      </w:r>
      <w:r>
        <w:rPr>
          <w:rFonts w:hint="eastAsia" w:ascii="仿宋" w:hAnsi="仿宋" w:eastAsia="仿宋"/>
          <w:szCs w:val="32"/>
          <w:highlight w:val="none"/>
        </w:rPr>
        <w:t>投标文件格式</w:t>
      </w:r>
      <w:r>
        <w:tab/>
      </w:r>
      <w:r>
        <w:fldChar w:fldCharType="begin"/>
      </w:r>
      <w:r>
        <w:instrText xml:space="preserve"> PAGEREF _Toc7614 \h </w:instrText>
      </w:r>
      <w:r>
        <w:fldChar w:fldCharType="separate"/>
      </w:r>
      <w:r>
        <w:t>29</w:t>
      </w:r>
      <w:r>
        <w:fldChar w:fldCharType="end"/>
      </w:r>
      <w:r>
        <w:rPr>
          <w:rFonts w:ascii="宋体" w:hAnsi="宋体"/>
          <w:color w:val="000000" w:themeColor="text1"/>
          <w:szCs w:val="36"/>
          <w:highlight w:val="none"/>
          <w14:textFill>
            <w14:solidFill>
              <w14:schemeClr w14:val="tx1"/>
            </w14:solidFill>
          </w14:textFill>
        </w:rPr>
        <w:fldChar w:fldCharType="end"/>
      </w:r>
    </w:p>
    <w:p w14:paraId="7CFA2916">
      <w:pPr>
        <w:pStyle w:val="13"/>
        <w:tabs>
          <w:tab w:val="right" w:leader="dot" w:pos="9061"/>
        </w:tabs>
        <w:spacing w:before="0" w:after="0" w:line="400" w:lineRule="exact"/>
        <w:rPr>
          <w:rFonts w:ascii="宋体" w:hAnsi="宋体"/>
          <w:color w:val="000000" w:themeColor="text1"/>
          <w:sz w:val="44"/>
          <w:highlight w:val="none"/>
          <w14:textFill>
            <w14:solidFill>
              <w14:schemeClr w14:val="tx1"/>
            </w14:solidFill>
          </w14:textFill>
        </w:rPr>
      </w:pPr>
      <w:r>
        <w:rPr>
          <w:rFonts w:ascii="宋体" w:hAnsi="宋体"/>
          <w:color w:val="000000" w:themeColor="text1"/>
          <w:szCs w:val="36"/>
          <w:highlight w:val="none"/>
          <w14:textFill>
            <w14:solidFill>
              <w14:schemeClr w14:val="tx1"/>
            </w14:solidFill>
          </w14:textFill>
        </w:rPr>
        <w:fldChar w:fldCharType="end"/>
      </w:r>
      <w:bookmarkStart w:id="8" w:name="_Toc51489303"/>
    </w:p>
    <w:p w14:paraId="1325D72E">
      <w:pPr>
        <w:rPr>
          <w:color w:val="000000" w:themeColor="text1"/>
          <w:sz w:val="48"/>
          <w:szCs w:val="48"/>
          <w:highlight w:val="none"/>
          <w14:textFill>
            <w14:solidFill>
              <w14:schemeClr w14:val="tx1"/>
            </w14:solidFill>
          </w14:textFill>
        </w:rPr>
      </w:pPr>
    </w:p>
    <w:p w14:paraId="45B10F05">
      <w:pPr>
        <w:rPr>
          <w:rFonts w:hint="eastAsia" w:ascii="仿宋" w:hAnsi="仿宋" w:eastAsia="仿宋" w:cs="仿宋"/>
          <w:bCs w:val="0"/>
          <w:color w:val="000000" w:themeColor="text1"/>
          <w:kern w:val="0"/>
          <w:szCs w:val="32"/>
          <w:highlight w:val="none"/>
          <w14:textFill>
            <w14:solidFill>
              <w14:schemeClr w14:val="tx1"/>
            </w14:solidFill>
          </w14:textFill>
        </w:rPr>
      </w:pPr>
      <w:bookmarkStart w:id="9" w:name="_Toc19084"/>
      <w:bookmarkStart w:id="10" w:name="_Toc4219"/>
      <w:bookmarkStart w:id="11" w:name="_Toc30932"/>
      <w:bookmarkStart w:id="12" w:name="_Toc20154"/>
      <w:bookmarkStart w:id="13" w:name="_Toc15279"/>
      <w:bookmarkStart w:id="14" w:name="_Toc16183"/>
      <w:bookmarkStart w:id="15" w:name="_Toc209383605"/>
      <w:bookmarkStart w:id="16" w:name="_Toc9961"/>
      <w:bookmarkStart w:id="17" w:name="_Toc5673"/>
      <w:bookmarkStart w:id="18" w:name="_Toc9291"/>
      <w:r>
        <w:rPr>
          <w:rFonts w:hint="eastAsia" w:ascii="仿宋" w:hAnsi="仿宋" w:eastAsia="仿宋" w:cs="仿宋"/>
          <w:bCs w:val="0"/>
          <w:color w:val="000000" w:themeColor="text1"/>
          <w:kern w:val="0"/>
          <w:szCs w:val="32"/>
          <w:highlight w:val="none"/>
          <w14:textFill>
            <w14:solidFill>
              <w14:schemeClr w14:val="tx1"/>
            </w14:solidFill>
          </w14:textFill>
        </w:rPr>
        <w:br w:type="page"/>
      </w:r>
    </w:p>
    <w:p w14:paraId="2AD03435">
      <w:pPr>
        <w:pStyle w:val="2"/>
        <w:keepNext w:val="0"/>
        <w:keepLines w:val="0"/>
        <w:spacing w:beforeLines="50" w:afterLines="100" w:line="580" w:lineRule="exact"/>
        <w:jc w:val="center"/>
        <w:rPr>
          <w:color w:val="000000" w:themeColor="text1"/>
          <w:szCs w:val="32"/>
          <w:highlight w:val="none"/>
          <w14:textFill>
            <w14:solidFill>
              <w14:schemeClr w14:val="tx1"/>
            </w14:solidFill>
          </w14:textFill>
        </w:rPr>
      </w:pPr>
      <w:bookmarkStart w:id="19" w:name="_Toc25536"/>
      <w:r>
        <w:rPr>
          <w:rFonts w:hint="eastAsia" w:ascii="仿宋" w:hAnsi="仿宋" w:eastAsia="仿宋" w:cs="仿宋"/>
          <w:bCs w:val="0"/>
          <w:color w:val="000000" w:themeColor="text1"/>
          <w:kern w:val="0"/>
          <w:szCs w:val="32"/>
          <w:highlight w:val="none"/>
          <w14:textFill>
            <w14:solidFill>
              <w14:schemeClr w14:val="tx1"/>
            </w14:solidFill>
          </w14:textFill>
        </w:rPr>
        <w:t>第一章　招标公告</w:t>
      </w:r>
      <w:bookmarkEnd w:id="9"/>
      <w:bookmarkEnd w:id="10"/>
      <w:bookmarkEnd w:id="11"/>
      <w:bookmarkEnd w:id="12"/>
      <w:bookmarkEnd w:id="13"/>
      <w:bookmarkEnd w:id="14"/>
      <w:bookmarkEnd w:id="15"/>
      <w:bookmarkEnd w:id="16"/>
      <w:bookmarkEnd w:id="17"/>
      <w:bookmarkEnd w:id="18"/>
      <w:bookmarkEnd w:id="19"/>
    </w:p>
    <w:p w14:paraId="345D60FC">
      <w:pPr>
        <w:pStyle w:val="15"/>
        <w:shd w:val="clear" w:color="auto" w:fill="FFFFFF"/>
        <w:spacing w:line="560" w:lineRule="exact"/>
        <w:ind w:firstLine="640" w:firstLineChars="200"/>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厦门国贸物业服务有限公司</w:t>
      </w:r>
      <w:r>
        <w:rPr>
          <w:rFonts w:hint="eastAsia" w:ascii="仿宋" w:hAnsi="仿宋" w:eastAsia="仿宋" w:cs="仿宋"/>
          <w:color w:val="000000" w:themeColor="text1"/>
          <w:kern w:val="0"/>
          <w:sz w:val="32"/>
          <w:szCs w:val="32"/>
          <w:highlight w:val="none"/>
          <w14:textFill>
            <w14:solidFill>
              <w14:schemeClr w14:val="tx1"/>
            </w14:solidFill>
          </w14:textFill>
        </w:rPr>
        <w:t>为保证管辖项目</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泉州国贸天琴樾</w:t>
      </w:r>
      <w:r>
        <w:rPr>
          <w:rFonts w:hint="eastAsia" w:ascii="仿宋" w:hAnsi="仿宋" w:eastAsia="仿宋" w:cs="仿宋"/>
          <w:color w:val="000000" w:themeColor="text1"/>
          <w:kern w:val="0"/>
          <w:sz w:val="32"/>
          <w:szCs w:val="32"/>
          <w:highlight w:val="none"/>
          <w14:textFill>
            <w14:solidFill>
              <w14:schemeClr w14:val="tx1"/>
            </w14:solidFill>
          </w14:textFill>
        </w:rPr>
        <w:t>的整体形象，进一步做好项目环境品质工作，现对此项目</w:t>
      </w:r>
      <w:r>
        <w:rPr>
          <w:rFonts w:hint="eastAsia" w:ascii="仿宋" w:hAnsi="仿宋" w:eastAsia="仿宋"/>
          <w:color w:val="000000" w:themeColor="text1"/>
          <w:sz w:val="32"/>
          <w:szCs w:val="32"/>
          <w:highlight w:val="none"/>
          <w14:textFill>
            <w14:solidFill>
              <w14:schemeClr w14:val="tx1"/>
            </w14:solidFill>
          </w14:textFill>
        </w:rPr>
        <w:t>建筑垃圾清运服务</w:t>
      </w:r>
      <w:r>
        <w:rPr>
          <w:rFonts w:hint="eastAsia" w:ascii="仿宋" w:hAnsi="仿宋" w:eastAsia="仿宋" w:cs="仿宋"/>
          <w:color w:val="000000" w:themeColor="text1"/>
          <w:kern w:val="0"/>
          <w:sz w:val="32"/>
          <w:szCs w:val="32"/>
          <w:highlight w:val="none"/>
          <w14:textFill>
            <w14:solidFill>
              <w14:schemeClr w14:val="tx1"/>
            </w14:solidFill>
          </w14:textFill>
        </w:rPr>
        <w:t>进行</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第二次</w:t>
      </w:r>
      <w:r>
        <w:rPr>
          <w:rFonts w:hint="eastAsia" w:ascii="仿宋" w:hAnsi="仿宋" w:eastAsia="仿宋" w:cs="仿宋"/>
          <w:color w:val="000000" w:themeColor="text1"/>
          <w:kern w:val="0"/>
          <w:sz w:val="32"/>
          <w:szCs w:val="32"/>
          <w:highlight w:val="none"/>
          <w14:textFill>
            <w14:solidFill>
              <w14:schemeClr w14:val="tx1"/>
            </w14:solidFill>
          </w14:textFill>
        </w:rPr>
        <w:t>公开招标，欢迎符合资格、专业的公司参加投标</w:t>
      </w:r>
      <w:r>
        <w:rPr>
          <w:rFonts w:hint="eastAsia" w:ascii="仿宋" w:hAnsi="仿宋" w:eastAsia="仿宋" w:cs="Arial"/>
          <w:color w:val="000000" w:themeColor="text1"/>
          <w:sz w:val="32"/>
          <w:szCs w:val="32"/>
          <w:highlight w:val="none"/>
          <w14:textFill>
            <w14:solidFill>
              <w14:schemeClr w14:val="tx1"/>
            </w14:solidFill>
          </w14:textFill>
        </w:rPr>
        <w:t>。</w:t>
      </w:r>
    </w:p>
    <w:p w14:paraId="59BE85EF">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若有意参加此次招标，请自行在本网站下载招标文件，此次招标的截标时间为2026年1月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26</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w:t>
      </w:r>
      <w:r>
        <w:rPr>
          <w:rFonts w:ascii="仿宋" w:hAnsi="仿宋" w:eastAsia="仿宋" w:cs="仿宋"/>
          <w:color w:val="000000" w:themeColor="text1"/>
          <w:kern w:val="0"/>
          <w:sz w:val="32"/>
          <w:szCs w:val="32"/>
          <w:highlight w:val="none"/>
          <w14:textFill>
            <w14:solidFill>
              <w14:schemeClr w14:val="tx1"/>
            </w14:solidFill>
          </w14:textFill>
        </w:rPr>
        <w:t>分，投标人需在</w:t>
      </w:r>
      <w:r>
        <w:rPr>
          <w:rFonts w:hint="eastAsia" w:ascii="仿宋" w:hAnsi="仿宋" w:eastAsia="仿宋" w:cs="仿宋"/>
          <w:color w:val="000000" w:themeColor="text1"/>
          <w:kern w:val="0"/>
          <w:sz w:val="32"/>
          <w:szCs w:val="32"/>
          <w:highlight w:val="none"/>
          <w14:textFill>
            <w14:solidFill>
              <w14:schemeClr w14:val="tx1"/>
            </w14:solidFill>
          </w14:textFill>
        </w:rPr>
        <w:t>2026年1月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26</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w:t>
      </w:r>
      <w:r>
        <w:rPr>
          <w:rFonts w:ascii="仿宋" w:hAnsi="仿宋" w:eastAsia="仿宋" w:cs="仿宋"/>
          <w:color w:val="000000" w:themeColor="text1"/>
          <w:kern w:val="0"/>
          <w:sz w:val="32"/>
          <w:szCs w:val="32"/>
          <w:highlight w:val="none"/>
          <w14:textFill>
            <w14:solidFill>
              <w14:schemeClr w14:val="tx1"/>
            </w14:solidFill>
          </w14:textFill>
        </w:rPr>
        <w:t>分前将投标文件正本一份，副本一份，电子版一份（U盘介质）提交到招标人处，在此时点之后送达的投标文件恕不接</w:t>
      </w:r>
      <w:r>
        <w:rPr>
          <w:rFonts w:hint="eastAsia" w:ascii="仿宋" w:hAnsi="仿宋" w:eastAsia="仿宋" w:cs="仿宋"/>
          <w:color w:val="000000" w:themeColor="text1"/>
          <w:kern w:val="0"/>
          <w:sz w:val="32"/>
          <w:szCs w:val="32"/>
          <w:highlight w:val="none"/>
          <w14:textFill>
            <w14:solidFill>
              <w14:schemeClr w14:val="tx1"/>
            </w14:solidFill>
          </w14:textFill>
        </w:rPr>
        <w:t>受。</w:t>
      </w:r>
    </w:p>
    <w:p w14:paraId="7A30A651">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p>
    <w:p w14:paraId="60F39AB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招标人：</w:t>
      </w:r>
      <w:r>
        <w:rPr>
          <w:rFonts w:hint="eastAsia" w:ascii="仿宋" w:hAnsi="仿宋" w:eastAsia="仿宋"/>
          <w:color w:val="000000" w:themeColor="text1"/>
          <w:sz w:val="32"/>
          <w:szCs w:val="32"/>
          <w:highlight w:val="none"/>
          <w14:textFill>
            <w14:solidFill>
              <w14:schemeClr w14:val="tx1"/>
            </w14:solidFill>
          </w14:textFill>
        </w:rPr>
        <w:t>厦门国贸物业服务有限公司</w:t>
      </w:r>
    </w:p>
    <w:p w14:paraId="2D04AB4B">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联系地址：厦门市思明区体育路</w:t>
      </w:r>
      <w:r>
        <w:rPr>
          <w:rFonts w:ascii="仿宋" w:hAnsi="仿宋" w:eastAsia="仿宋" w:cs="仿宋"/>
          <w:color w:val="000000" w:themeColor="text1"/>
          <w:kern w:val="0"/>
          <w:sz w:val="32"/>
          <w:szCs w:val="32"/>
          <w:highlight w:val="none"/>
          <w14:textFill>
            <w14:solidFill>
              <w14:schemeClr w14:val="tx1"/>
            </w14:solidFill>
          </w14:textFill>
        </w:rPr>
        <w:t>41号顺承大厦6楼</w:t>
      </w:r>
    </w:p>
    <w:p w14:paraId="55C0E377">
      <w:pPr>
        <w:spacing w:line="500" w:lineRule="exact"/>
        <w:ind w:firstLine="640" w:firstLineChars="200"/>
        <w:rPr>
          <w:rFonts w:hint="eastAsia" w:ascii="仿宋" w:hAnsi="仿宋"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w:t>
      </w:r>
      <w:r>
        <w:rPr>
          <w:rFonts w:hint="eastAsia" w:ascii="仿宋" w:hAnsi="仿宋" w:eastAsia="仿宋" w:cs="Times New Roman"/>
          <w:color w:val="000000" w:themeColor="text1"/>
          <w:kern w:val="2"/>
          <w:sz w:val="32"/>
          <w:szCs w:val="32"/>
          <w:highlight w:val="none"/>
          <w14:textFill>
            <w14:solidFill>
              <w14:schemeClr w14:val="tx1"/>
            </w14:solidFill>
          </w14:textFill>
        </w:rPr>
        <w:t>系人：林女士</w:t>
      </w:r>
      <w:bookmarkStart w:id="516" w:name="_GoBack"/>
      <w:bookmarkEnd w:id="516"/>
    </w:p>
    <w:p w14:paraId="168CE20F">
      <w:pPr>
        <w:spacing w:line="500" w:lineRule="exact"/>
        <w:ind w:left="0" w:leftChars="0" w:firstLine="640" w:firstLineChars="200"/>
        <w:rPr>
          <w:rFonts w:hint="eastAsia" w:ascii="仿宋" w:hAnsi="仿宋"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联系电话：0592-2990161</w:t>
      </w:r>
    </w:p>
    <w:p w14:paraId="77DE3D42">
      <w:pPr>
        <w:spacing w:line="500" w:lineRule="exact"/>
        <w:ind w:left="0" w:leftChars="0"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账户名称：</w:t>
      </w:r>
      <w:bookmarkStart w:id="20" w:name="OLE_LINK4"/>
      <w:r>
        <w:rPr>
          <w:rFonts w:hint="eastAsia" w:ascii="仿宋" w:hAnsi="仿宋" w:eastAsia="仿宋"/>
          <w:color w:val="000000" w:themeColor="text1"/>
          <w:sz w:val="32"/>
          <w:szCs w:val="32"/>
          <w:highlight w:val="none"/>
          <w14:textFill>
            <w14:solidFill>
              <w14:schemeClr w14:val="tx1"/>
            </w14:solidFill>
          </w14:textFill>
        </w:rPr>
        <w:t>厦门国贸物业服务有限公司</w:t>
      </w:r>
    </w:p>
    <w:bookmarkEnd w:id="20"/>
    <w:p w14:paraId="1DA1B61D">
      <w:pPr>
        <w:spacing w:line="500" w:lineRule="exact"/>
        <w:ind w:firstLine="640" w:firstLineChars="200"/>
        <w:rPr>
          <w:rFonts w:hint="eastAsia" w:ascii="仿宋" w:hAnsi="仿宋" w:eastAsia="仿宋" w:cs="Times New Roman"/>
          <w:color w:val="000000" w:themeColor="text1"/>
          <w:kern w:val="2"/>
          <w:sz w:val="32"/>
          <w:szCs w:val="32"/>
          <w:highlight w:val="none"/>
          <w:u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账号：</w:t>
      </w:r>
      <w:r>
        <w:rPr>
          <w:rFonts w:hint="eastAsia" w:ascii="仿宋" w:hAnsi="仿宋" w:eastAsia="仿宋" w:cs="Times New Roman"/>
          <w:bCs w:val="0"/>
          <w:color w:val="000000" w:themeColor="text1"/>
          <w:sz w:val="32"/>
          <w:szCs w:val="32"/>
          <w:highlight w:val="none"/>
          <w:u w:val="none"/>
          <w:lang w:eastAsia="zh-TW"/>
          <w14:textFill>
            <w14:solidFill>
              <w14:schemeClr w14:val="tx1"/>
            </w14:solidFill>
          </w14:textFill>
        </w:rPr>
        <w:t>35150198030100002962</w:t>
      </w:r>
    </w:p>
    <w:p w14:paraId="0F0BAD55">
      <w:pPr>
        <w:spacing w:line="500" w:lineRule="exact"/>
        <w:ind w:firstLine="640" w:firstLineChars="200"/>
        <w:rPr>
          <w:rFonts w:hint="eastAsia" w:ascii="仿宋" w:hAnsi="仿宋" w:eastAsia="仿宋" w:cs="Times New Roman"/>
          <w:bCs w:val="0"/>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开户银行：</w:t>
      </w:r>
      <w:r>
        <w:rPr>
          <w:rFonts w:hint="eastAsia" w:ascii="仿宋" w:hAnsi="仿宋" w:eastAsia="仿宋" w:cs="Times New Roman"/>
          <w:bCs w:val="0"/>
          <w:color w:val="000000" w:themeColor="text1"/>
          <w:sz w:val="32"/>
          <w:szCs w:val="32"/>
          <w:highlight w:val="none"/>
          <w:lang w:eastAsia="zh-TW"/>
          <w14:textFill>
            <w14:solidFill>
              <w14:schemeClr w14:val="tx1"/>
            </w14:solidFill>
          </w14:textFill>
        </w:rPr>
        <w:t>中国建设银行股份有限公司厦门湖滨支行</w:t>
      </w:r>
    </w:p>
    <w:p w14:paraId="1F422C59">
      <w:pPr>
        <w:spacing w:line="500" w:lineRule="exact"/>
        <w:ind w:left="638" w:leftChars="304"/>
        <w:rPr>
          <w:rFonts w:ascii="仿宋" w:hAnsi="仿宋" w:eastAsia="仿宋" w:cs="仿宋"/>
          <w:color w:val="000000" w:themeColor="text1"/>
          <w:kern w:val="0"/>
          <w:sz w:val="32"/>
          <w:szCs w:val="32"/>
          <w:highlight w:val="none"/>
          <w14:textFill>
            <w14:solidFill>
              <w14:schemeClr w14:val="tx1"/>
            </w14:solidFill>
          </w14:textFill>
        </w:rPr>
      </w:pPr>
    </w:p>
    <w:p w14:paraId="5520B796">
      <w:pPr>
        <w:spacing w:line="500" w:lineRule="exact"/>
        <w:ind w:right="920"/>
        <w:rPr>
          <w:rFonts w:ascii="仿宋" w:hAnsi="仿宋" w:eastAsia="仿宋" w:cs="仿宋"/>
          <w:color w:val="000000" w:themeColor="text1"/>
          <w:kern w:val="0"/>
          <w:sz w:val="32"/>
          <w:szCs w:val="32"/>
          <w:highlight w:val="none"/>
          <w14:textFill>
            <w14:solidFill>
              <w14:schemeClr w14:val="tx1"/>
            </w14:solidFill>
          </w14:textFill>
        </w:rPr>
      </w:pPr>
    </w:p>
    <w:p w14:paraId="22CFB3F0">
      <w:pPr>
        <w:spacing w:line="500" w:lineRule="exact"/>
        <w:ind w:left="638" w:leftChars="304" w:firstLine="3680" w:firstLineChars="11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厦门国贸物业服务有限公司</w:t>
      </w:r>
    </w:p>
    <w:p w14:paraId="65D6E45F">
      <w:pPr>
        <w:wordWrap w:val="0"/>
        <w:spacing w:line="500" w:lineRule="exact"/>
        <w:ind w:right="280" w:firstLine="640" w:firstLineChars="200"/>
        <w:jc w:val="righ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19</w:t>
      </w:r>
      <w:r>
        <w:rPr>
          <w:rFonts w:hint="eastAsia" w:ascii="仿宋" w:hAnsi="仿宋" w:eastAsia="仿宋" w:cs="仿宋"/>
          <w:color w:val="000000" w:themeColor="text1"/>
          <w:kern w:val="0"/>
          <w:sz w:val="32"/>
          <w:szCs w:val="32"/>
          <w:highlight w:val="none"/>
          <w14:textFill>
            <w14:solidFill>
              <w14:schemeClr w14:val="tx1"/>
            </w14:solidFill>
          </w14:textFill>
        </w:rPr>
        <w:t>日　　　　</w:t>
      </w:r>
    </w:p>
    <w:p w14:paraId="18C4BA00">
      <w:pPr>
        <w:bidi w:val="0"/>
      </w:pPr>
    </w:p>
    <w:p w14:paraId="4F06AEBF">
      <w:pPr>
        <w:bidi w:val="0"/>
      </w:pPr>
    </w:p>
    <w:p w14:paraId="5FC16AB3">
      <w:pPr>
        <w:bidi w:val="0"/>
      </w:pPr>
    </w:p>
    <w:p w14:paraId="4836D78E">
      <w:pPr>
        <w:bidi w:val="0"/>
      </w:pPr>
    </w:p>
    <w:p w14:paraId="490F2F4F">
      <w:pPr>
        <w:bidi w:val="0"/>
      </w:pPr>
    </w:p>
    <w:p w14:paraId="785EF3C3">
      <w:pPr>
        <w:rPr>
          <w:color w:val="000000" w:themeColor="text1"/>
          <w:highlight w:val="none"/>
          <w14:textFill>
            <w14:solidFill>
              <w14:schemeClr w14:val="tx1"/>
            </w14:solidFill>
          </w14:textFill>
        </w:rPr>
      </w:pPr>
    </w:p>
    <w:p w14:paraId="7299114A">
      <w:pPr>
        <w:bidi w:val="0"/>
        <w:rPr>
          <w:rFonts w:hint="eastAsia"/>
        </w:rPr>
      </w:pPr>
      <w:bookmarkStart w:id="21" w:name="_Toc18078"/>
      <w:bookmarkStart w:id="22" w:name="_Toc26435"/>
      <w:bookmarkStart w:id="23" w:name="_Toc1186"/>
      <w:bookmarkStart w:id="24" w:name="_Toc2962"/>
      <w:bookmarkStart w:id="25" w:name="_Toc5752"/>
      <w:bookmarkStart w:id="26" w:name="_Toc31144"/>
      <w:bookmarkStart w:id="27" w:name="_Toc82"/>
      <w:bookmarkStart w:id="28" w:name="_Toc209383606"/>
      <w:bookmarkStart w:id="29" w:name="_Toc31056"/>
      <w:bookmarkStart w:id="30" w:name="_Toc15766"/>
    </w:p>
    <w:p w14:paraId="5C6D833B">
      <w:pPr>
        <w:rPr>
          <w:rFonts w:hint="eastAsia"/>
        </w:rPr>
      </w:pPr>
      <w:r>
        <w:rPr>
          <w:rFonts w:hint="eastAsia"/>
        </w:rPr>
        <w:br w:type="page"/>
      </w:r>
    </w:p>
    <w:p w14:paraId="4D9121E5">
      <w:pPr>
        <w:rPr>
          <w:rFonts w:hint="eastAsia"/>
        </w:rPr>
      </w:pPr>
    </w:p>
    <w:p w14:paraId="0287E853">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bookmarkStart w:id="31" w:name="_Toc21413"/>
      <w:r>
        <w:rPr>
          <w:rFonts w:hint="eastAsia" w:ascii="仿宋" w:hAnsi="仿宋" w:eastAsia="仿宋"/>
          <w:color w:val="000000" w:themeColor="text1"/>
          <w:highlight w:val="none"/>
          <w14:textFill>
            <w14:solidFill>
              <w14:schemeClr w14:val="tx1"/>
            </w14:solidFill>
          </w14:textFill>
        </w:rPr>
        <w:t>附：招标项目一览表</w:t>
      </w:r>
      <w:bookmarkEnd w:id="21"/>
      <w:bookmarkEnd w:id="22"/>
      <w:bookmarkEnd w:id="23"/>
      <w:bookmarkEnd w:id="24"/>
      <w:bookmarkEnd w:id="25"/>
      <w:bookmarkEnd w:id="26"/>
      <w:bookmarkEnd w:id="27"/>
      <w:bookmarkEnd w:id="28"/>
      <w:bookmarkEnd w:id="29"/>
      <w:bookmarkEnd w:id="30"/>
      <w:bookmarkEnd w:id="31"/>
    </w:p>
    <w:tbl>
      <w:tblPr>
        <w:tblStyle w:val="16"/>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1880"/>
        <w:gridCol w:w="1066"/>
        <w:gridCol w:w="1187"/>
        <w:gridCol w:w="973"/>
        <w:gridCol w:w="1863"/>
        <w:gridCol w:w="1644"/>
      </w:tblGrid>
      <w:tr w14:paraId="627380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832743F">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w:t>
            </w:r>
          </w:p>
          <w:p w14:paraId="5667ED96">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号</w:t>
            </w:r>
          </w:p>
        </w:tc>
        <w:tc>
          <w:tcPr>
            <w:tcW w:w="1880" w:type="dxa"/>
            <w:vAlign w:val="center"/>
          </w:tcPr>
          <w:p w14:paraId="450D3B5B">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招标服务名称</w:t>
            </w:r>
          </w:p>
        </w:tc>
        <w:tc>
          <w:tcPr>
            <w:tcW w:w="1066" w:type="dxa"/>
            <w:vAlign w:val="center"/>
          </w:tcPr>
          <w:p w14:paraId="69C10888">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招标内容及要求</w:t>
            </w:r>
          </w:p>
        </w:tc>
        <w:tc>
          <w:tcPr>
            <w:tcW w:w="1187" w:type="dxa"/>
            <w:vAlign w:val="center"/>
          </w:tcPr>
          <w:p w14:paraId="64C1CA77">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服务地点</w:t>
            </w:r>
          </w:p>
        </w:tc>
        <w:tc>
          <w:tcPr>
            <w:tcW w:w="973" w:type="dxa"/>
            <w:vAlign w:val="center"/>
          </w:tcPr>
          <w:p w14:paraId="47349BEE">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服务期</w:t>
            </w:r>
          </w:p>
        </w:tc>
        <w:tc>
          <w:tcPr>
            <w:tcW w:w="1863" w:type="dxa"/>
            <w:vAlign w:val="center"/>
          </w:tcPr>
          <w:p w14:paraId="208EE215">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6A6F0E0E">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控制总价</w:t>
            </w:r>
          </w:p>
        </w:tc>
        <w:tc>
          <w:tcPr>
            <w:tcW w:w="1644" w:type="dxa"/>
            <w:vAlign w:val="center"/>
          </w:tcPr>
          <w:p w14:paraId="41DCC6F5">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1C20BDE9">
            <w:pPr>
              <w:widowControl/>
              <w:spacing w:line="240" w:lineRule="atLeast"/>
              <w:jc w:val="center"/>
              <w:rPr>
                <w:rFonts w:ascii="仿宋" w:hAnsi="仿宋"/>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控制单价</w:t>
            </w:r>
          </w:p>
        </w:tc>
      </w:tr>
      <w:tr w14:paraId="0F4059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01836E69">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w:t>
            </w:r>
          </w:p>
        </w:tc>
        <w:tc>
          <w:tcPr>
            <w:tcW w:w="1880" w:type="dxa"/>
            <w:vAlign w:val="center"/>
          </w:tcPr>
          <w:p w14:paraId="194011C9">
            <w:pPr>
              <w:adjustRightInd w:val="0"/>
              <w:snapToGrid w:val="0"/>
              <w:jc w:val="center"/>
              <w:rPr>
                <w:rFonts w:hint="default" w:ascii="仿宋" w:hAnsi="仿宋"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泉州国贸天琴樾</w:t>
            </w:r>
            <w:r>
              <w:rPr>
                <w:rFonts w:hint="eastAsia" w:ascii="宋体" w:hAnsi="宋体"/>
                <w:color w:val="000000" w:themeColor="text1"/>
                <w:kern w:val="0"/>
                <w:sz w:val="24"/>
                <w:highlight w:val="none"/>
                <w14:textFill>
                  <w14:solidFill>
                    <w14:schemeClr w14:val="tx1"/>
                  </w14:solidFill>
                </w14:textFill>
              </w:rPr>
              <w:t>建筑垃圾清运服务</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第二次）</w:t>
            </w:r>
          </w:p>
        </w:tc>
        <w:tc>
          <w:tcPr>
            <w:tcW w:w="1066" w:type="dxa"/>
            <w:vAlign w:val="center"/>
          </w:tcPr>
          <w:p w14:paraId="2F466F85">
            <w:pPr>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详见</w:t>
            </w:r>
          </w:p>
          <w:p w14:paraId="54137355">
            <w:pPr>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第三章</w:t>
            </w:r>
          </w:p>
        </w:tc>
        <w:tc>
          <w:tcPr>
            <w:tcW w:w="1187" w:type="dxa"/>
            <w:vAlign w:val="center"/>
          </w:tcPr>
          <w:p w14:paraId="1D703D82">
            <w:pPr>
              <w:jc w:val="center"/>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泉州市</w:t>
            </w:r>
            <w:r>
              <w:rPr>
                <w:rFonts w:hint="eastAsia" w:ascii="宋体" w:hAnsi="宋体"/>
                <w:color w:val="000000" w:themeColor="text1"/>
                <w:kern w:val="0"/>
                <w:sz w:val="24"/>
                <w:highlight w:val="none"/>
                <w:lang w:eastAsia="zh-CN"/>
                <w14:textFill>
                  <w14:solidFill>
                    <w14:schemeClr w14:val="tx1"/>
                  </w14:solidFill>
                </w14:textFill>
              </w:rPr>
              <w:t>丰泽区</w:t>
            </w:r>
          </w:p>
        </w:tc>
        <w:tc>
          <w:tcPr>
            <w:tcW w:w="973" w:type="dxa"/>
            <w:vAlign w:val="center"/>
          </w:tcPr>
          <w:p w14:paraId="6E9F1436">
            <w:pPr>
              <w:spacing w:line="360" w:lineRule="auto"/>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2年</w:t>
            </w:r>
          </w:p>
        </w:tc>
        <w:tc>
          <w:tcPr>
            <w:tcW w:w="1863" w:type="dxa"/>
            <w:vAlign w:val="center"/>
          </w:tcPr>
          <w:p w14:paraId="67C9C3C6">
            <w:pPr>
              <w:adjustRightInd w:val="0"/>
              <w:snapToGrid w:val="0"/>
              <w:jc w:val="center"/>
              <w:rPr>
                <w:rFonts w:hint="eastAsia" w:ascii="宋体" w:hAnsi="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946132元</w:t>
            </w:r>
          </w:p>
          <w:p w14:paraId="5C62E807">
            <w:pPr>
              <w:adjustRightInd w:val="0"/>
              <w:snapToGrid w:val="0"/>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（含税）</w:t>
            </w:r>
          </w:p>
        </w:tc>
        <w:tc>
          <w:tcPr>
            <w:tcW w:w="1644" w:type="dxa"/>
            <w:vAlign w:val="center"/>
          </w:tcPr>
          <w:p w14:paraId="706C0A86">
            <w:pPr>
              <w:ind w:firstLine="240" w:firstLineChars="1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11.0</w:t>
            </w:r>
            <w:r>
              <w:rPr>
                <w:rFonts w:hint="eastAsia" w:ascii="宋体" w:hAnsi="宋体"/>
                <w:color w:val="000000" w:themeColor="text1"/>
                <w:kern w:val="0"/>
                <w:sz w:val="24"/>
                <w:highlight w:val="none"/>
                <w14:textFill>
                  <w14:solidFill>
                    <w14:schemeClr w14:val="tx1"/>
                  </w14:solidFill>
                </w14:textFill>
              </w:rPr>
              <w:t>元</w:t>
            </w:r>
            <w:r>
              <w:rPr>
                <w:rFonts w:ascii="宋体" w:hAnsi="宋体"/>
                <w:color w:val="000000" w:themeColor="text1"/>
                <w:kern w:val="0"/>
                <w:sz w:val="24"/>
                <w:highlight w:val="none"/>
                <w14:textFill>
                  <w14:solidFill>
                    <w14:schemeClr w14:val="tx1"/>
                  </w14:solidFill>
                </w14:textFill>
              </w:rPr>
              <w:t>/㎡</w:t>
            </w:r>
          </w:p>
        </w:tc>
      </w:tr>
    </w:tbl>
    <w:p w14:paraId="4C7F598F">
      <w:pPr>
        <w:rPr>
          <w:color w:val="000000" w:themeColor="text1"/>
          <w:highlight w:val="none"/>
          <w14:textFill>
            <w14:solidFill>
              <w14:schemeClr w14:val="tx1"/>
            </w14:solidFill>
          </w14:textFill>
        </w:rPr>
      </w:pPr>
    </w:p>
    <w:p w14:paraId="53926597">
      <w:pPr>
        <w:spacing w:line="500" w:lineRule="exac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备注：</w:t>
      </w:r>
    </w:p>
    <w:p w14:paraId="07ECFA21">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1、服务期</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限为</w:t>
      </w:r>
      <w:r>
        <w:rPr>
          <w:rFonts w:hint="eastAsia" w:ascii="仿宋" w:hAnsi="仿宋" w:eastAsia="仿宋" w:cs="仿宋"/>
          <w:color w:val="000000" w:themeColor="text1"/>
          <w:kern w:val="0"/>
          <w:sz w:val="32"/>
          <w:szCs w:val="32"/>
          <w:highlight w:val="none"/>
          <w14:textFill>
            <w14:solidFill>
              <w14:schemeClr w14:val="tx1"/>
            </w14:solidFill>
          </w14:textFill>
        </w:rPr>
        <w:t>两年，</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暂定）</w:t>
      </w:r>
      <w:r>
        <w:rPr>
          <w:rFonts w:hint="eastAsia" w:ascii="仿宋" w:hAnsi="仿宋" w:eastAsia="仿宋" w:cs="仿宋"/>
          <w:color w:val="000000" w:themeColor="text1"/>
          <w:kern w:val="0"/>
          <w:sz w:val="32"/>
          <w:szCs w:val="32"/>
          <w:highlight w:val="none"/>
          <w14:textFill>
            <w14:solidFill>
              <w14:schemeClr w14:val="tx1"/>
            </w14:solidFill>
          </w14:textFill>
        </w:rPr>
        <w:t>至</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31</w:t>
      </w:r>
      <w:r>
        <w:rPr>
          <w:rFonts w:hint="eastAsia" w:ascii="仿宋" w:hAnsi="仿宋" w:eastAsia="仿宋" w:cs="仿宋"/>
          <w:color w:val="000000" w:themeColor="text1"/>
          <w:kern w:val="0"/>
          <w:sz w:val="32"/>
          <w:szCs w:val="32"/>
          <w:highlight w:val="none"/>
          <w14:textFill>
            <w14:solidFill>
              <w14:schemeClr w14:val="tx1"/>
            </w14:solidFill>
          </w14:textFill>
        </w:rPr>
        <w:t>日（具体服务期限起始时间以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kern w:val="0"/>
          <w:sz w:val="32"/>
          <w:szCs w:val="32"/>
          <w:highlight w:val="none"/>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间</w:t>
      </w:r>
      <w:r>
        <w:rPr>
          <w:rFonts w:hint="eastAsia" w:ascii="仿宋" w:hAnsi="仿宋" w:eastAsia="仿宋" w:cs="仿宋"/>
          <w:color w:val="000000" w:themeColor="text1"/>
          <w:kern w:val="0"/>
          <w:sz w:val="32"/>
          <w:szCs w:val="32"/>
          <w:highlight w:val="none"/>
          <w14:textFill>
            <w14:solidFill>
              <w14:schemeClr w14:val="tx1"/>
            </w14:solidFill>
          </w14:textFill>
        </w:rPr>
        <w:t>如有变更的,服务期限届满时间相应变更，但服务期限两年不变）。</w:t>
      </w:r>
    </w:p>
    <w:p w14:paraId="36F5FE38">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2、投标人的投标报价（单价、总价）不得超过本项目的控制价，否则将被视为无效投标响应。</w:t>
      </w:r>
    </w:p>
    <w:p w14:paraId="5BD48966">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D5E656D">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06659FF">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429863F6">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CDDC081">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1BD3536">
      <w:pPr>
        <w:pStyle w:val="2"/>
        <w:spacing w:afterLines="50"/>
        <w:jc w:val="center"/>
        <w:rPr>
          <w:rFonts w:ascii="仿宋" w:hAnsi="仿宋" w:eastAsia="仿宋" w:cs="仿宋"/>
          <w:b w:val="0"/>
          <w:bCs w:val="0"/>
          <w:color w:val="000000" w:themeColor="text1"/>
          <w:kern w:val="0"/>
          <w:szCs w:val="32"/>
          <w:highlight w:val="none"/>
          <w14:textFill>
            <w14:solidFill>
              <w14:schemeClr w14:val="tx1"/>
            </w14:solidFill>
          </w14:textFill>
        </w:rPr>
      </w:pPr>
      <w:r>
        <w:rPr>
          <w:rFonts w:ascii="仿宋" w:hAnsi="仿宋" w:eastAsia="仿宋" w:cs="仿宋"/>
          <w:color w:val="000000" w:themeColor="text1"/>
          <w:kern w:val="0"/>
          <w:sz w:val="28"/>
          <w:szCs w:val="28"/>
          <w:highlight w:val="none"/>
          <w14:textFill>
            <w14:solidFill>
              <w14:schemeClr w14:val="tx1"/>
            </w14:solidFill>
          </w14:textFill>
        </w:rPr>
        <w:br w:type="page"/>
      </w:r>
      <w:bookmarkStart w:id="32" w:name="_Toc21466"/>
      <w:bookmarkStart w:id="33" w:name="_Toc27233"/>
      <w:bookmarkStart w:id="34" w:name="_Toc25849"/>
      <w:bookmarkStart w:id="35" w:name="_Toc281"/>
      <w:bookmarkStart w:id="36" w:name="_Toc17173"/>
      <w:bookmarkStart w:id="37" w:name="_Toc30242"/>
      <w:bookmarkStart w:id="38" w:name="_Toc8335"/>
      <w:bookmarkStart w:id="39" w:name="_Toc14010"/>
      <w:bookmarkStart w:id="40" w:name="_Toc30741"/>
      <w:bookmarkStart w:id="41" w:name="_Toc19900"/>
      <w:bookmarkStart w:id="42" w:name="_Toc209383607"/>
      <w:r>
        <w:rPr>
          <w:rFonts w:hint="eastAsia" w:ascii="仿宋" w:hAnsi="仿宋" w:eastAsia="仿宋" w:cs="仿宋"/>
          <w:color w:val="000000" w:themeColor="text1"/>
          <w:kern w:val="0"/>
          <w:szCs w:val="32"/>
          <w:highlight w:val="none"/>
          <w14:textFill>
            <w14:solidFill>
              <w14:schemeClr w14:val="tx1"/>
            </w14:solidFill>
          </w14:textFill>
        </w:rPr>
        <w:t>第二章　投标人须知</w:t>
      </w:r>
      <w:bookmarkEnd w:id="32"/>
      <w:bookmarkEnd w:id="33"/>
      <w:bookmarkEnd w:id="34"/>
      <w:bookmarkEnd w:id="35"/>
      <w:bookmarkEnd w:id="36"/>
      <w:bookmarkEnd w:id="37"/>
      <w:bookmarkEnd w:id="38"/>
      <w:bookmarkEnd w:id="39"/>
      <w:bookmarkEnd w:id="40"/>
      <w:bookmarkEnd w:id="41"/>
      <w:bookmarkEnd w:id="42"/>
    </w:p>
    <w:p w14:paraId="378F901C">
      <w:pPr>
        <w:spacing w:line="500" w:lineRule="exact"/>
        <w:ind w:firstLine="643" w:firstLineChars="20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投标人须知前附表</w:t>
      </w:r>
    </w:p>
    <w:p w14:paraId="607C72A9">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本须知前附表的内容是与《投标人须知》中条款的内容对应的。如有矛盾，应以本须知前附表为准。</w:t>
      </w:r>
    </w:p>
    <w:tbl>
      <w:tblPr>
        <w:tblStyle w:val="16"/>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1B023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502E080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项号</w:t>
            </w:r>
          </w:p>
        </w:tc>
        <w:tc>
          <w:tcPr>
            <w:tcW w:w="9071" w:type="dxa"/>
            <w:vAlign w:val="center"/>
          </w:tcPr>
          <w:p w14:paraId="4D1D0A5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编列内容</w:t>
            </w:r>
          </w:p>
        </w:tc>
      </w:tr>
      <w:tr w14:paraId="2CBC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6DA8C95C">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p>
        </w:tc>
        <w:tc>
          <w:tcPr>
            <w:tcW w:w="9071" w:type="dxa"/>
            <w:vAlign w:val="center"/>
          </w:tcPr>
          <w:p w14:paraId="363C7D2C">
            <w:pPr>
              <w:spacing w:line="40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泉州国贸天琴樾</w:t>
            </w:r>
            <w:r>
              <w:rPr>
                <w:rFonts w:hint="eastAsia" w:ascii="仿宋" w:hAnsi="仿宋" w:eastAsia="仿宋"/>
                <w:color w:val="000000" w:themeColor="text1"/>
                <w:sz w:val="28"/>
                <w:szCs w:val="28"/>
                <w:highlight w:val="none"/>
                <w14:textFill>
                  <w14:solidFill>
                    <w14:schemeClr w14:val="tx1"/>
                  </w14:solidFill>
                </w14:textFill>
              </w:rPr>
              <w:t>建筑垃圾清运服务</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第二次）</w:t>
            </w:r>
            <w:r>
              <w:rPr>
                <w:rFonts w:hint="eastAsia" w:ascii="仿宋" w:hAnsi="仿宋" w:eastAsia="仿宋"/>
                <w:color w:val="000000" w:themeColor="text1"/>
                <w:sz w:val="28"/>
                <w:szCs w:val="28"/>
                <w:highlight w:val="none"/>
                <w14:textFill>
                  <w14:solidFill>
                    <w14:schemeClr w14:val="tx1"/>
                  </w14:solidFill>
                </w14:textFill>
              </w:rPr>
              <w:t xml:space="preserve"> </w:t>
            </w:r>
          </w:p>
          <w:p w14:paraId="4C5105B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招标人：厦门国贸物业服务有限公司</w:t>
            </w:r>
          </w:p>
          <w:p w14:paraId="0B1311EF">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项目内容：见“招标项目一览表”</w:t>
            </w:r>
          </w:p>
          <w:p w14:paraId="734F9665">
            <w:pPr>
              <w:spacing w:line="400" w:lineRule="exact"/>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GMWY-2026-02 </w:t>
            </w:r>
          </w:p>
        </w:tc>
      </w:tr>
      <w:tr w14:paraId="7C459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2C3F9B77">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p>
        </w:tc>
        <w:tc>
          <w:tcPr>
            <w:tcW w:w="9071" w:type="dxa"/>
            <w:vAlign w:val="center"/>
          </w:tcPr>
          <w:p w14:paraId="6E8017F2">
            <w:pPr>
              <w:tabs>
                <w:tab w:val="left" w:pos="-1260"/>
                <w:tab w:val="left" w:pos="10260"/>
              </w:tabs>
              <w:spacing w:line="400" w:lineRule="exact"/>
              <w:rPr>
                <w:rFonts w:ascii="仿宋" w:hAnsi="仿宋" w:eastAsia="仿宋"/>
                <w:color w:val="000000" w:themeColor="text1"/>
                <w:spacing w:val="-4"/>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资格标准：</w:t>
            </w:r>
            <w:r>
              <w:rPr>
                <w:rFonts w:hint="eastAsia" w:ascii="仿宋" w:hAnsi="仿宋" w:eastAsia="仿宋"/>
                <w:color w:val="000000" w:themeColor="text1"/>
                <w:spacing w:val="-4"/>
                <w:sz w:val="28"/>
                <w:szCs w:val="28"/>
                <w:highlight w:val="none"/>
                <w14:textFill>
                  <w14:solidFill>
                    <w14:schemeClr w14:val="tx1"/>
                  </w14:solidFill>
                </w14:textFill>
              </w:rPr>
              <w:t>详细见</w:t>
            </w:r>
            <w:r>
              <w:rPr>
                <w:rFonts w:hint="eastAsia" w:ascii="仿宋" w:hAnsi="仿宋" w:eastAsia="仿宋" w:cs="Arial"/>
                <w:color w:val="000000" w:themeColor="text1"/>
                <w:sz w:val="28"/>
                <w:szCs w:val="28"/>
                <w:highlight w:val="none"/>
                <w14:textFill>
                  <w14:solidFill>
                    <w14:schemeClr w14:val="tx1"/>
                  </w14:solidFill>
                </w14:textFill>
              </w:rPr>
              <w:t xml:space="preserve"> “投标资格要求”</w:t>
            </w:r>
          </w:p>
        </w:tc>
      </w:tr>
      <w:tr w14:paraId="25D98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7347E95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3</w:t>
            </w:r>
          </w:p>
        </w:tc>
        <w:tc>
          <w:tcPr>
            <w:tcW w:w="9071" w:type="dxa"/>
            <w:vAlign w:val="center"/>
          </w:tcPr>
          <w:p w14:paraId="562DD36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投标有效期：</w:t>
            </w:r>
            <w:r>
              <w:rPr>
                <w:rFonts w:hint="eastAsia" w:ascii="仿宋" w:hAnsi="仿宋" w:eastAsia="仿宋" w:cs="宋体"/>
                <w:color w:val="000000" w:themeColor="text1"/>
                <w:kern w:val="0"/>
                <w:sz w:val="30"/>
                <w:szCs w:val="30"/>
                <w:highlight w:val="none"/>
                <w14:textFill>
                  <w14:solidFill>
                    <w14:schemeClr w14:val="tx1"/>
                  </w14:solidFill>
                </w14:textFill>
              </w:rPr>
              <w:t>投标截止期结束后90日历日。</w:t>
            </w:r>
            <w:r>
              <w:rPr>
                <w:rFonts w:hint="eastAsia" w:ascii="仿宋" w:hAnsi="仿宋" w:eastAsia="仿宋"/>
                <w:color w:val="000000" w:themeColor="text1"/>
                <w:sz w:val="28"/>
                <w:szCs w:val="28"/>
                <w:highlight w:val="none"/>
                <w14:textFill>
                  <w14:solidFill>
                    <w14:schemeClr w14:val="tx1"/>
                  </w14:solidFill>
                </w14:textFill>
              </w:rPr>
              <w:t>有效期不足将导致其投标文件被拒绝。</w:t>
            </w:r>
          </w:p>
        </w:tc>
      </w:tr>
      <w:tr w14:paraId="7055B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3CA0C37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4</w:t>
            </w:r>
          </w:p>
        </w:tc>
        <w:tc>
          <w:tcPr>
            <w:tcW w:w="9071" w:type="dxa"/>
            <w:vAlign w:val="center"/>
          </w:tcPr>
          <w:p w14:paraId="2FAFD4FC">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投标文件递交地址：厦门市思明区体育路41号顺承大厦6楼</w:t>
            </w:r>
          </w:p>
          <w:p w14:paraId="38041D6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投标截止时间：见“第一章 招标公告”</w:t>
            </w:r>
          </w:p>
        </w:tc>
      </w:tr>
      <w:tr w14:paraId="2B8B8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4ABD3C84">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w:t>
            </w:r>
          </w:p>
        </w:tc>
        <w:tc>
          <w:tcPr>
            <w:tcW w:w="9071" w:type="dxa"/>
            <w:vAlign w:val="center"/>
          </w:tcPr>
          <w:p w14:paraId="24BECE33">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★投标保证金：人民币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180</w:t>
            </w:r>
            <w:r>
              <w:rPr>
                <w:rFonts w:hint="eastAsia" w:ascii="仿宋" w:hAnsi="仿宋" w:eastAsia="仿宋" w:cs="仿宋"/>
                <w:b/>
                <w:bCs/>
                <w:color w:val="000000" w:themeColor="text1"/>
                <w:sz w:val="28"/>
                <w:szCs w:val="28"/>
                <w:highlight w:val="none"/>
                <w14:textFill>
                  <w14:solidFill>
                    <w14:schemeClr w14:val="tx1"/>
                  </w14:solidFill>
                </w14:textFill>
              </w:rPr>
              <w:t>00</w:t>
            </w:r>
            <w:r>
              <w:rPr>
                <w:rFonts w:hint="eastAsia" w:ascii="仿宋" w:hAnsi="仿宋" w:eastAsia="仿宋"/>
                <w:color w:val="000000" w:themeColor="text1"/>
                <w:sz w:val="28"/>
                <w:szCs w:val="28"/>
                <w:highlight w:val="none"/>
                <w14:textFill>
                  <w14:solidFill>
                    <w14:schemeClr w14:val="tx1"/>
                  </w14:solidFill>
                </w14:textFill>
              </w:rPr>
              <w:t>元整。</w:t>
            </w:r>
          </w:p>
          <w:p w14:paraId="40CFD8D5">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highlight w:val="none"/>
                <w14:textFill>
                  <w14:solidFill>
                    <w14:schemeClr w14:val="tx1"/>
                  </w14:solidFill>
                </w14:textFill>
              </w:rPr>
              <w:t>投标文件中应体现投标保证金的缴交凭证。</w:t>
            </w:r>
          </w:p>
          <w:p w14:paraId="1E71969A">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2、保证金的退还：</w:t>
            </w:r>
          </w:p>
          <w:p w14:paraId="48D26E41">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sz w:val="24"/>
              </w:rPr>
              <w:t>①</w:t>
            </w:r>
            <w:r>
              <w:rPr>
                <w:rFonts w:hint="eastAsia" w:ascii="仿宋" w:hAnsi="仿宋" w:eastAsia="仿宋"/>
                <w:color w:val="000000" w:themeColor="text1"/>
                <w:sz w:val="28"/>
                <w:szCs w:val="28"/>
                <w:highlight w:val="none"/>
                <w14:textFill>
                  <w14:solidFill>
                    <w14:schemeClr w14:val="tx1"/>
                  </w14:solidFill>
                </w14:textFill>
              </w:rPr>
              <w:t>招标人将在《中标通知书》发出之日起20个工作日内予以原额无息退还未中标人的投标保证金。</w:t>
            </w:r>
          </w:p>
          <w:p w14:paraId="50B1D9D3">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sz w:val="24"/>
              </w:rPr>
              <w:t>②</w:t>
            </w:r>
            <w:r>
              <w:rPr>
                <w:rFonts w:hint="eastAsia" w:ascii="仿宋" w:hAnsi="仿宋" w:eastAsia="仿宋"/>
                <w:color w:val="auto"/>
                <w:sz w:val="28"/>
                <w:szCs w:val="28"/>
              </w:rPr>
              <w:t>在中标人签订合同后20个工作日内，中标人凭合同原件或者合同复印件（加盖中标人公章）退还投标保证金。投标保证金退还系原额无息退返。</w:t>
            </w:r>
          </w:p>
        </w:tc>
      </w:tr>
      <w:tr w14:paraId="5415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590423E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w:t>
            </w:r>
          </w:p>
        </w:tc>
        <w:tc>
          <w:tcPr>
            <w:tcW w:w="9071" w:type="dxa"/>
            <w:vAlign w:val="center"/>
          </w:tcPr>
          <w:p w14:paraId="22A1116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中标人在签订合同前，应向招标人缴纳</w:t>
            </w:r>
            <w:r>
              <w:rPr>
                <w:rFonts w:hint="eastAsia" w:ascii="仿宋" w:hAnsi="仿宋" w:eastAsia="仿宋"/>
                <w:b/>
                <w:bCs/>
                <w:color w:val="000000" w:themeColor="text1"/>
                <w:sz w:val="28"/>
                <w:szCs w:val="28"/>
                <w:highlight w:val="none"/>
                <w:u w:val="none"/>
                <w:lang w:eastAsia="zh-CN"/>
                <w14:textFill>
                  <w14:solidFill>
                    <w14:schemeClr w14:val="tx1"/>
                  </w14:solidFill>
                </w14:textFill>
              </w:rPr>
              <w:t>伍</w:t>
            </w:r>
            <w:r>
              <w:rPr>
                <w:rFonts w:hint="eastAsia" w:ascii="仿宋" w:hAnsi="仿宋" w:eastAsia="仿宋"/>
                <w:b/>
                <w:bCs/>
                <w:color w:val="000000" w:themeColor="text1"/>
                <w:sz w:val="28"/>
                <w:szCs w:val="28"/>
                <w:highlight w:val="none"/>
                <w:u w:val="none"/>
                <w14:textFill>
                  <w14:solidFill>
                    <w14:schemeClr w14:val="tx1"/>
                  </w14:solidFill>
                </w14:textFill>
              </w:rPr>
              <w:t>万元</w:t>
            </w:r>
            <w:r>
              <w:rPr>
                <w:rFonts w:hint="eastAsia" w:ascii="仿宋" w:hAnsi="仿宋" w:eastAsia="仿宋"/>
                <w:color w:val="000000" w:themeColor="text1"/>
                <w:sz w:val="28"/>
                <w:szCs w:val="28"/>
                <w:highlight w:val="none"/>
                <w14:textFill>
                  <w14:solidFill>
                    <w14:schemeClr w14:val="tx1"/>
                  </w14:solidFill>
                </w14:textFill>
              </w:rPr>
              <w:t>履约保证金。</w:t>
            </w:r>
          </w:p>
          <w:p w14:paraId="08E7481B">
            <w:pPr>
              <w:spacing w:line="400" w:lineRule="exact"/>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履约保证金数额：</w:t>
            </w:r>
            <w:r>
              <w:rPr>
                <w:rFonts w:hint="eastAsia" w:ascii="仿宋" w:hAnsi="仿宋" w:eastAsia="仿宋"/>
                <w:color w:val="000000" w:themeColor="text1"/>
                <w:sz w:val="28"/>
                <w:szCs w:val="28"/>
                <w:highlight w:val="none"/>
                <w:lang w:eastAsia="zh-CN"/>
                <w14:textFill>
                  <w14:solidFill>
                    <w14:schemeClr w14:val="tx1"/>
                  </w14:solidFill>
                </w14:textFill>
              </w:rPr>
              <w:t>伍</w:t>
            </w:r>
            <w:r>
              <w:rPr>
                <w:rFonts w:ascii="仿宋" w:hAnsi="仿宋" w:eastAsia="仿宋"/>
                <w:color w:val="000000" w:themeColor="text1"/>
                <w:sz w:val="28"/>
                <w:szCs w:val="28"/>
                <w:highlight w:val="none"/>
                <w14:textFill>
                  <w14:solidFill>
                    <w14:schemeClr w14:val="tx1"/>
                  </w14:solidFill>
                </w14:textFill>
              </w:rPr>
              <w:t>万元</w:t>
            </w:r>
            <w:r>
              <w:rPr>
                <w:rFonts w:hint="eastAsia" w:ascii="仿宋" w:hAnsi="仿宋" w:eastAsia="仿宋"/>
                <w:color w:val="000000" w:themeColor="text1"/>
                <w:sz w:val="28"/>
                <w:szCs w:val="28"/>
                <w:highlight w:val="none"/>
                <w14:textFill>
                  <w14:solidFill>
                    <w14:schemeClr w14:val="tx1"/>
                  </w14:solidFill>
                </w14:textFill>
              </w:rPr>
              <w:t>（指人民币，下同）。</w:t>
            </w:r>
          </w:p>
          <w:p w14:paraId="5E2891F0">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履约保证金形式：转账。</w:t>
            </w:r>
          </w:p>
          <w:p w14:paraId="16C6834E">
            <w:pPr>
              <w:spacing w:line="400" w:lineRule="exact"/>
              <w:rPr>
                <w:rFonts w:ascii="仿宋" w:hAnsi="仿宋" w:eastAsia="仿宋"/>
                <w:color w:val="auto"/>
                <w:sz w:val="28"/>
                <w:szCs w:val="28"/>
              </w:rPr>
            </w:pPr>
            <w:r>
              <w:rPr>
                <w:rFonts w:hint="eastAsia" w:ascii="仿宋" w:hAnsi="仿宋" w:eastAsia="仿宋"/>
                <w:color w:val="000000" w:themeColor="text1"/>
                <w:sz w:val="28"/>
                <w:szCs w:val="28"/>
                <w:highlight w:val="none"/>
                <w14:textFill>
                  <w14:solidFill>
                    <w14:schemeClr w14:val="tx1"/>
                  </w14:solidFill>
                </w14:textFill>
              </w:rPr>
              <w:t>3</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auto"/>
                <w:sz w:val="28"/>
                <w:szCs w:val="28"/>
              </w:rPr>
              <w:t>中标人在收到中标通知书</w:t>
            </w:r>
            <w:r>
              <w:rPr>
                <w:rFonts w:hint="eastAsia" w:ascii="仿宋" w:hAnsi="仿宋" w:eastAsia="仿宋"/>
                <w:color w:val="auto"/>
                <w:sz w:val="28"/>
                <w:szCs w:val="28"/>
                <w:lang w:val="en-US" w:eastAsia="zh-CN"/>
              </w:rPr>
              <w:t>并缴交履约保证金后</w:t>
            </w:r>
            <w:r>
              <w:rPr>
                <w:rFonts w:hint="eastAsia" w:ascii="仿宋" w:hAnsi="仿宋" w:eastAsia="仿宋"/>
                <w:color w:val="auto"/>
                <w:sz w:val="28"/>
                <w:szCs w:val="28"/>
              </w:rPr>
              <w:t>签订采购合同</w:t>
            </w:r>
            <w:r>
              <w:rPr>
                <w:rFonts w:hint="eastAsia" w:ascii="仿宋" w:hAnsi="仿宋" w:eastAsia="仿宋"/>
                <w:color w:val="auto"/>
                <w:sz w:val="28"/>
                <w:szCs w:val="28"/>
                <w:lang w:eastAsia="zh-CN"/>
              </w:rPr>
              <w:t>。</w:t>
            </w:r>
            <w:r>
              <w:rPr>
                <w:rFonts w:hint="eastAsia" w:ascii="仿宋" w:hAnsi="仿宋" w:eastAsia="仿宋"/>
                <w:color w:val="auto"/>
                <w:sz w:val="28"/>
                <w:szCs w:val="28"/>
              </w:rPr>
              <w:t>双方合同终止、交接清楚和债权债务等关系理顺后30日历天内无息返还履约保证金。</w:t>
            </w:r>
          </w:p>
          <w:p w14:paraId="750F8A22">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中标人如在服务期限内不能完成招投标文件和采购合同约定，招标人有权解除合同，履约保证金不予退还。 </w:t>
            </w:r>
          </w:p>
        </w:tc>
      </w:tr>
      <w:tr w14:paraId="6AD6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174BB3D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w:t>
            </w:r>
          </w:p>
        </w:tc>
        <w:tc>
          <w:tcPr>
            <w:tcW w:w="9071" w:type="dxa"/>
            <w:vAlign w:val="center"/>
          </w:tcPr>
          <w:p w14:paraId="3019F2CE">
            <w:pPr>
              <w:spacing w:line="400" w:lineRule="exact"/>
              <w:rPr>
                <w:rFonts w:ascii="仿宋" w:hAnsi="仿宋" w:eastAsia="仿宋"/>
                <w:color w:val="000000" w:themeColor="text1"/>
                <w:sz w:val="28"/>
                <w:szCs w:val="28"/>
                <w:highlight w:val="none"/>
                <w14:textFill>
                  <w14:solidFill>
                    <w14:schemeClr w14:val="tx1"/>
                  </w14:solidFill>
                </w14:textFill>
              </w:rPr>
            </w:pPr>
            <w:bookmarkStart w:id="43" w:name="OLE_LINK37"/>
            <w:r>
              <w:rPr>
                <w:rFonts w:hint="eastAsia" w:ascii="仿宋" w:hAnsi="仿宋" w:eastAsia="仿宋"/>
                <w:color w:val="000000" w:themeColor="text1"/>
                <w:sz w:val="28"/>
                <w:szCs w:val="28"/>
                <w:highlight w:val="none"/>
                <w14:textFill>
                  <w14:solidFill>
                    <w14:schemeClr w14:val="tx1"/>
                  </w14:solidFill>
                </w14:textFill>
              </w:rPr>
              <w:t>★招标预算价（即最高控制价）为：最高控制总价946132元（含税），最高控制单价</w:t>
            </w:r>
            <w:r>
              <w:rPr>
                <w:rFonts w:hint="eastAsia" w:ascii="仿宋" w:hAnsi="仿宋" w:eastAsia="仿宋"/>
                <w:color w:val="000000" w:themeColor="text1"/>
                <w:sz w:val="28"/>
                <w:szCs w:val="28"/>
                <w:highlight w:val="none"/>
                <w:lang w:val="en-US" w:eastAsia="zh-CN"/>
                <w14:textFill>
                  <w14:solidFill>
                    <w14:schemeClr w14:val="tx1"/>
                  </w14:solidFill>
                </w14:textFill>
              </w:rPr>
              <w:t>11.0</w:t>
            </w:r>
            <w:r>
              <w:rPr>
                <w:rFonts w:hint="eastAsia" w:ascii="仿宋" w:hAnsi="仿宋" w:eastAsia="仿宋"/>
                <w:color w:val="000000" w:themeColor="text1"/>
                <w:sz w:val="28"/>
                <w:szCs w:val="28"/>
                <w:highlight w:val="none"/>
                <w14:textFill>
                  <w14:solidFill>
                    <w14:schemeClr w14:val="tx1"/>
                  </w14:solidFill>
                </w14:textFill>
              </w:rPr>
              <w:t>元/㎡。投标人投标报价超过预算价的投标为无效投标。</w:t>
            </w:r>
            <w:bookmarkEnd w:id="43"/>
          </w:p>
        </w:tc>
      </w:tr>
      <w:tr w14:paraId="3135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7FDBC21D">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w:t>
            </w:r>
          </w:p>
        </w:tc>
        <w:tc>
          <w:tcPr>
            <w:tcW w:w="9071" w:type="dxa"/>
            <w:vAlign w:val="center"/>
          </w:tcPr>
          <w:p w14:paraId="0A0B7621">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5944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70B2E41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w:t>
            </w:r>
          </w:p>
        </w:tc>
        <w:tc>
          <w:tcPr>
            <w:tcW w:w="9071" w:type="dxa"/>
            <w:vAlign w:val="center"/>
          </w:tcPr>
          <w:p w14:paraId="24313993">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投标提醒：</w:t>
            </w:r>
          </w:p>
          <w:p w14:paraId="3D69636C">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1、投标保证金手续办理完毕后，请再次核对账号、收款单位是否正确，并确保在投标截止时间前到账。</w:t>
            </w:r>
          </w:p>
          <w:p w14:paraId="6B025566">
            <w:pPr>
              <w:spacing w:line="4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2、为方便保证金的收取工作，</w:t>
            </w:r>
            <w:r>
              <w:rPr>
                <w:rFonts w:hint="eastAsia" w:ascii="仿宋" w:hAnsi="仿宋" w:eastAsia="仿宋" w:cs="Arial"/>
                <w:b/>
                <w:color w:val="000000" w:themeColor="text1"/>
                <w:kern w:val="0"/>
                <w:sz w:val="28"/>
                <w:szCs w:val="28"/>
                <w:highlight w:val="none"/>
                <w:u w:val="single"/>
                <w14:textFill>
                  <w14:solidFill>
                    <w14:schemeClr w14:val="tx1"/>
                  </w14:solidFill>
                </w14:textFill>
              </w:rPr>
              <w:t>除投标文件中的缴交凭证外，</w:t>
            </w:r>
            <w:r>
              <w:rPr>
                <w:rFonts w:hint="eastAsia" w:ascii="仿宋" w:hAnsi="仿宋" w:eastAsia="仿宋"/>
                <w:b/>
                <w:color w:val="000000" w:themeColor="text1"/>
                <w:sz w:val="28"/>
                <w:szCs w:val="28"/>
                <w:highlight w:val="none"/>
                <w:u w:val="single"/>
                <w14:textFill>
                  <w14:solidFill>
                    <w14:schemeClr w14:val="tx1"/>
                  </w14:solidFill>
                </w14:textFill>
              </w:rPr>
              <w:t>投标人在递交投标文件时应单独提供保证金缴交证明复印件一份给招标人投标文件接收人员。</w:t>
            </w:r>
          </w:p>
          <w:p w14:paraId="4A219756">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3、为确保在投标截止时间前递交投标文件，请务必考虑交通拥挤及路上不可预见的其他因素。</w:t>
            </w:r>
          </w:p>
          <w:p w14:paraId="42D56DC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4、本文件第四章的投标文件格式中要求投标人盖章、投标代表签字的均应按要求盖章、签字。</w:t>
            </w:r>
          </w:p>
        </w:tc>
      </w:tr>
      <w:tr w14:paraId="44EEA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04A24FCD">
            <w:pPr>
              <w:spacing w:line="400" w:lineRule="exact"/>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10</w:t>
            </w:r>
          </w:p>
        </w:tc>
        <w:tc>
          <w:tcPr>
            <w:tcW w:w="9071" w:type="dxa"/>
            <w:vAlign w:val="center"/>
          </w:tcPr>
          <w:p w14:paraId="6430638B">
            <w:pPr>
              <w:spacing w:line="400" w:lineRule="exact"/>
              <w:rPr>
                <w:rFonts w:ascii="仿宋" w:hAnsi="仿宋" w:eastAsia="仿宋"/>
                <w:b/>
                <w:bCs/>
                <w:color w:val="000000" w:themeColor="text1"/>
                <w:sz w:val="28"/>
                <w:szCs w:val="28"/>
                <w:highlight w:val="none"/>
                <w14:textFill>
                  <w14:solidFill>
                    <w14:schemeClr w14:val="tx1"/>
                  </w14:solidFill>
                </w14:textFill>
              </w:rPr>
            </w:pPr>
            <w:bookmarkStart w:id="44" w:name="OLE_LINK1"/>
            <w:bookmarkStart w:id="45" w:name="OLE_LINK2"/>
            <w:r>
              <w:rPr>
                <w:rFonts w:hint="eastAsia" w:ascii="仿宋" w:hAnsi="仿宋" w:eastAsia="仿宋"/>
                <w:b/>
                <w:bCs/>
                <w:color w:val="000000" w:themeColor="text1"/>
                <w:sz w:val="28"/>
                <w:szCs w:val="28"/>
                <w:highlight w:val="none"/>
                <w14:textFill>
                  <w14:solidFill>
                    <w14:schemeClr w14:val="tx1"/>
                  </w14:solidFill>
                </w14:textFill>
              </w:rPr>
              <w:t>投标资格要求与投标资格证明文件</w:t>
            </w:r>
          </w:p>
          <w:p w14:paraId="7468B25A">
            <w:pPr>
              <w:widowControl/>
              <w:spacing w:line="400" w:lineRule="exact"/>
              <w:rPr>
                <w:rFonts w:ascii="仿宋" w:hAnsi="仿宋" w:eastAsia="仿宋"/>
                <w:b/>
                <w:bCs/>
                <w:color w:val="000000" w:themeColor="text1"/>
                <w:sz w:val="28"/>
                <w:szCs w:val="28"/>
                <w:highlight w:val="none"/>
                <w14:textFill>
                  <w14:solidFill>
                    <w14:schemeClr w14:val="tx1"/>
                  </w14:solidFill>
                </w14:textFill>
              </w:rPr>
            </w:pPr>
            <w:bookmarkStart w:id="46" w:name="OLE_LINK27"/>
            <w:bookmarkStart w:id="47" w:name="OLE_LINK26"/>
            <w:r>
              <w:rPr>
                <w:rFonts w:ascii="仿宋" w:hAnsi="仿宋" w:eastAsia="仿宋"/>
                <w:b/>
                <w:bCs/>
                <w:color w:val="000000" w:themeColor="text1"/>
                <w:sz w:val="28"/>
                <w:szCs w:val="28"/>
                <w:highlight w:val="none"/>
                <w14:textFill>
                  <w14:solidFill>
                    <w14:schemeClr w14:val="tx1"/>
                  </w14:solidFill>
                </w14:textFill>
              </w:rPr>
              <w:t>1、★投标人应具备独立的法人资格，提供法人营业执照复印件(加盖</w:t>
            </w:r>
            <w:r>
              <w:rPr>
                <w:rFonts w:hint="eastAsia" w:ascii="仿宋" w:hAnsi="仿宋" w:eastAsia="仿宋"/>
                <w:b/>
                <w:bCs/>
                <w:color w:val="000000" w:themeColor="text1"/>
                <w:sz w:val="28"/>
                <w:szCs w:val="28"/>
                <w:highlight w:val="none"/>
                <w14:textFill>
                  <w14:solidFill>
                    <w14:schemeClr w14:val="tx1"/>
                  </w14:solidFill>
                </w14:textFill>
              </w:rPr>
              <w:t>投标人</w:t>
            </w:r>
            <w:r>
              <w:rPr>
                <w:rFonts w:ascii="仿宋" w:hAnsi="仿宋" w:eastAsia="仿宋"/>
                <w:b/>
                <w:bCs/>
                <w:color w:val="000000" w:themeColor="text1"/>
                <w:sz w:val="28"/>
                <w:szCs w:val="28"/>
                <w:highlight w:val="none"/>
                <w14:textFill>
                  <w14:solidFill>
                    <w14:schemeClr w14:val="tx1"/>
                  </w14:solidFill>
                </w14:textFill>
              </w:rPr>
              <w:t>公章)。</w:t>
            </w:r>
          </w:p>
          <w:p w14:paraId="74AC9699">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w:t>
            </w:r>
            <w:r>
              <w:rPr>
                <w:rFonts w:ascii="仿宋" w:hAnsi="仿宋" w:eastAsia="仿宋"/>
                <w:b/>
                <w:bCs/>
                <w:color w:val="000000" w:themeColor="text1"/>
                <w:sz w:val="28"/>
                <w:szCs w:val="28"/>
                <w:highlight w:val="none"/>
                <w14:textFill>
                  <w14:solidFill>
                    <w14:schemeClr w14:val="tx1"/>
                  </w14:solidFill>
                </w14:textFill>
              </w:rPr>
              <w:t>投标人</w:t>
            </w:r>
            <w:r>
              <w:rPr>
                <w:rFonts w:hint="eastAsia" w:ascii="仿宋" w:hAnsi="仿宋" w:eastAsia="仿宋"/>
                <w:b/>
                <w:bCs/>
                <w:color w:val="000000" w:themeColor="text1"/>
                <w:sz w:val="28"/>
                <w:szCs w:val="28"/>
                <w:highlight w:val="none"/>
                <w14:textFill>
                  <w14:solidFill>
                    <w14:schemeClr w14:val="tx1"/>
                  </w14:solidFill>
                </w14:textFill>
              </w:rPr>
              <w:t>授</w:t>
            </w:r>
            <w:r>
              <w:rPr>
                <w:rFonts w:ascii="仿宋" w:hAnsi="仿宋" w:eastAsia="仿宋"/>
                <w:b/>
                <w:bCs/>
                <w:color w:val="000000" w:themeColor="text1"/>
                <w:sz w:val="28"/>
                <w:szCs w:val="28"/>
                <w:highlight w:val="none"/>
                <w14:textFill>
                  <w14:solidFill>
                    <w14:schemeClr w14:val="tx1"/>
                  </w14:solidFill>
                </w14:textFill>
              </w:rPr>
              <w:t>权代表若不是企业法定代表人，应提供法人授权书原件，并提供被授权代表身份证复印件。</w:t>
            </w:r>
          </w:p>
          <w:p w14:paraId="45E2A306">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w:t>
            </w:r>
            <w:bookmarkStart w:id="48" w:name="OLE_LINK23"/>
            <w:r>
              <w:rPr>
                <w:rFonts w:hint="eastAsia" w:ascii="仿宋" w:hAnsi="仿宋" w:eastAsia="仿宋"/>
                <w:b/>
                <w:bCs/>
                <w:color w:val="000000" w:themeColor="text1"/>
                <w:sz w:val="28"/>
                <w:szCs w:val="28"/>
                <w:highlight w:val="none"/>
                <w14:textFill>
                  <w14:solidFill>
                    <w14:schemeClr w14:val="tx1"/>
                  </w14:solidFill>
                </w14:textFill>
              </w:rPr>
              <w:t>★</w:t>
            </w:r>
            <w:bookmarkEnd w:id="48"/>
            <w:bookmarkStart w:id="49" w:name="OLE_LINK21"/>
            <w:bookmarkStart w:id="50" w:name="OLE_LINK20"/>
            <w:r>
              <w:rPr>
                <w:rFonts w:ascii="仿宋" w:hAnsi="仿宋" w:eastAsia="仿宋"/>
                <w:b/>
                <w:bCs/>
                <w:color w:val="000000" w:themeColor="text1"/>
                <w:sz w:val="28"/>
                <w:szCs w:val="28"/>
                <w:highlight w:val="none"/>
                <w14:textFill>
                  <w14:solidFill>
                    <w14:schemeClr w14:val="tx1"/>
                  </w14:solidFill>
                </w14:textFill>
              </w:rPr>
              <w:t>投标人必须提供自2023年1月1日</w:t>
            </w:r>
            <w:r>
              <w:rPr>
                <w:rFonts w:hint="eastAsia" w:ascii="仿宋" w:hAnsi="仿宋" w:eastAsia="仿宋"/>
                <w:b/>
                <w:bCs/>
                <w:color w:val="000000" w:themeColor="text1"/>
                <w:sz w:val="28"/>
                <w:szCs w:val="28"/>
                <w:highlight w:val="none"/>
                <w14:textFill>
                  <w14:solidFill>
                    <w14:schemeClr w14:val="tx1"/>
                  </w14:solidFill>
                </w14:textFill>
              </w:rPr>
              <w:t>起至今</w:t>
            </w:r>
            <w:r>
              <w:rPr>
                <w:rFonts w:ascii="仿宋" w:hAnsi="仿宋" w:eastAsia="仿宋"/>
                <w:b/>
                <w:bCs/>
                <w:color w:val="000000" w:themeColor="text1"/>
                <w:sz w:val="28"/>
                <w:szCs w:val="28"/>
                <w:highlight w:val="none"/>
                <w14:textFill>
                  <w14:solidFill>
                    <w14:schemeClr w14:val="tx1"/>
                  </w14:solidFill>
                </w14:textFill>
              </w:rPr>
              <w:t>1</w:t>
            </w:r>
            <w:r>
              <w:rPr>
                <w:rFonts w:hint="eastAsia" w:ascii="仿宋" w:hAnsi="仿宋" w:eastAsia="仿宋"/>
                <w:b/>
                <w:bCs/>
                <w:color w:val="000000" w:themeColor="text1"/>
                <w:sz w:val="28"/>
                <w:szCs w:val="28"/>
                <w:highlight w:val="none"/>
                <w14:textFill>
                  <w14:solidFill>
                    <w14:schemeClr w14:val="tx1"/>
                  </w14:solidFill>
                </w14:textFill>
              </w:rPr>
              <w:t>个建筑垃圾清运</w:t>
            </w:r>
            <w:r>
              <w:rPr>
                <w:rFonts w:ascii="仿宋" w:hAnsi="仿宋" w:eastAsia="仿宋"/>
                <w:b/>
                <w:bCs/>
                <w:color w:val="000000" w:themeColor="text1"/>
                <w:sz w:val="28"/>
                <w:szCs w:val="28"/>
                <w:highlight w:val="none"/>
                <w14:textFill>
                  <w14:solidFill>
                    <w14:schemeClr w14:val="tx1"/>
                  </w14:solidFill>
                </w14:textFill>
              </w:rPr>
              <w:t>类项目的经营业绩经验的有效证明文件（需提供合同的复印件</w:t>
            </w:r>
            <w:r>
              <w:rPr>
                <w:rFonts w:hint="eastAsia" w:ascii="仿宋" w:hAnsi="仿宋" w:eastAsia="仿宋"/>
                <w:b/>
                <w:bCs/>
                <w:color w:val="000000" w:themeColor="text1"/>
                <w:sz w:val="28"/>
                <w:szCs w:val="28"/>
                <w:highlight w:val="none"/>
                <w14:textFill>
                  <w14:solidFill>
                    <w14:schemeClr w14:val="tx1"/>
                  </w14:solidFill>
                </w14:textFill>
              </w:rPr>
              <w:t>，</w:t>
            </w:r>
            <w:r>
              <w:rPr>
                <w:rFonts w:ascii="仿宋" w:hAnsi="仿宋" w:eastAsia="仿宋"/>
                <w:b/>
                <w:bCs/>
                <w:color w:val="000000" w:themeColor="text1"/>
                <w:sz w:val="28"/>
                <w:szCs w:val="28"/>
                <w:highlight w:val="none"/>
                <w14:textFill>
                  <w14:solidFill>
                    <w14:schemeClr w14:val="tx1"/>
                  </w14:solidFill>
                </w14:textFill>
              </w:rPr>
              <w:t>原件备查）</w:t>
            </w:r>
            <w:r>
              <w:rPr>
                <w:rFonts w:hint="eastAsia" w:ascii="仿宋" w:hAnsi="仿宋" w:eastAsia="仿宋"/>
                <w:b/>
                <w:bCs/>
                <w:color w:val="000000" w:themeColor="text1"/>
                <w:sz w:val="28"/>
                <w:szCs w:val="28"/>
                <w:highlight w:val="none"/>
                <w14:textFill>
                  <w14:solidFill>
                    <w14:schemeClr w14:val="tx1"/>
                  </w14:solidFill>
                </w14:textFill>
              </w:rPr>
              <w:t>。</w:t>
            </w:r>
          </w:p>
          <w:bookmarkEnd w:id="46"/>
          <w:bookmarkEnd w:id="47"/>
          <w:p w14:paraId="6B9DF488">
            <w:pPr>
              <w:spacing w:line="400" w:lineRule="exact"/>
              <w:rPr>
                <w:rFonts w:ascii="仿宋" w:hAnsi="仿宋" w:eastAsia="仿宋"/>
                <w:b/>
                <w:bCs/>
                <w:iCs/>
                <w:color w:val="000000" w:themeColor="text1"/>
                <w:sz w:val="28"/>
                <w:szCs w:val="28"/>
                <w:highlight w:val="none"/>
                <w14:textFill>
                  <w14:solidFill>
                    <w14:schemeClr w14:val="tx1"/>
                  </w14:solidFill>
                </w14:textFill>
              </w:rPr>
            </w:pPr>
            <w:bookmarkStart w:id="51" w:name="OLE_LINK25"/>
            <w:bookmarkStart w:id="52" w:name="OLE_LINK24"/>
            <w:r>
              <w:rPr>
                <w:rFonts w:hint="eastAsia" w:ascii="仿宋" w:hAnsi="仿宋" w:eastAsia="仿宋"/>
                <w:b/>
                <w:bCs/>
                <w:color w:val="000000" w:themeColor="text1"/>
                <w:sz w:val="28"/>
                <w:szCs w:val="28"/>
                <w:highlight w:val="none"/>
                <w14:textFill>
                  <w14:solidFill>
                    <w14:schemeClr w14:val="tx1"/>
                  </w14:solidFill>
                </w14:textFill>
              </w:rPr>
              <w:t>4、★</w:t>
            </w:r>
            <w:r>
              <w:rPr>
                <w:rFonts w:hint="eastAsia" w:ascii="仿宋" w:hAnsi="仿宋" w:eastAsia="仿宋"/>
                <w:b/>
                <w:color w:val="000000" w:themeColor="text1"/>
                <w:sz w:val="28"/>
                <w:szCs w:val="28"/>
                <w:highlight w:val="none"/>
                <w14:textFill>
                  <w14:solidFill>
                    <w14:schemeClr w14:val="tx1"/>
                  </w14:solidFill>
                </w14:textFill>
              </w:rPr>
              <w:t>参加采购活动前</w:t>
            </w:r>
            <w:r>
              <w:rPr>
                <w:rFonts w:ascii="仿宋" w:hAnsi="仿宋" w:eastAsia="仿宋"/>
                <w:b/>
                <w:color w:val="000000" w:themeColor="text1"/>
                <w:sz w:val="28"/>
                <w:szCs w:val="28"/>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4"/>
          <w:bookmarkEnd w:id="45"/>
          <w:bookmarkEnd w:id="51"/>
          <w:bookmarkEnd w:id="52"/>
          <w:p w14:paraId="148DA81A">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以上资格证明文件均应加盖投标人公章，原件备查。</w:t>
            </w:r>
            <w:bookmarkEnd w:id="49"/>
            <w:bookmarkEnd w:id="50"/>
          </w:p>
        </w:tc>
      </w:tr>
    </w:tbl>
    <w:p w14:paraId="06C0F8FA">
      <w:pPr>
        <w:rPr>
          <w:color w:val="000000" w:themeColor="text1"/>
          <w:highlight w:val="none"/>
          <w14:textFill>
            <w14:solidFill>
              <w14:schemeClr w14:val="tx1"/>
            </w14:solidFill>
          </w14:textFill>
        </w:rPr>
      </w:pPr>
    </w:p>
    <w:p w14:paraId="7482C529">
      <w:pPr>
        <w:rPr>
          <w:color w:val="000000" w:themeColor="text1"/>
          <w:highlight w:val="none"/>
          <w14:textFill>
            <w14:solidFill>
              <w14:schemeClr w14:val="tx1"/>
            </w14:solidFill>
          </w14:textFill>
        </w:rPr>
      </w:pPr>
    </w:p>
    <w:p w14:paraId="6E70A74B">
      <w:pPr>
        <w:rPr>
          <w:color w:val="000000" w:themeColor="text1"/>
          <w:highlight w:val="none"/>
          <w14:textFill>
            <w14:solidFill>
              <w14:schemeClr w14:val="tx1"/>
            </w14:solidFill>
          </w14:textFill>
        </w:rPr>
      </w:pPr>
    </w:p>
    <w:p w14:paraId="65DAD10C">
      <w:pPr>
        <w:rPr>
          <w:color w:val="000000" w:themeColor="text1"/>
          <w:highlight w:val="none"/>
          <w14:textFill>
            <w14:solidFill>
              <w14:schemeClr w14:val="tx1"/>
            </w14:solidFill>
          </w14:textFill>
        </w:rPr>
      </w:pPr>
    </w:p>
    <w:p w14:paraId="2534F9E3">
      <w:pPr>
        <w:rPr>
          <w:color w:val="000000" w:themeColor="text1"/>
          <w:highlight w:val="none"/>
          <w14:textFill>
            <w14:solidFill>
              <w14:schemeClr w14:val="tx1"/>
            </w14:solidFill>
          </w14:textFill>
        </w:rPr>
      </w:pPr>
    </w:p>
    <w:p w14:paraId="23A6176B">
      <w:pPr>
        <w:rPr>
          <w:color w:val="000000" w:themeColor="text1"/>
          <w:highlight w:val="none"/>
          <w14:textFill>
            <w14:solidFill>
              <w14:schemeClr w14:val="tx1"/>
            </w14:solidFill>
          </w14:textFill>
        </w:rPr>
      </w:pPr>
    </w:p>
    <w:p w14:paraId="1522758C">
      <w:pPr>
        <w:widowControl/>
        <w:adjustRightInd w:val="0"/>
        <w:snapToGrid w:val="0"/>
        <w:spacing w:beforeLines="25" w:afterLines="25" w:line="500" w:lineRule="exact"/>
        <w:ind w:firstLine="161" w:firstLineChars="50"/>
        <w:jc w:val="center"/>
        <w:rPr>
          <w:rFonts w:ascii="仿宋" w:hAnsi="仿宋" w:eastAsia="仿宋"/>
          <w:b/>
          <w:color w:val="000000" w:themeColor="text1"/>
          <w:sz w:val="32"/>
          <w:szCs w:val="32"/>
          <w:highlight w:val="none"/>
          <w14:textFill>
            <w14:solidFill>
              <w14:schemeClr w14:val="tx1"/>
            </w14:solidFill>
          </w14:textFill>
        </w:rPr>
      </w:pPr>
      <w:bookmarkStart w:id="53" w:name="_Toc20818"/>
      <w:bookmarkStart w:id="54" w:name="_Toc209383608"/>
      <w:bookmarkStart w:id="55" w:name="_Toc1611"/>
      <w:bookmarkStart w:id="56" w:name="_Toc18073"/>
      <w:r>
        <w:rPr>
          <w:rFonts w:hint="eastAsia" w:ascii="仿宋" w:hAnsi="仿宋" w:eastAsia="仿宋"/>
          <w:b/>
          <w:color w:val="000000" w:themeColor="text1"/>
          <w:sz w:val="32"/>
          <w:szCs w:val="32"/>
          <w:highlight w:val="none"/>
          <w14:textFill>
            <w14:solidFill>
              <w14:schemeClr w14:val="tx1"/>
            </w14:solidFill>
          </w14:textFill>
        </w:rPr>
        <w:t>带“★”号条款汇总表</w:t>
      </w:r>
    </w:p>
    <w:tbl>
      <w:tblPr>
        <w:tblStyle w:val="1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44CCA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tcPr>
          <w:p w14:paraId="03E32C0D">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4"/>
                <w:highlight w:val="none"/>
                <w14:textFill>
                  <w14:solidFill>
                    <w14:schemeClr w14:val="tx1"/>
                  </w14:solidFill>
                </w14:textFill>
              </w:rPr>
              <w:t xml:space="preserve"> </w:t>
            </w:r>
            <w:r>
              <w:rPr>
                <w:rFonts w:ascii="仿宋" w:hAnsi="仿宋" w:eastAsia="仿宋"/>
                <w:b/>
                <w:bCs/>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招标预算价（即最高控制价）为：最高控制总价946132</w:t>
            </w:r>
            <w:r>
              <w:rPr>
                <w:rFonts w:ascii="仿宋" w:hAnsi="仿宋" w:eastAsia="仿宋"/>
                <w:b/>
                <w:color w:val="000000" w:themeColor="text1"/>
                <w:sz w:val="28"/>
                <w:szCs w:val="28"/>
                <w:highlight w:val="none"/>
                <w14:textFill>
                  <w14:solidFill>
                    <w14:schemeClr w14:val="tx1"/>
                  </w14:solidFill>
                </w14:textFill>
              </w:rPr>
              <w:t>元（含税），最高控制单价</w:t>
            </w:r>
            <w:r>
              <w:rPr>
                <w:rFonts w:hint="eastAsia" w:ascii="仿宋" w:hAnsi="仿宋" w:eastAsia="仿宋"/>
                <w:b/>
                <w:color w:val="000000" w:themeColor="text1"/>
                <w:sz w:val="28"/>
                <w:szCs w:val="28"/>
                <w:highlight w:val="none"/>
                <w:lang w:val="en-US" w:eastAsia="zh-CN"/>
                <w14:textFill>
                  <w14:solidFill>
                    <w14:schemeClr w14:val="tx1"/>
                  </w14:solidFill>
                </w14:textFill>
              </w:rPr>
              <w:t>11.0</w:t>
            </w:r>
            <w:r>
              <w:rPr>
                <w:rFonts w:ascii="仿宋" w:hAnsi="仿宋" w:eastAsia="仿宋"/>
                <w:b/>
                <w:color w:val="000000" w:themeColor="text1"/>
                <w:sz w:val="28"/>
                <w:szCs w:val="28"/>
                <w:highlight w:val="none"/>
                <w14:textFill>
                  <w14:solidFill>
                    <w14:schemeClr w14:val="tx1"/>
                  </w14:solidFill>
                </w14:textFill>
              </w:rPr>
              <w:t>元/㎡。投标人投标报价超过预算价的投标为无效投标。</w:t>
            </w:r>
          </w:p>
          <w:p w14:paraId="59DA251F">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2</w:t>
            </w:r>
            <w:r>
              <w:rPr>
                <w:rFonts w:hint="eastAsia" w:ascii="仿宋" w:hAnsi="仿宋" w:eastAsia="仿宋"/>
                <w:b/>
                <w:bCs/>
                <w:color w:val="000000" w:themeColor="text1"/>
                <w:sz w:val="28"/>
                <w:szCs w:val="28"/>
                <w:highlight w:val="none"/>
                <w14:textFill>
                  <w14:solidFill>
                    <w14:schemeClr w14:val="tx1"/>
                  </w14:solidFill>
                </w14:textFill>
              </w:rPr>
              <w:t>、★投标人应具备独立的法人资格，提供法人营业执照复印件</w:t>
            </w:r>
            <w:r>
              <w:rPr>
                <w:rFonts w:ascii="仿宋" w:hAnsi="仿宋" w:eastAsia="仿宋"/>
                <w:b/>
                <w:bCs/>
                <w:color w:val="000000" w:themeColor="text1"/>
                <w:sz w:val="28"/>
                <w:szCs w:val="28"/>
                <w:highlight w:val="none"/>
                <w14:textFill>
                  <w14:solidFill>
                    <w14:schemeClr w14:val="tx1"/>
                  </w14:solidFill>
                </w14:textFill>
              </w:rPr>
              <w:t>(加盖投标人公章)。</w:t>
            </w:r>
          </w:p>
          <w:p w14:paraId="07A47416">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3</w:t>
            </w:r>
            <w:r>
              <w:rPr>
                <w:rFonts w:hint="eastAsia" w:ascii="仿宋" w:hAnsi="仿宋" w:eastAsia="仿宋"/>
                <w:b/>
                <w:bCs/>
                <w:color w:val="000000" w:themeColor="text1"/>
                <w:sz w:val="28"/>
                <w:szCs w:val="28"/>
                <w:highlight w:val="none"/>
                <w14:textFill>
                  <w14:solidFill>
                    <w14:schemeClr w14:val="tx1"/>
                  </w14:solidFill>
                </w14:textFill>
              </w:rPr>
              <w:t>、★投标人授权代表若不是企业法定代表人，应提供法人授权书原件，并提供被授权代表身份证复印件。</w:t>
            </w:r>
          </w:p>
          <w:p w14:paraId="120758AD">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4</w:t>
            </w:r>
            <w:r>
              <w:rPr>
                <w:rFonts w:hint="eastAsia" w:ascii="仿宋" w:hAnsi="仿宋" w:eastAsia="仿宋"/>
                <w:b/>
                <w:bCs/>
                <w:color w:val="000000" w:themeColor="text1"/>
                <w:sz w:val="28"/>
                <w:szCs w:val="28"/>
                <w:highlight w:val="none"/>
                <w14:textFill>
                  <w14:solidFill>
                    <w14:schemeClr w14:val="tx1"/>
                  </w14:solidFill>
                </w14:textFill>
              </w:rPr>
              <w:t>、★投标人必须提供自</w:t>
            </w:r>
            <w:r>
              <w:rPr>
                <w:rFonts w:ascii="仿宋" w:hAnsi="仿宋" w:eastAsia="仿宋"/>
                <w:b/>
                <w:bCs/>
                <w:color w:val="000000" w:themeColor="text1"/>
                <w:sz w:val="28"/>
                <w:szCs w:val="28"/>
                <w:highlight w:val="none"/>
                <w14:textFill>
                  <w14:solidFill>
                    <w14:schemeClr w14:val="tx1"/>
                  </w14:solidFill>
                </w14:textFill>
              </w:rPr>
              <w:t>2023年1月1日起至今1个建筑垃圾清运类项目的经营业绩经验的有效证明文件（需提供合同的复印件，原件备查）。</w:t>
            </w:r>
          </w:p>
          <w:p w14:paraId="21D3311C">
            <w:pPr>
              <w:spacing w:line="400" w:lineRule="exact"/>
              <w:rPr>
                <w:rFonts w:ascii="仿宋" w:hAnsi="仿宋" w:eastAsia="仿宋"/>
                <w:b/>
                <w:bCs/>
                <w:i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5</w:t>
            </w:r>
            <w:r>
              <w:rPr>
                <w:rFonts w:hint="eastAsia" w:ascii="仿宋" w:hAnsi="仿宋" w:eastAsia="仿宋"/>
                <w:b/>
                <w:bCs/>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参加采购活动前</w:t>
            </w:r>
            <w:r>
              <w:rPr>
                <w:rFonts w:ascii="仿宋" w:hAnsi="仿宋" w:eastAsia="仿宋"/>
                <w:b/>
                <w:color w:val="000000" w:themeColor="text1"/>
                <w:sz w:val="28"/>
                <w:szCs w:val="28"/>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tc>
      </w:tr>
    </w:tbl>
    <w:p w14:paraId="57C9C1EF">
      <w:pPr>
        <w:bidi w:val="0"/>
        <w:rPr>
          <w:rFonts w:hint="eastAsia"/>
        </w:rPr>
      </w:pPr>
    </w:p>
    <w:p w14:paraId="4C853DCE">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57" w:name="_Toc11995"/>
      <w:bookmarkStart w:id="58" w:name="_Toc17772"/>
      <w:bookmarkStart w:id="59" w:name="_Toc6268"/>
      <w:bookmarkStart w:id="60" w:name="_Toc17950"/>
      <w:bookmarkStart w:id="61" w:name="_Toc23551"/>
      <w:bookmarkStart w:id="62" w:name="_Toc7344"/>
      <w:bookmarkStart w:id="63" w:name="_Toc31405"/>
      <w:r>
        <w:rPr>
          <w:rFonts w:hint="eastAsia" w:ascii="仿宋" w:hAnsi="仿宋" w:eastAsia="仿宋"/>
          <w:color w:val="000000" w:themeColor="text1"/>
          <w:sz w:val="32"/>
          <w:highlight w:val="none"/>
          <w14:textFill>
            <w14:solidFill>
              <w14:schemeClr w14:val="tx1"/>
            </w14:solidFill>
          </w14:textFill>
        </w:rPr>
        <w:t>第一节  说  明</w:t>
      </w:r>
      <w:bookmarkEnd w:id="53"/>
      <w:bookmarkEnd w:id="54"/>
      <w:bookmarkEnd w:id="55"/>
      <w:bookmarkEnd w:id="56"/>
      <w:bookmarkEnd w:id="57"/>
      <w:bookmarkEnd w:id="58"/>
      <w:bookmarkEnd w:id="59"/>
      <w:bookmarkEnd w:id="60"/>
      <w:bookmarkEnd w:id="61"/>
      <w:bookmarkEnd w:id="62"/>
      <w:bookmarkEnd w:id="63"/>
    </w:p>
    <w:p w14:paraId="413B62CA">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64" w:name="_Toc6282"/>
      <w:bookmarkStart w:id="65" w:name="_Toc19062"/>
      <w:bookmarkStart w:id="66" w:name="_Toc24427"/>
      <w:bookmarkStart w:id="67" w:name="_Toc29813"/>
      <w:bookmarkStart w:id="68" w:name="_Toc32751"/>
      <w:bookmarkStart w:id="69" w:name="_Toc24053"/>
      <w:bookmarkStart w:id="70" w:name="_Toc26471"/>
      <w:bookmarkStart w:id="71" w:name="_Toc192925648"/>
      <w:bookmarkStart w:id="72" w:name="_Toc191892300"/>
      <w:bookmarkStart w:id="73" w:name="_Toc19429"/>
      <w:bookmarkStart w:id="74" w:name="_Toc19548"/>
      <w:bookmarkStart w:id="75" w:name="_Toc3836"/>
      <w:bookmarkStart w:id="76" w:name="_Toc209383609"/>
      <w:r>
        <w:rPr>
          <w:rFonts w:ascii="仿宋" w:hAnsi="仿宋" w:eastAsia="仿宋"/>
          <w:color w:val="000000" w:themeColor="text1"/>
          <w:sz w:val="32"/>
          <w:highlight w:val="none"/>
          <w14:textFill>
            <w14:solidFill>
              <w14:schemeClr w14:val="tx1"/>
            </w14:solidFill>
          </w14:textFill>
        </w:rPr>
        <w:t xml:space="preserve">1. </w:t>
      </w:r>
      <w:r>
        <w:rPr>
          <w:rFonts w:hint="eastAsia" w:ascii="仿宋" w:hAnsi="仿宋" w:eastAsia="仿宋"/>
          <w:color w:val="000000" w:themeColor="text1"/>
          <w:sz w:val="32"/>
          <w:highlight w:val="none"/>
          <w14:textFill>
            <w14:solidFill>
              <w14:schemeClr w14:val="tx1"/>
            </w14:solidFill>
          </w14:textFill>
        </w:rPr>
        <w:t>适用范围</w:t>
      </w:r>
      <w:bookmarkEnd w:id="64"/>
      <w:bookmarkEnd w:id="65"/>
      <w:bookmarkEnd w:id="66"/>
      <w:bookmarkEnd w:id="67"/>
      <w:bookmarkEnd w:id="68"/>
      <w:bookmarkEnd w:id="69"/>
      <w:bookmarkEnd w:id="70"/>
      <w:bookmarkEnd w:id="71"/>
      <w:bookmarkEnd w:id="72"/>
      <w:bookmarkEnd w:id="73"/>
      <w:bookmarkEnd w:id="74"/>
      <w:bookmarkEnd w:id="75"/>
      <w:bookmarkEnd w:id="76"/>
    </w:p>
    <w:p w14:paraId="60D77071">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本招标文件仅适用于</w:t>
      </w:r>
      <w:r>
        <w:rPr>
          <w:rFonts w:hint="eastAsia" w:ascii="仿宋" w:hAnsi="仿宋" w:eastAsia="仿宋"/>
          <w:color w:val="000000" w:themeColor="text1"/>
          <w:sz w:val="32"/>
          <w:szCs w:val="32"/>
          <w:highlight w:val="none"/>
          <w:u w:val="single"/>
          <w:lang w:eastAsia="zh-CN"/>
          <w14:textFill>
            <w14:solidFill>
              <w14:schemeClr w14:val="tx1"/>
            </w14:solidFill>
          </w14:textFill>
        </w:rPr>
        <w:t>泉州国贸天琴樾</w:t>
      </w:r>
      <w:r>
        <w:rPr>
          <w:rFonts w:hint="eastAsia" w:ascii="仿宋" w:hAnsi="仿宋" w:eastAsia="仿宋"/>
          <w:color w:val="000000" w:themeColor="text1"/>
          <w:sz w:val="32"/>
          <w:szCs w:val="32"/>
          <w:highlight w:val="none"/>
          <w:u w:val="single"/>
          <w14:textFill>
            <w14:solidFill>
              <w14:schemeClr w14:val="tx1"/>
            </w14:solidFill>
          </w14:textFill>
        </w:rPr>
        <w:t>建筑垃圾清运服务</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第二次）</w:t>
      </w:r>
      <w:r>
        <w:rPr>
          <w:rFonts w:hint="eastAsia" w:ascii="仿宋" w:hAnsi="仿宋" w:eastAsia="仿宋"/>
          <w:color w:val="000000" w:themeColor="text1"/>
          <w:sz w:val="32"/>
          <w:szCs w:val="32"/>
          <w:highlight w:val="none"/>
          <w:u w:val="single"/>
          <w14:textFill>
            <w14:solidFill>
              <w14:schemeClr w14:val="tx1"/>
            </w14:solidFill>
          </w14:textFill>
        </w:rPr>
        <w:t>。</w:t>
      </w:r>
    </w:p>
    <w:p w14:paraId="5E839D73">
      <w:pPr>
        <w:pStyle w:val="4"/>
        <w:spacing w:line="500" w:lineRule="exact"/>
        <w:ind w:firstLine="643"/>
        <w:rPr>
          <w:rFonts w:hint="eastAsia" w:ascii="仿宋" w:hAnsi="仿宋" w:eastAsia="仿宋"/>
          <w:color w:val="000000" w:themeColor="text1"/>
          <w:sz w:val="32"/>
          <w:highlight w:val="none"/>
          <w:u w:val="none"/>
          <w14:textFill>
            <w14:solidFill>
              <w14:schemeClr w14:val="tx1"/>
            </w14:solidFill>
          </w14:textFill>
        </w:rPr>
      </w:pPr>
      <w:bookmarkStart w:id="77" w:name="_Toc191892301"/>
      <w:bookmarkStart w:id="78" w:name="_Toc1138"/>
      <w:bookmarkStart w:id="79" w:name="_Toc11847"/>
      <w:bookmarkStart w:id="80" w:name="_Toc192925649"/>
      <w:bookmarkStart w:id="81" w:name="_Toc28390"/>
      <w:bookmarkStart w:id="82" w:name="_Toc23558"/>
      <w:bookmarkStart w:id="83" w:name="_Toc8840"/>
      <w:bookmarkStart w:id="84" w:name="_Toc6900"/>
      <w:r>
        <w:rPr>
          <w:rFonts w:ascii="仿宋" w:hAnsi="仿宋" w:eastAsia="仿宋"/>
          <w:color w:val="000000" w:themeColor="text1"/>
          <w:sz w:val="32"/>
          <w:szCs w:val="32"/>
          <w:highlight w:val="none"/>
          <w:u w:val="none"/>
          <w14:textFill>
            <w14:solidFill>
              <w14:schemeClr w14:val="tx1"/>
            </w14:solidFill>
          </w14:textFill>
        </w:rPr>
        <w:t xml:space="preserve">2. </w:t>
      </w:r>
      <w:r>
        <w:rPr>
          <w:rFonts w:hint="default" w:ascii="仿宋" w:hAnsi="仿宋" w:eastAsia="仿宋"/>
          <w:color w:val="000000" w:themeColor="text1"/>
          <w:sz w:val="32"/>
          <w:szCs w:val="32"/>
          <w:highlight w:val="none"/>
          <w:u w:val="none"/>
          <w14:textFill>
            <w14:solidFill>
              <w14:schemeClr w14:val="tx1"/>
            </w14:solidFill>
          </w14:textFill>
        </w:rPr>
        <w:t>定义</w:t>
      </w:r>
      <w:bookmarkEnd w:id="77"/>
      <w:bookmarkEnd w:id="78"/>
      <w:bookmarkEnd w:id="79"/>
      <w:bookmarkEnd w:id="80"/>
      <w:bookmarkEnd w:id="81"/>
      <w:bookmarkEnd w:id="82"/>
      <w:bookmarkEnd w:id="83"/>
      <w:bookmarkEnd w:id="84"/>
    </w:p>
    <w:p w14:paraId="0AAA30B7">
      <w:pPr>
        <w:spacing w:line="500" w:lineRule="exact"/>
        <w:ind w:firstLine="640" w:firstLineChars="200"/>
        <w:rPr>
          <w:rFonts w:hint="eastAsia" w:ascii="仿宋" w:hAnsi="仿宋" w:eastAsia="仿宋"/>
          <w:b w:val="0"/>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 xml:space="preserve"> “招标人”系指</w:t>
      </w:r>
      <w:r>
        <w:rPr>
          <w:rFonts w:hint="eastAsia" w:ascii="仿宋" w:hAnsi="仿宋" w:eastAsia="仿宋"/>
          <w:b w:val="0"/>
          <w:bCs w:val="0"/>
          <w:color w:val="000000" w:themeColor="text1"/>
          <w:sz w:val="32"/>
          <w:szCs w:val="32"/>
          <w:highlight w:val="none"/>
          <w14:textFill>
            <w14:solidFill>
              <w14:schemeClr w14:val="tx1"/>
            </w14:solidFill>
          </w14:textFill>
        </w:rPr>
        <w:t>厦门国贸物业服务有限公司</w:t>
      </w:r>
    </w:p>
    <w:p w14:paraId="1BACC98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2“投标人”系指获取了本招标文件，且已经提交或者准备提交本次投标文件的制造商或供货商。</w:t>
      </w:r>
    </w:p>
    <w:p w14:paraId="14D39DE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85" w:name="_Toc31627"/>
      <w:bookmarkStart w:id="86" w:name="_Toc192925650"/>
      <w:bookmarkStart w:id="87" w:name="_Toc191892302"/>
      <w:bookmarkStart w:id="88" w:name="_Toc16790"/>
      <w:bookmarkStart w:id="89" w:name="_Toc18176"/>
      <w:bookmarkStart w:id="90" w:name="_Toc1361"/>
      <w:bookmarkStart w:id="91" w:name="_Toc27348"/>
      <w:bookmarkStart w:id="92" w:name="_Toc28656"/>
      <w:bookmarkStart w:id="93" w:name="_Toc1958"/>
      <w:bookmarkStart w:id="94" w:name="_Toc209383610"/>
      <w:bookmarkStart w:id="95" w:name="_Toc344"/>
      <w:bookmarkStart w:id="96" w:name="_Toc19455"/>
      <w:bookmarkStart w:id="97" w:name="_Toc28634"/>
      <w:r>
        <w:rPr>
          <w:rFonts w:ascii="仿宋" w:hAnsi="仿宋" w:eastAsia="仿宋"/>
          <w:color w:val="000000" w:themeColor="text1"/>
          <w:sz w:val="32"/>
          <w:highlight w:val="none"/>
          <w14:textFill>
            <w14:solidFill>
              <w14:schemeClr w14:val="tx1"/>
            </w14:solidFill>
          </w14:textFill>
        </w:rPr>
        <w:t xml:space="preserve">3. </w:t>
      </w:r>
      <w:r>
        <w:rPr>
          <w:rFonts w:hint="eastAsia" w:ascii="仿宋" w:hAnsi="仿宋" w:eastAsia="仿宋"/>
          <w:color w:val="000000" w:themeColor="text1"/>
          <w:sz w:val="32"/>
          <w:highlight w:val="none"/>
          <w14:textFill>
            <w14:solidFill>
              <w14:schemeClr w14:val="tx1"/>
            </w14:solidFill>
          </w14:textFill>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p>
    <w:p w14:paraId="48779BD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3.1</w:t>
      </w:r>
      <w:r>
        <w:rPr>
          <w:rFonts w:hint="eastAsia" w:ascii="仿宋" w:hAnsi="仿宋" w:eastAsia="仿宋"/>
          <w:color w:val="000000" w:themeColor="text1"/>
          <w:sz w:val="32"/>
          <w:szCs w:val="32"/>
          <w:highlight w:val="none"/>
          <w14:textFill>
            <w14:solidFill>
              <w14:schemeClr w14:val="tx1"/>
            </w14:solidFill>
          </w14:textFill>
        </w:rPr>
        <w:t>凡有能力提供本招标文件所述货物及服务的，符合本招标文件规定资格要求（具体要求见 “投标资格要求与投标资格证明文件”），符合政府采购法第二十二条的规定的均可能成为合格的投标人。</w:t>
      </w:r>
    </w:p>
    <w:p w14:paraId="1C4B31B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3.2</w:t>
      </w:r>
      <w:r>
        <w:rPr>
          <w:rFonts w:hint="eastAsia" w:ascii="仿宋" w:hAnsi="仿宋" w:eastAsia="仿宋"/>
          <w:color w:val="000000" w:themeColor="text1"/>
          <w:sz w:val="32"/>
          <w:szCs w:val="32"/>
          <w:highlight w:val="none"/>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highlight w:val="none"/>
          <w14:textFill>
            <w14:solidFill>
              <w14:schemeClr w14:val="tx1"/>
            </w14:solidFill>
          </w14:textFill>
        </w:rPr>
        <w:t>。</w:t>
      </w:r>
    </w:p>
    <w:p w14:paraId="1E3BA31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3.3 一个投标人对同一个合同包只能提交一个投标文件。如果投标人之间存在下列互为关联关系的情形之一的，不得同时参加本项目投标：</w:t>
      </w:r>
    </w:p>
    <w:p w14:paraId="7142A41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法定代表人为同一人的两个及两个以上法人；</w:t>
      </w:r>
    </w:p>
    <w:p w14:paraId="7281210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母公司、直接或间接持股50％及以上的被投资公司;</w:t>
      </w:r>
    </w:p>
    <w:p w14:paraId="19CDD4A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均为同一家母公司直接或间接持股50％及以上的被投资公司。</w:t>
      </w:r>
    </w:p>
    <w:p w14:paraId="31B5C0D9">
      <w:pPr>
        <w:spacing w:line="500" w:lineRule="exact"/>
        <w:ind w:firstLine="640" w:firstLineChars="200"/>
        <w:rPr>
          <w:color w:val="000000" w:themeColor="text1"/>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3.4 本项目不接受联合体形式投标。</w:t>
      </w:r>
    </w:p>
    <w:p w14:paraId="6FD9E8A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3.5 投标代理人在同一个合同包中只能接受一个投标人的委托参加投标。</w:t>
      </w:r>
    </w:p>
    <w:p w14:paraId="7C0B3A0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98" w:name="_Toc6803"/>
      <w:bookmarkStart w:id="99" w:name="_Toc2231"/>
      <w:bookmarkStart w:id="100" w:name="_Toc18214"/>
      <w:bookmarkStart w:id="101" w:name="_Toc4430"/>
      <w:bookmarkStart w:id="102" w:name="_Toc192925651"/>
      <w:bookmarkStart w:id="103" w:name="_Toc191892303"/>
      <w:bookmarkStart w:id="104" w:name="_Toc209383611"/>
      <w:bookmarkStart w:id="105" w:name="_Toc527"/>
      <w:bookmarkStart w:id="106" w:name="_Toc31297"/>
      <w:bookmarkStart w:id="107" w:name="_Toc15258"/>
      <w:bookmarkStart w:id="108" w:name="_Toc29173"/>
      <w:bookmarkStart w:id="109" w:name="_Toc6472"/>
      <w:bookmarkStart w:id="110" w:name="_Toc9946"/>
      <w:r>
        <w:rPr>
          <w:rFonts w:hint="eastAsia" w:ascii="仿宋" w:hAnsi="仿宋" w:eastAsia="仿宋"/>
          <w:color w:val="000000" w:themeColor="text1"/>
          <w:sz w:val="32"/>
          <w:highlight w:val="none"/>
          <w14:textFill>
            <w14:solidFill>
              <w14:schemeClr w14:val="tx1"/>
            </w14:solidFill>
          </w14:textFill>
        </w:rPr>
        <w:t>4</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投标费用</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B65A59">
      <w:pPr>
        <w:ind w:firstLine="640" w:firstLineChars="200"/>
        <w:rPr>
          <w:rFonts w:ascii="仿宋" w:hAnsi="仿宋" w:eastAsia="仿宋"/>
          <w:color w:val="000000" w:themeColor="text1"/>
          <w:sz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投标人自行承担其参加投标所涉及的一切费用。</w:t>
      </w:r>
      <w:bookmarkStart w:id="111" w:name="_Toc6654"/>
      <w:bookmarkStart w:id="112" w:name="_Toc20816"/>
      <w:bookmarkStart w:id="113" w:name="_Toc25039"/>
      <w:bookmarkStart w:id="114" w:name="_Toc192925652"/>
      <w:bookmarkStart w:id="115" w:name="_Toc191892304"/>
    </w:p>
    <w:p w14:paraId="6B924D8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116" w:name="_Toc4406"/>
      <w:bookmarkStart w:id="117" w:name="_Toc18392"/>
      <w:bookmarkStart w:id="118" w:name="_Toc15720"/>
      <w:bookmarkStart w:id="119" w:name="_Toc15783"/>
      <w:bookmarkStart w:id="120" w:name="_Toc9333"/>
      <w:bookmarkStart w:id="121" w:name="_Toc23346"/>
      <w:bookmarkStart w:id="122" w:name="_Toc23274"/>
      <w:bookmarkStart w:id="123" w:name="_Toc209383612"/>
      <w:r>
        <w:rPr>
          <w:rFonts w:hint="eastAsia" w:ascii="仿宋" w:hAnsi="仿宋" w:eastAsia="仿宋"/>
          <w:color w:val="000000" w:themeColor="text1"/>
          <w:sz w:val="32"/>
          <w:highlight w:val="none"/>
          <w14:textFill>
            <w14:solidFill>
              <w14:schemeClr w14:val="tx1"/>
            </w14:solidFill>
          </w14:textFill>
        </w:rPr>
        <w:t>第二节  招标文件说明</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B641D44">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24" w:name="_Toc30783"/>
      <w:bookmarkStart w:id="125" w:name="_Toc16258"/>
      <w:bookmarkStart w:id="126" w:name="_Toc29577"/>
      <w:bookmarkStart w:id="127" w:name="_Toc26877"/>
      <w:bookmarkStart w:id="128" w:name="_Toc209383613"/>
      <w:bookmarkStart w:id="129" w:name="_Toc25477"/>
      <w:bookmarkStart w:id="130" w:name="_Toc192925653"/>
      <w:bookmarkStart w:id="131" w:name="_Toc7784"/>
      <w:bookmarkStart w:id="132" w:name="_Toc12228"/>
      <w:bookmarkStart w:id="133" w:name="_Toc14495"/>
      <w:bookmarkStart w:id="134" w:name="_Toc12869"/>
      <w:bookmarkStart w:id="135" w:name="_Toc25332"/>
      <w:bookmarkStart w:id="136" w:name="_Toc191892305"/>
      <w:r>
        <w:rPr>
          <w:rFonts w:hint="eastAsia" w:ascii="仿宋" w:hAnsi="仿宋" w:eastAsia="仿宋"/>
          <w:color w:val="000000" w:themeColor="text1"/>
          <w:sz w:val="32"/>
          <w:highlight w:val="none"/>
          <w14:textFill>
            <w14:solidFill>
              <w14:schemeClr w14:val="tx1"/>
            </w14:solidFill>
          </w14:textFill>
        </w:rPr>
        <w:t>5</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招标文件的组成</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23D6436A">
      <w:pPr>
        <w:ind w:firstLine="640" w:firstLineChars="200"/>
        <w:rPr>
          <w:rFonts w:ascii="仿宋" w:hAnsi="仿宋" w:eastAsia="仿宋"/>
          <w:b/>
          <w:color w:val="000000" w:themeColor="text1"/>
          <w:sz w:val="32"/>
          <w:highlight w:val="none"/>
          <w14:textFill>
            <w14:solidFill>
              <w14:schemeClr w14:val="tx1"/>
            </w14:solidFill>
          </w14:textFill>
        </w:rPr>
      </w:pPr>
      <w:bookmarkStart w:id="137" w:name="_Toc523325329"/>
      <w:bookmarkStart w:id="138" w:name="_Toc523325149"/>
      <w:r>
        <w:rPr>
          <w:rFonts w:hint="eastAsia" w:ascii="仿宋" w:hAnsi="仿宋" w:eastAsia="仿宋"/>
          <w:color w:val="000000" w:themeColor="text1"/>
          <w:sz w:val="32"/>
          <w:highlight w:val="none"/>
          <w14:textFill>
            <w14:solidFill>
              <w14:schemeClr w14:val="tx1"/>
            </w14:solidFill>
          </w14:textFill>
        </w:rPr>
        <w:t>5.1招标文件用以阐明所需货物及服务招标程序和合同主要条款。招标文件由下述主要部分组成：</w:t>
      </w:r>
      <w:bookmarkEnd w:id="137"/>
      <w:bookmarkEnd w:id="138"/>
    </w:p>
    <w:p w14:paraId="1850650E">
      <w:pPr>
        <w:ind w:firstLine="640" w:firstLineChars="200"/>
        <w:rPr>
          <w:rFonts w:ascii="仿宋" w:hAnsi="仿宋" w:eastAsia="仿宋"/>
          <w:b/>
          <w:color w:val="000000" w:themeColor="text1"/>
          <w:sz w:val="32"/>
          <w:highlight w:val="none"/>
          <w14:textFill>
            <w14:solidFill>
              <w14:schemeClr w14:val="tx1"/>
            </w14:solidFill>
          </w14:textFill>
        </w:rPr>
      </w:pPr>
      <w:bookmarkStart w:id="139" w:name="_Toc523325330"/>
      <w:bookmarkStart w:id="140" w:name="_Toc523325150"/>
      <w:r>
        <w:rPr>
          <w:rFonts w:hint="eastAsia" w:ascii="仿宋" w:hAnsi="仿宋" w:eastAsia="仿宋"/>
          <w:color w:val="000000" w:themeColor="text1"/>
          <w:sz w:val="32"/>
          <w:highlight w:val="none"/>
          <w14:textFill>
            <w14:solidFill>
              <w14:schemeClr w14:val="tx1"/>
            </w14:solidFill>
          </w14:textFill>
        </w:rPr>
        <w:t xml:space="preserve">⑴ </w:t>
      </w:r>
      <w:bookmarkEnd w:id="139"/>
      <w:bookmarkEnd w:id="140"/>
      <w:r>
        <w:rPr>
          <w:rFonts w:hint="eastAsia" w:ascii="仿宋" w:hAnsi="仿宋" w:eastAsia="仿宋"/>
          <w:color w:val="000000" w:themeColor="text1"/>
          <w:sz w:val="32"/>
          <w:highlight w:val="none"/>
          <w14:textFill>
            <w14:solidFill>
              <w14:schemeClr w14:val="tx1"/>
            </w14:solidFill>
          </w14:textFill>
        </w:rPr>
        <w:t>招标公告</w:t>
      </w:r>
    </w:p>
    <w:p w14:paraId="7A8B9E5E">
      <w:pPr>
        <w:ind w:firstLine="640" w:firstLineChars="200"/>
        <w:rPr>
          <w:rFonts w:ascii="仿宋" w:hAnsi="仿宋" w:eastAsia="仿宋"/>
          <w:b/>
          <w:color w:val="000000" w:themeColor="text1"/>
          <w:sz w:val="32"/>
          <w:highlight w:val="none"/>
          <w14:textFill>
            <w14:solidFill>
              <w14:schemeClr w14:val="tx1"/>
            </w14:solidFill>
          </w14:textFill>
        </w:rPr>
      </w:pPr>
      <w:bookmarkStart w:id="141" w:name="_Toc523325151"/>
      <w:bookmarkStart w:id="142" w:name="_Toc523325331"/>
      <w:r>
        <w:rPr>
          <w:rFonts w:hint="eastAsia" w:ascii="仿宋" w:hAnsi="仿宋" w:eastAsia="仿宋"/>
          <w:color w:val="000000" w:themeColor="text1"/>
          <w:sz w:val="32"/>
          <w:highlight w:val="none"/>
          <w14:textFill>
            <w14:solidFill>
              <w14:schemeClr w14:val="tx1"/>
            </w14:solidFill>
          </w14:textFill>
        </w:rPr>
        <w:t>⑵ 投标人须知</w:t>
      </w:r>
      <w:bookmarkEnd w:id="141"/>
      <w:bookmarkEnd w:id="142"/>
    </w:p>
    <w:p w14:paraId="2D1AE1A1">
      <w:pPr>
        <w:ind w:firstLine="640" w:firstLineChars="200"/>
        <w:rPr>
          <w:rFonts w:ascii="仿宋" w:hAnsi="仿宋" w:eastAsia="仿宋"/>
          <w:b/>
          <w:color w:val="000000" w:themeColor="text1"/>
          <w:sz w:val="32"/>
          <w:highlight w:val="none"/>
          <w14:textFill>
            <w14:solidFill>
              <w14:schemeClr w14:val="tx1"/>
            </w14:solidFill>
          </w14:textFill>
        </w:rPr>
      </w:pPr>
      <w:bookmarkStart w:id="143" w:name="_Toc523325152"/>
      <w:bookmarkStart w:id="144" w:name="_Toc523325332"/>
      <w:r>
        <w:rPr>
          <w:rFonts w:hint="eastAsia" w:ascii="仿宋" w:hAnsi="仿宋" w:eastAsia="仿宋"/>
          <w:color w:val="000000" w:themeColor="text1"/>
          <w:sz w:val="32"/>
          <w:highlight w:val="none"/>
          <w14:textFill>
            <w14:solidFill>
              <w14:schemeClr w14:val="tx1"/>
            </w14:solidFill>
          </w14:textFill>
        </w:rPr>
        <w:t>⑶ 招标内容及要求</w:t>
      </w:r>
      <w:bookmarkEnd w:id="143"/>
      <w:bookmarkEnd w:id="144"/>
    </w:p>
    <w:p w14:paraId="2FCA455D">
      <w:pPr>
        <w:ind w:firstLine="640" w:firstLineChars="200"/>
        <w:rPr>
          <w:rFonts w:ascii="仿宋" w:hAnsi="仿宋" w:eastAsia="仿宋"/>
          <w:color w:val="000000" w:themeColor="text1"/>
          <w:sz w:val="32"/>
          <w:highlight w:val="none"/>
          <w14:textFill>
            <w14:solidFill>
              <w14:schemeClr w14:val="tx1"/>
            </w14:solidFill>
          </w14:textFill>
        </w:rPr>
      </w:pPr>
      <w:bookmarkStart w:id="145" w:name="_Toc523325333"/>
      <w:bookmarkStart w:id="146" w:name="_Toc523325153"/>
      <w:r>
        <w:rPr>
          <w:rFonts w:hint="eastAsia" w:ascii="仿宋" w:hAnsi="仿宋" w:eastAsia="仿宋"/>
          <w:color w:val="000000" w:themeColor="text1"/>
          <w:sz w:val="32"/>
          <w:highlight w:val="none"/>
          <w14:textFill>
            <w14:solidFill>
              <w14:schemeClr w14:val="tx1"/>
            </w14:solidFill>
          </w14:textFill>
        </w:rPr>
        <w:t>⑷ 投标文件格式</w:t>
      </w:r>
      <w:bookmarkEnd w:id="145"/>
      <w:bookmarkEnd w:id="146"/>
      <w:bookmarkStart w:id="147" w:name="_Toc430488851"/>
      <w:bookmarkStart w:id="148" w:name="_Toc430489119"/>
      <w:bookmarkStart w:id="149" w:name="_Toc430490612"/>
      <w:bookmarkStart w:id="150" w:name="_Toc430422413"/>
      <w:bookmarkStart w:id="151" w:name="_Toc191892306"/>
      <w:bookmarkStart w:id="152" w:name="_Toc415567497"/>
      <w:bookmarkStart w:id="153" w:name="_Toc192925654"/>
      <w:bookmarkStart w:id="154" w:name="_Toc430488644"/>
      <w:bookmarkStart w:id="155" w:name="_Toc430492126"/>
    </w:p>
    <w:p w14:paraId="44CE500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56" w:name="_Toc13700"/>
      <w:bookmarkStart w:id="157" w:name="_Toc23474"/>
      <w:bookmarkStart w:id="158" w:name="_Toc16213"/>
      <w:bookmarkStart w:id="159" w:name="_Toc18286"/>
      <w:bookmarkStart w:id="160" w:name="_Toc19154"/>
      <w:bookmarkStart w:id="161" w:name="_Toc14141"/>
      <w:bookmarkStart w:id="162" w:name="_Toc209383614"/>
      <w:bookmarkStart w:id="163" w:name="_Toc5661"/>
      <w:bookmarkStart w:id="164" w:name="_Toc11552"/>
      <w:bookmarkStart w:id="165" w:name="_Toc1999"/>
      <w:bookmarkStart w:id="166" w:name="_Toc24459"/>
      <w:bookmarkStart w:id="167" w:name="_Toc31854"/>
      <w:r>
        <w:rPr>
          <w:rFonts w:ascii="仿宋" w:hAnsi="仿宋" w:eastAsia="仿宋"/>
          <w:color w:val="000000" w:themeColor="text1"/>
          <w:sz w:val="32"/>
          <w:highlight w:val="none"/>
          <w14:textFill>
            <w14:solidFill>
              <w14:schemeClr w14:val="tx1"/>
            </w14:solidFill>
          </w14:textFill>
        </w:rPr>
        <w:t>6. 招标文件的澄清</w:t>
      </w:r>
      <w:bookmarkEnd w:id="156"/>
      <w:bookmarkEnd w:id="157"/>
      <w:bookmarkEnd w:id="158"/>
      <w:bookmarkEnd w:id="159"/>
      <w:bookmarkEnd w:id="160"/>
      <w:bookmarkEnd w:id="161"/>
      <w:bookmarkEnd w:id="162"/>
      <w:bookmarkEnd w:id="163"/>
      <w:bookmarkEnd w:id="164"/>
      <w:bookmarkEnd w:id="165"/>
      <w:bookmarkEnd w:id="166"/>
      <w:bookmarkEnd w:id="167"/>
    </w:p>
    <w:bookmarkEnd w:id="147"/>
    <w:bookmarkEnd w:id="148"/>
    <w:bookmarkEnd w:id="149"/>
    <w:bookmarkEnd w:id="150"/>
    <w:bookmarkEnd w:id="151"/>
    <w:bookmarkEnd w:id="152"/>
    <w:bookmarkEnd w:id="153"/>
    <w:bookmarkEnd w:id="154"/>
    <w:bookmarkEnd w:id="155"/>
    <w:p w14:paraId="2CB2247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68" w:name="_Toc523325335"/>
      <w:bookmarkStart w:id="169" w:name="_Toc523325155"/>
      <w:bookmarkStart w:id="170" w:name="_Toc191892308"/>
      <w:bookmarkStart w:id="171" w:name="_Toc192925656"/>
      <w:r>
        <w:rPr>
          <w:rFonts w:hint="eastAsia" w:ascii="仿宋" w:hAnsi="仿宋" w:eastAsia="仿宋"/>
          <w:color w:val="000000" w:themeColor="text1"/>
          <w:sz w:val="32"/>
          <w:szCs w:val="32"/>
          <w:highlight w:val="none"/>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168"/>
      <w:bookmarkEnd w:id="169"/>
      <w:bookmarkStart w:id="172" w:name="_Toc430492127"/>
      <w:bookmarkStart w:id="173" w:name="_Toc192925655"/>
      <w:bookmarkStart w:id="174" w:name="_Toc415567498"/>
      <w:bookmarkStart w:id="175" w:name="_Toc430488852"/>
      <w:bookmarkStart w:id="176" w:name="_Toc430488645"/>
      <w:bookmarkStart w:id="177" w:name="_Toc430489120"/>
      <w:bookmarkStart w:id="178" w:name="_Toc430490613"/>
      <w:bookmarkStart w:id="179" w:name="_Toc430422414"/>
      <w:bookmarkStart w:id="180" w:name="_Toc191892307"/>
    </w:p>
    <w:p w14:paraId="1736D0E0">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81" w:name="_Toc15245"/>
      <w:bookmarkStart w:id="182" w:name="_Toc27108"/>
      <w:bookmarkStart w:id="183" w:name="_Toc14484"/>
      <w:bookmarkStart w:id="184" w:name="_Toc21464"/>
      <w:bookmarkStart w:id="185" w:name="_Toc209383615"/>
      <w:bookmarkStart w:id="186" w:name="_Toc3481"/>
      <w:bookmarkStart w:id="187" w:name="_Toc11454"/>
      <w:bookmarkStart w:id="188" w:name="_Toc25256"/>
      <w:bookmarkStart w:id="189" w:name="_Toc13436"/>
      <w:bookmarkStart w:id="190" w:name="_Toc22311"/>
      <w:bookmarkStart w:id="191" w:name="_Toc26469"/>
      <w:bookmarkStart w:id="192" w:name="_Toc7878"/>
      <w:r>
        <w:rPr>
          <w:rFonts w:ascii="仿宋" w:hAnsi="仿宋" w:eastAsia="仿宋"/>
          <w:color w:val="000000" w:themeColor="text1"/>
          <w:sz w:val="32"/>
          <w:highlight w:val="none"/>
          <w14:textFill>
            <w14:solidFill>
              <w14:schemeClr w14:val="tx1"/>
            </w14:solidFill>
          </w14:textFill>
        </w:rPr>
        <w:t xml:space="preserve">7. </w:t>
      </w:r>
      <w:r>
        <w:rPr>
          <w:rFonts w:hint="eastAsia" w:ascii="仿宋" w:hAnsi="仿宋" w:eastAsia="仿宋"/>
          <w:color w:val="000000" w:themeColor="text1"/>
          <w:sz w:val="32"/>
          <w:highlight w:val="none"/>
          <w14:textFill>
            <w14:solidFill>
              <w14:schemeClr w14:val="tx1"/>
            </w14:solidFill>
          </w14:textFill>
        </w:rPr>
        <w:t>招标文件的修改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3CC04D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93" w:name="_Toc523325157"/>
      <w:bookmarkStart w:id="194" w:name="_Toc523325337"/>
      <w:r>
        <w:rPr>
          <w:rFonts w:hint="eastAsia" w:ascii="仿宋" w:hAnsi="仿宋" w:eastAsia="仿宋"/>
          <w:color w:val="000000" w:themeColor="text1"/>
          <w:sz w:val="32"/>
          <w:szCs w:val="32"/>
          <w:highlight w:val="none"/>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193"/>
      <w:bookmarkEnd w:id="194"/>
    </w:p>
    <w:p w14:paraId="0CD19B1A">
      <w:pPr>
        <w:spacing w:line="276" w:lineRule="auto"/>
        <w:ind w:firstLine="640" w:firstLineChars="200"/>
        <w:rPr>
          <w:rFonts w:ascii="仿宋" w:hAnsi="仿宋" w:eastAsia="仿宋"/>
          <w:color w:val="000000" w:themeColor="text1"/>
          <w:sz w:val="32"/>
          <w:highlight w:val="none"/>
          <w14:textFill>
            <w14:solidFill>
              <w14:schemeClr w14:val="tx1"/>
            </w14:solidFill>
          </w14:textFill>
        </w:rPr>
      </w:pPr>
      <w:bookmarkStart w:id="195" w:name="_Toc523325158"/>
      <w:bookmarkStart w:id="196" w:name="_Toc523325338"/>
      <w:r>
        <w:rPr>
          <w:rFonts w:hint="eastAsia" w:ascii="仿宋" w:hAnsi="仿宋" w:eastAsia="仿宋"/>
          <w:color w:val="000000" w:themeColor="text1"/>
          <w:sz w:val="32"/>
          <w:szCs w:val="32"/>
          <w:highlight w:val="none"/>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195"/>
      <w:bookmarkEnd w:id="196"/>
      <w:bookmarkStart w:id="197" w:name="_Toc3212"/>
      <w:bookmarkStart w:id="198" w:name="_Toc22845"/>
      <w:bookmarkStart w:id="199" w:name="_Toc10278"/>
    </w:p>
    <w:p w14:paraId="7F60E9D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200" w:name="_Toc4277"/>
      <w:bookmarkStart w:id="201" w:name="_Toc16596"/>
      <w:bookmarkStart w:id="202" w:name="_Toc4193"/>
      <w:bookmarkStart w:id="203" w:name="_Toc14216"/>
      <w:bookmarkStart w:id="204" w:name="_Toc16320"/>
      <w:bookmarkStart w:id="205" w:name="_Toc209383616"/>
      <w:bookmarkStart w:id="206" w:name="_Toc32388"/>
      <w:bookmarkStart w:id="207" w:name="_Toc15408"/>
      <w:r>
        <w:rPr>
          <w:rFonts w:hint="eastAsia" w:ascii="仿宋" w:hAnsi="仿宋" w:eastAsia="仿宋"/>
          <w:color w:val="000000" w:themeColor="text1"/>
          <w:sz w:val="32"/>
          <w:highlight w:val="none"/>
          <w14:textFill>
            <w14:solidFill>
              <w14:schemeClr w14:val="tx1"/>
            </w14:solidFill>
          </w14:textFill>
        </w:rPr>
        <w:t>第三节  投标文件的编写</w:t>
      </w:r>
      <w:bookmarkEnd w:id="170"/>
      <w:bookmarkEnd w:id="171"/>
      <w:bookmarkEnd w:id="197"/>
      <w:bookmarkEnd w:id="198"/>
      <w:bookmarkEnd w:id="199"/>
      <w:bookmarkEnd w:id="200"/>
      <w:bookmarkEnd w:id="201"/>
      <w:bookmarkEnd w:id="202"/>
      <w:bookmarkEnd w:id="203"/>
      <w:bookmarkEnd w:id="204"/>
      <w:bookmarkEnd w:id="205"/>
      <w:bookmarkEnd w:id="206"/>
      <w:bookmarkEnd w:id="207"/>
    </w:p>
    <w:p w14:paraId="78A7A1DE">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08" w:name="_Toc23518"/>
      <w:bookmarkStart w:id="209" w:name="_Toc14658"/>
      <w:bookmarkStart w:id="210" w:name="_Toc12645"/>
      <w:bookmarkStart w:id="211" w:name="_Toc192925657"/>
      <w:bookmarkStart w:id="212" w:name="_Toc30457"/>
      <w:bookmarkStart w:id="213" w:name="_Toc9156"/>
      <w:bookmarkStart w:id="214" w:name="_Toc8558"/>
      <w:bookmarkStart w:id="215" w:name="_Toc16692"/>
      <w:bookmarkStart w:id="216" w:name="_Toc4718"/>
      <w:bookmarkStart w:id="217" w:name="_Toc1664"/>
      <w:bookmarkStart w:id="218" w:name="_Toc209383617"/>
      <w:bookmarkStart w:id="219" w:name="_Toc93"/>
      <w:bookmarkStart w:id="220" w:name="_Toc191892309"/>
      <w:r>
        <w:rPr>
          <w:rFonts w:hint="eastAsia" w:ascii="仿宋" w:hAnsi="仿宋" w:eastAsia="仿宋"/>
          <w:color w:val="000000" w:themeColor="text1"/>
          <w:sz w:val="32"/>
          <w:highlight w:val="none"/>
          <w14:textFill>
            <w14:solidFill>
              <w14:schemeClr w14:val="tx1"/>
            </w14:solidFill>
          </w14:textFill>
        </w:rPr>
        <w:t>8</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要求</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53A944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731E5880">
      <w:pPr>
        <w:tabs>
          <w:tab w:val="left" w:pos="900"/>
        </w:tabs>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1109596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21" w:name="_Toc192925658"/>
      <w:bookmarkStart w:id="222" w:name="_Toc6423"/>
      <w:bookmarkStart w:id="223" w:name="_Toc6185"/>
      <w:bookmarkStart w:id="224" w:name="_Toc26221"/>
      <w:bookmarkStart w:id="225" w:name="_Toc2423"/>
      <w:bookmarkStart w:id="226" w:name="_Toc2690"/>
      <w:bookmarkStart w:id="227" w:name="_Toc209383618"/>
      <w:bookmarkStart w:id="228" w:name="_Toc191892310"/>
      <w:bookmarkStart w:id="229" w:name="_Toc11434"/>
      <w:bookmarkStart w:id="230" w:name="_Toc2186"/>
      <w:bookmarkStart w:id="231" w:name="_Toc10201"/>
      <w:bookmarkStart w:id="232" w:name="_Toc21254"/>
      <w:bookmarkStart w:id="233" w:name="_Toc2697"/>
      <w:r>
        <w:rPr>
          <w:rFonts w:hint="eastAsia" w:ascii="仿宋" w:hAnsi="仿宋" w:eastAsia="仿宋"/>
          <w:color w:val="000000" w:themeColor="text1"/>
          <w:sz w:val="32"/>
          <w:highlight w:val="none"/>
          <w14:textFill>
            <w14:solidFill>
              <w14:schemeClr w14:val="tx1"/>
            </w14:solidFill>
          </w14:textFill>
        </w:rPr>
        <w:t>9</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投标文件语言</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160A5E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4174FDC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34" w:name="_Toc22833"/>
      <w:bookmarkStart w:id="235" w:name="_Toc16840"/>
      <w:bookmarkStart w:id="236" w:name="_Toc24073"/>
      <w:bookmarkStart w:id="237" w:name="_Toc28787"/>
      <w:bookmarkStart w:id="238" w:name="_Toc30149"/>
      <w:bookmarkStart w:id="239" w:name="_Toc20103"/>
      <w:bookmarkStart w:id="240" w:name="_Toc209383619"/>
      <w:bookmarkStart w:id="241" w:name="_Toc21581"/>
      <w:bookmarkStart w:id="242" w:name="_Toc192925659"/>
      <w:bookmarkStart w:id="243" w:name="_Toc29233"/>
      <w:bookmarkStart w:id="244" w:name="_Toc191892311"/>
      <w:bookmarkStart w:id="245" w:name="_Toc26284"/>
      <w:bookmarkStart w:id="246" w:name="_Toc26190"/>
      <w:r>
        <w:rPr>
          <w:rFonts w:hint="eastAsia" w:ascii="仿宋" w:hAnsi="仿宋" w:eastAsia="仿宋"/>
          <w:color w:val="000000" w:themeColor="text1"/>
          <w:sz w:val="32"/>
          <w:highlight w:val="none"/>
          <w14:textFill>
            <w14:solidFill>
              <w14:schemeClr w14:val="tx1"/>
            </w14:solidFill>
          </w14:textFill>
        </w:rPr>
        <w:t>10</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F580F5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247" w:name="_Toc4863"/>
      <w:bookmarkStart w:id="248" w:name="_Toc192925660"/>
      <w:bookmarkStart w:id="249" w:name="_Toc191892312"/>
      <w:r>
        <w:rPr>
          <w:rFonts w:ascii="仿宋" w:hAnsi="仿宋" w:eastAsia="仿宋"/>
          <w:color w:val="000000" w:themeColor="text1"/>
          <w:sz w:val="32"/>
          <w:szCs w:val="32"/>
          <w:highlight w:val="none"/>
          <w14:textFill>
            <w14:solidFill>
              <w14:schemeClr w14:val="tx1"/>
            </w14:solidFill>
          </w14:textFill>
        </w:rPr>
        <w:t>10.1.1</w:t>
      </w:r>
      <w:r>
        <w:rPr>
          <w:rFonts w:hint="eastAsia" w:ascii="仿宋" w:hAnsi="仿宋" w:eastAsia="仿宋"/>
          <w:color w:val="000000" w:themeColor="text1"/>
          <w:sz w:val="32"/>
          <w:szCs w:val="32"/>
          <w:highlight w:val="none"/>
          <w14:textFill>
            <w14:solidFill>
              <w14:schemeClr w14:val="tx1"/>
            </w14:solidFill>
          </w14:textFill>
        </w:rPr>
        <w:t>投标书</w:t>
      </w:r>
    </w:p>
    <w:p w14:paraId="749FB0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10.1.2</w:t>
      </w:r>
      <w:r>
        <w:rPr>
          <w:rFonts w:hint="eastAsia" w:ascii="仿宋" w:hAnsi="仿宋" w:eastAsia="仿宋"/>
          <w:color w:val="000000" w:themeColor="text1"/>
          <w:sz w:val="32"/>
          <w:szCs w:val="32"/>
          <w:highlight w:val="none"/>
          <w14:textFill>
            <w14:solidFill>
              <w14:schemeClr w14:val="tx1"/>
            </w14:solidFill>
          </w14:textFill>
        </w:rPr>
        <w:t>开标一览表</w:t>
      </w:r>
    </w:p>
    <w:p w14:paraId="48F42D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10.1.3</w:t>
      </w:r>
      <w:r>
        <w:rPr>
          <w:rFonts w:hint="eastAsia" w:ascii="仿宋" w:hAnsi="仿宋" w:eastAsia="仿宋"/>
          <w:color w:val="000000" w:themeColor="text1"/>
          <w:sz w:val="32"/>
          <w:szCs w:val="32"/>
          <w:highlight w:val="none"/>
          <w14:textFill>
            <w14:solidFill>
              <w14:schemeClr w14:val="tx1"/>
            </w14:solidFill>
          </w14:textFill>
        </w:rPr>
        <w:t>投标人业绩证明</w:t>
      </w:r>
    </w:p>
    <w:p w14:paraId="72A4130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4安全生产管理协议书</w:t>
      </w:r>
    </w:p>
    <w:p w14:paraId="41374A8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5售后服务承诺函</w:t>
      </w:r>
    </w:p>
    <w:p w14:paraId="3B6B285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6法人代表授权书</w:t>
      </w:r>
    </w:p>
    <w:p w14:paraId="5821224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7法人营业执照</w:t>
      </w:r>
    </w:p>
    <w:p w14:paraId="474336B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8廉洁诚信承诺书</w:t>
      </w:r>
    </w:p>
    <w:p w14:paraId="67023AA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10.1.9 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p w14:paraId="79C4779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10.1.10投标人提交的其它资料</w:t>
      </w:r>
    </w:p>
    <w:p w14:paraId="08E88672">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50" w:name="_Toc8892"/>
      <w:bookmarkStart w:id="251" w:name="_Toc19043"/>
      <w:bookmarkStart w:id="252" w:name="_Toc19405"/>
      <w:bookmarkStart w:id="253" w:name="_Toc18775"/>
      <w:bookmarkStart w:id="254" w:name="_Toc3439"/>
      <w:bookmarkStart w:id="255" w:name="_Toc30716"/>
      <w:bookmarkStart w:id="256" w:name="_Toc24333"/>
      <w:bookmarkStart w:id="257" w:name="_Toc10077"/>
      <w:bookmarkStart w:id="258" w:name="_Toc13774"/>
      <w:bookmarkStart w:id="259" w:name="_Toc209383620"/>
      <w:r>
        <w:rPr>
          <w:rFonts w:hint="eastAsia" w:ascii="仿宋" w:hAnsi="仿宋" w:eastAsia="仿宋"/>
          <w:color w:val="000000" w:themeColor="text1"/>
          <w:sz w:val="32"/>
          <w:highlight w:val="none"/>
          <w14:textFill>
            <w14:solidFill>
              <w14:schemeClr w14:val="tx1"/>
            </w14:solidFill>
          </w14:textFill>
        </w:rPr>
        <w:t>11</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投标有效期</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3CCD585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11.1投标文件从“</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第4项所规定的投标截止期之后开始生效，在“</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第</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项所规定的期限内保持有效。有效期不足将导致其投标文件被拒绝。</w:t>
      </w:r>
    </w:p>
    <w:p w14:paraId="12EAA1A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2D31896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60" w:name="_Toc32399"/>
      <w:bookmarkStart w:id="261" w:name="_Toc209383621"/>
      <w:bookmarkStart w:id="262" w:name="_Toc27271"/>
      <w:bookmarkStart w:id="263" w:name="_Toc32045"/>
      <w:bookmarkStart w:id="264" w:name="_Toc30051"/>
      <w:bookmarkStart w:id="265" w:name="_Toc191892313"/>
      <w:bookmarkStart w:id="266" w:name="_Toc4521"/>
      <w:bookmarkStart w:id="267" w:name="_Toc29401"/>
      <w:bookmarkStart w:id="268" w:name="_Toc17579"/>
      <w:bookmarkStart w:id="269" w:name="_Toc22811"/>
      <w:bookmarkStart w:id="270" w:name="_Toc9512"/>
      <w:bookmarkStart w:id="271" w:name="_Toc192925661"/>
      <w:bookmarkStart w:id="272" w:name="_Toc25529"/>
      <w:r>
        <w:rPr>
          <w:rFonts w:hint="eastAsia" w:ascii="仿宋" w:hAnsi="仿宋" w:eastAsia="仿宋"/>
          <w:color w:val="000000" w:themeColor="text1"/>
          <w:sz w:val="32"/>
          <w:highlight w:val="none"/>
          <w14:textFill>
            <w14:solidFill>
              <w14:schemeClr w14:val="tx1"/>
            </w14:solidFill>
          </w14:textFill>
        </w:rPr>
        <w:t>12. 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22D3FCA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12.1 投标保证金</w:t>
      </w:r>
    </w:p>
    <w:p w14:paraId="6BF7672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12.1.1投标保证金为投标文件的组成部分之一。</w:t>
      </w:r>
    </w:p>
    <w:p w14:paraId="15FD935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12.1.2 投标人应在提交投标文件之前，向招标人缴交“投标人须知前附表”第5项要求的投标保证金。</w:t>
      </w:r>
    </w:p>
    <w:p w14:paraId="670B2E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12.1.3 投标保证金用于保护本次招标活动免受投标人的行为而引起的风险。</w:t>
      </w:r>
    </w:p>
    <w:p w14:paraId="6FBCE9B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12.1.4 投标保证金以转账或电汇形式提交，必须于投标截止时间前到账。</w:t>
      </w:r>
    </w:p>
    <w:p w14:paraId="33ABBDF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12.1.5 未按规定缴交投标保证金的投标，将被视为无效投标。</w:t>
      </w:r>
    </w:p>
    <w:p w14:paraId="12E9142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12.1.6中标通知书发出后，招标人</w:t>
      </w:r>
      <w:r>
        <w:rPr>
          <w:rFonts w:ascii="仿宋" w:hAnsi="仿宋" w:eastAsia="仿宋"/>
          <w:color w:val="000000" w:themeColor="text1"/>
          <w:sz w:val="32"/>
          <w:szCs w:val="32"/>
          <w:highlight w:val="none"/>
          <w14:textFill>
            <w14:solidFill>
              <w14:schemeClr w14:val="tx1"/>
            </w14:solidFill>
          </w14:textFill>
        </w:rPr>
        <w:t>将</w:t>
      </w:r>
      <w:r>
        <w:rPr>
          <w:rFonts w:hint="eastAsia" w:ascii="仿宋" w:hAnsi="仿宋" w:eastAsia="仿宋"/>
          <w:color w:val="000000" w:themeColor="text1"/>
          <w:sz w:val="32"/>
          <w:szCs w:val="32"/>
          <w:highlight w:val="none"/>
          <w14:textFill>
            <w14:solidFill>
              <w14:schemeClr w14:val="tx1"/>
            </w14:solidFill>
          </w14:textFill>
        </w:rPr>
        <w:t>在20个工作日内予以原额无息退还未中标人的投标保证金。</w:t>
      </w:r>
    </w:p>
    <w:p w14:paraId="1A0E3C7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12.1.7 发生</w:t>
      </w:r>
      <w:r>
        <w:rPr>
          <w:rFonts w:hint="eastAsia" w:ascii="仿宋" w:hAnsi="仿宋" w:eastAsia="仿宋"/>
          <w:b/>
          <w:color w:val="000000" w:themeColor="text1"/>
          <w:sz w:val="32"/>
          <w:szCs w:val="32"/>
          <w:highlight w:val="none"/>
          <w14:textFill>
            <w14:solidFill>
              <w14:schemeClr w14:val="tx1"/>
            </w14:solidFill>
          </w14:textFill>
        </w:rPr>
        <w:t>以下情况之一</w:t>
      </w:r>
      <w:r>
        <w:rPr>
          <w:rFonts w:hint="eastAsia" w:ascii="仿宋" w:hAnsi="仿宋" w:eastAsia="仿宋"/>
          <w:color w:val="000000" w:themeColor="text1"/>
          <w:sz w:val="32"/>
          <w:szCs w:val="32"/>
          <w:highlight w:val="none"/>
          <w14:textFill>
            <w14:solidFill>
              <w14:schemeClr w14:val="tx1"/>
            </w14:solidFill>
          </w14:textFill>
        </w:rPr>
        <w:t>的，投标保证金将</w:t>
      </w:r>
      <w:r>
        <w:rPr>
          <w:rFonts w:hint="eastAsia" w:ascii="仿宋" w:hAnsi="仿宋" w:eastAsia="仿宋"/>
          <w:b/>
          <w:color w:val="000000" w:themeColor="text1"/>
          <w:sz w:val="32"/>
          <w:szCs w:val="32"/>
          <w:highlight w:val="none"/>
          <w14:textFill>
            <w14:solidFill>
              <w14:schemeClr w14:val="tx1"/>
            </w14:solidFill>
          </w14:textFill>
        </w:rPr>
        <w:t>不予退还</w:t>
      </w:r>
      <w:r>
        <w:rPr>
          <w:rFonts w:hint="eastAsia" w:ascii="仿宋" w:hAnsi="仿宋" w:eastAsia="仿宋"/>
          <w:color w:val="000000" w:themeColor="text1"/>
          <w:sz w:val="32"/>
          <w:szCs w:val="32"/>
          <w:highlight w:val="none"/>
          <w14:textFill>
            <w14:solidFill>
              <w14:schemeClr w14:val="tx1"/>
            </w14:solidFill>
          </w14:textFill>
        </w:rPr>
        <w:t>：</w:t>
      </w:r>
    </w:p>
    <w:p w14:paraId="5E3D960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⑴ 投标人在投标截止期后，投标有效期内撤回投标；</w:t>
      </w:r>
    </w:p>
    <w:p w14:paraId="442A91D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⑵ 中标人未能做到按本须知第23条规定签订合同；</w:t>
      </w:r>
    </w:p>
    <w:p w14:paraId="4A1A5728">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⑶</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中标人未按本招标文件规定提交银行履约保函或履约保证金的；</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0F375C4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⑷ 以他人名义投标或者以其他方式弄虚作假，骗取中标；</w:t>
      </w:r>
    </w:p>
    <w:p w14:paraId="238C220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⑸ 本招标文件中规定的其他没收投标保证金的情形。</w:t>
      </w:r>
    </w:p>
    <w:p w14:paraId="64308EE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上述不予退还投标保证金的情况，如给招标人造成损失的，投标人还应承担赔偿责任。</w:t>
      </w:r>
    </w:p>
    <w:p w14:paraId="1BC6AD2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73" w:name="_Toc15308"/>
      <w:bookmarkStart w:id="274" w:name="_Toc16470"/>
      <w:bookmarkStart w:id="275" w:name="_Toc209383622"/>
      <w:bookmarkStart w:id="276" w:name="_Toc13647"/>
      <w:bookmarkStart w:id="277" w:name="_Toc23598"/>
      <w:bookmarkStart w:id="278" w:name="_Toc13454"/>
      <w:bookmarkStart w:id="279" w:name="_Toc2571"/>
      <w:bookmarkStart w:id="280" w:name="_Toc192925662"/>
      <w:bookmarkStart w:id="281" w:name="_Toc26345"/>
      <w:bookmarkStart w:id="282" w:name="_Toc9999"/>
      <w:bookmarkStart w:id="283" w:name="_Toc191892314"/>
      <w:bookmarkStart w:id="284" w:name="_Toc12188"/>
      <w:bookmarkStart w:id="285" w:name="_Toc27803"/>
      <w:r>
        <w:rPr>
          <w:rFonts w:hint="eastAsia" w:ascii="仿宋" w:hAnsi="仿宋" w:eastAsia="仿宋"/>
          <w:color w:val="000000" w:themeColor="text1"/>
          <w:sz w:val="32"/>
          <w:highlight w:val="none"/>
          <w14:textFill>
            <w14:solidFill>
              <w14:schemeClr w14:val="tx1"/>
            </w14:solidFill>
          </w14:textFill>
        </w:rPr>
        <w:t>13</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投标文件的格式</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1AE6AF5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13.1投标人须按照本招标文件规定，编制投标文件的</w:t>
      </w:r>
      <w:r>
        <w:rPr>
          <w:rFonts w:hint="eastAsia" w:ascii="仿宋" w:hAnsi="仿宋" w:eastAsia="仿宋"/>
          <w:b/>
          <w:color w:val="000000" w:themeColor="text1"/>
          <w:sz w:val="32"/>
          <w:szCs w:val="32"/>
          <w:highlight w:val="none"/>
          <w14:textFill>
            <w14:solidFill>
              <w14:schemeClr w14:val="tx1"/>
            </w14:solidFill>
          </w14:textFill>
        </w:rPr>
        <w:t>正本一份，副本一份,</w:t>
      </w:r>
      <w:r>
        <w:rPr>
          <w:rFonts w:hint="eastAsia" w:ascii="仿宋" w:hAnsi="仿宋" w:eastAsia="仿宋"/>
          <w:b/>
          <w:bCs/>
          <w:color w:val="000000" w:themeColor="text1"/>
          <w:sz w:val="32"/>
          <w:szCs w:val="32"/>
          <w:highlight w:val="none"/>
          <w14:textFill>
            <w14:solidFill>
              <w14:schemeClr w14:val="tx1"/>
            </w14:solidFill>
          </w14:textFill>
        </w:rPr>
        <w:t>电子版一份(通过U盘介质提交）</w:t>
      </w:r>
      <w:r>
        <w:rPr>
          <w:rFonts w:hint="eastAsia" w:ascii="仿宋" w:hAnsi="仿宋" w:eastAsia="仿宋"/>
          <w:color w:val="000000" w:themeColor="text1"/>
          <w:sz w:val="32"/>
          <w:szCs w:val="32"/>
          <w:highlight w:val="none"/>
          <w14:textFill>
            <w14:solidFill>
              <w14:schemeClr w14:val="tx1"/>
            </w14:solidFill>
          </w14:textFill>
        </w:rPr>
        <w:t>。正本必须用A4幅面纸张打印装订，副本可用正本的完整复印件，投标文件电子版应为doc格式，并在封面标明“正本”、“副本”、“电子版”字样。正本、副本、电子版如有不一致，则以正本为准。</w:t>
      </w:r>
    </w:p>
    <w:p w14:paraId="43F83BF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13.2投标文件应由投标人的法定代表人或者其授权代表签字并加盖公章，如由后者签字，应提供“法定代表人授权委托书”。</w:t>
      </w:r>
    </w:p>
    <w:p w14:paraId="6F7DFFD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13.3 除非有另外的规定或许可外，投标使用货币均为人民币。</w:t>
      </w:r>
    </w:p>
    <w:p w14:paraId="5BC1890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45BB22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 xml:space="preserve">.5 </w:t>
      </w:r>
      <w:r>
        <w:rPr>
          <w:rFonts w:hint="eastAsia" w:ascii="仿宋" w:hAnsi="仿宋" w:eastAsia="仿宋"/>
          <w:color w:val="000000" w:themeColor="text1"/>
          <w:sz w:val="32"/>
          <w:szCs w:val="32"/>
          <w:highlight w:val="none"/>
          <w14:textFill>
            <w14:solidFill>
              <w14:schemeClr w14:val="tx1"/>
            </w14:solidFill>
          </w14:textFill>
        </w:rPr>
        <w:t>投标文件的正本和全部副本均应使用不能擦去的墨料或墨水打印、书写或复印，并由法定代表人或其授权代表签署，盖投标人公章。</w:t>
      </w:r>
    </w:p>
    <w:p w14:paraId="514FBA2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3D1FBD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13.7未按本招标文件规定的格式填写投标文件或投标文件字迹模糊不清的投标可能导致不利于投标人的评标结果。</w:t>
      </w:r>
    </w:p>
    <w:p w14:paraId="3D342AB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13.8 所有资格证明文件复印件，须加盖投标人公章。</w:t>
      </w:r>
    </w:p>
    <w:p w14:paraId="3C34031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213461F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286" w:name="_Toc6300"/>
      <w:bookmarkStart w:id="287" w:name="_Toc209383623"/>
      <w:bookmarkStart w:id="288" w:name="_Toc28479"/>
      <w:bookmarkStart w:id="289" w:name="_Toc2202"/>
      <w:bookmarkStart w:id="290" w:name="_Toc11707"/>
      <w:bookmarkStart w:id="291" w:name="_Toc18487"/>
      <w:bookmarkStart w:id="292" w:name="_Toc21732"/>
      <w:bookmarkStart w:id="293" w:name="_Toc20684"/>
      <w:bookmarkStart w:id="294" w:name="_Toc3547"/>
      <w:bookmarkStart w:id="295" w:name="_Toc22996"/>
      <w:bookmarkStart w:id="296" w:name="_Toc191892315"/>
      <w:bookmarkStart w:id="297" w:name="_Toc192925663"/>
      <w:bookmarkStart w:id="298" w:name="_Toc8056"/>
      <w:r>
        <w:rPr>
          <w:rFonts w:hint="eastAsia" w:ascii="仿宋" w:hAnsi="仿宋" w:eastAsia="仿宋"/>
          <w:color w:val="000000" w:themeColor="text1"/>
          <w:sz w:val="32"/>
          <w:highlight w:val="none"/>
          <w14:textFill>
            <w14:solidFill>
              <w14:schemeClr w14:val="tx1"/>
            </w14:solidFill>
          </w14:textFill>
        </w:rPr>
        <w:t>第四节  投标文件的提交</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3FCD631C">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99" w:name="_Toc209383624"/>
      <w:bookmarkStart w:id="300" w:name="_Toc192925664"/>
      <w:bookmarkStart w:id="301" w:name="_Toc24273"/>
      <w:bookmarkStart w:id="302" w:name="_Toc19109"/>
      <w:bookmarkStart w:id="303" w:name="_Toc18960"/>
      <w:bookmarkStart w:id="304" w:name="_Toc20304"/>
      <w:bookmarkStart w:id="305" w:name="_Toc3428"/>
      <w:bookmarkStart w:id="306" w:name="_Toc28763"/>
      <w:bookmarkStart w:id="307" w:name="_Toc32418"/>
      <w:bookmarkStart w:id="308" w:name="_Toc10461"/>
      <w:bookmarkStart w:id="309" w:name="_Toc191892316"/>
      <w:bookmarkStart w:id="310" w:name="_Toc30009"/>
      <w:bookmarkStart w:id="311" w:name="_Toc24502"/>
      <w:r>
        <w:rPr>
          <w:rFonts w:hint="eastAsia" w:ascii="仿宋" w:hAnsi="仿宋" w:eastAsia="仿宋"/>
          <w:color w:val="000000" w:themeColor="text1"/>
          <w:sz w:val="32"/>
          <w:highlight w:val="none"/>
          <w14:textFill>
            <w14:solidFill>
              <w14:schemeClr w14:val="tx1"/>
            </w14:solidFill>
          </w14:textFill>
        </w:rPr>
        <w:t>14. 投标文件的密封、标记和递交</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4BE66C0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14.1 投标人应将投标文件正本、副本、电子版分别用信封密封，并标明招标编号、招标项目名称、投标人名称等及“正本”“副本”、“电子版”字样。投标文件未密封将导致其投标被拒绝。</w:t>
      </w:r>
    </w:p>
    <w:p w14:paraId="53BFF9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14.2 每一信封密封处应加盖投标人公章或由授权代表签字。</w:t>
      </w:r>
    </w:p>
    <w:p w14:paraId="463A361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14.3投标人应将投标文件按照本须知第14.1条至第14.2条的规定进行密封和标记，按“投标人须知前附表”注明的地址和时间派专人送达接收人。</w:t>
      </w:r>
    </w:p>
    <w:p w14:paraId="7C55DC0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14.4如果未按上述规定进行密封和标记，招标人将不承担由此造成的对投标文件的误投或提前拆封的责任。</w:t>
      </w:r>
    </w:p>
    <w:p w14:paraId="73EA4F2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14.5投标文件应在投标邀请中规定的截止时间前送达，迟到的投标文件为无效投标文件, 将被拒收。</w:t>
      </w:r>
    </w:p>
    <w:p w14:paraId="25B3CF1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0D8BDDF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14.7投标人在投标截止时间后不得修改、撤回投标文件。投标人在投标截止时间后修改投标文件的，其投标将被拒绝。</w:t>
      </w:r>
    </w:p>
    <w:p w14:paraId="255518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312" w:name="_Toc191892317"/>
      <w:bookmarkStart w:id="313" w:name="_Toc192925665"/>
    </w:p>
    <w:p w14:paraId="41FAC310">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314" w:name="_Toc25302"/>
      <w:bookmarkStart w:id="315" w:name="_Toc690"/>
      <w:bookmarkStart w:id="316" w:name="_Toc22128"/>
      <w:bookmarkStart w:id="317" w:name="_Toc209383625"/>
      <w:bookmarkStart w:id="318" w:name="_Toc7103"/>
      <w:bookmarkStart w:id="319" w:name="_Toc27443"/>
      <w:bookmarkStart w:id="320" w:name="_Toc17960"/>
      <w:bookmarkStart w:id="321" w:name="_Toc13697"/>
      <w:bookmarkStart w:id="322" w:name="_Toc32013"/>
      <w:bookmarkStart w:id="323" w:name="_Toc26702"/>
      <w:bookmarkStart w:id="324" w:name="_Toc4497"/>
      <w:r>
        <w:rPr>
          <w:rFonts w:hint="eastAsia" w:ascii="仿宋" w:hAnsi="仿宋" w:eastAsia="仿宋"/>
          <w:color w:val="000000" w:themeColor="text1"/>
          <w:sz w:val="32"/>
          <w:highlight w:val="none"/>
          <w14:textFill>
            <w14:solidFill>
              <w14:schemeClr w14:val="tx1"/>
            </w14:solidFill>
          </w14:textFill>
        </w:rPr>
        <w:t>第五节  投标文件的评估和比较</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2508D84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25" w:name="_Toc19349"/>
      <w:bookmarkStart w:id="326" w:name="_Toc192925666"/>
      <w:bookmarkStart w:id="327" w:name="_Toc15098"/>
      <w:bookmarkStart w:id="328" w:name="_Toc191892318"/>
      <w:bookmarkStart w:id="329" w:name="_Toc1902"/>
      <w:bookmarkStart w:id="330" w:name="_Toc14213"/>
      <w:bookmarkStart w:id="331" w:name="_Toc29010"/>
      <w:bookmarkStart w:id="332" w:name="_Toc209383626"/>
      <w:bookmarkStart w:id="333" w:name="_Toc30863"/>
      <w:bookmarkStart w:id="334" w:name="_Toc16715"/>
      <w:bookmarkStart w:id="335" w:name="_Toc1241"/>
      <w:bookmarkStart w:id="336" w:name="_Toc21362"/>
      <w:bookmarkStart w:id="337" w:name="_Toc15809"/>
      <w:r>
        <w:rPr>
          <w:rFonts w:hint="eastAsia" w:ascii="仿宋" w:hAnsi="仿宋" w:eastAsia="仿宋"/>
          <w:color w:val="000000" w:themeColor="text1"/>
          <w:sz w:val="32"/>
          <w:highlight w:val="none"/>
          <w14:textFill>
            <w14:solidFill>
              <w14:schemeClr w14:val="tx1"/>
            </w14:solidFill>
          </w14:textFill>
        </w:rPr>
        <w:t>15．开标、评标时间</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F1F4B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15.1 在“投标人须知前附表”（有延期通知的以延期通知为准）中所规定的时间、地点开标。</w:t>
      </w:r>
    </w:p>
    <w:p w14:paraId="0B5359C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15.2招标人负责组建评标委员会，评标委员会负责评标工作。</w:t>
      </w:r>
    </w:p>
    <w:p w14:paraId="433FD0B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15.3本项目采用综合评分法评选方法评定，公司纪检人员进行监督。</w:t>
      </w:r>
    </w:p>
    <w:p w14:paraId="12D90F24">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38" w:name="_Toc209383627"/>
      <w:bookmarkStart w:id="339" w:name="_Toc13004"/>
      <w:bookmarkStart w:id="340" w:name="_Toc13051"/>
      <w:bookmarkStart w:id="341" w:name="_Toc11704"/>
      <w:bookmarkStart w:id="342" w:name="_Toc16785"/>
      <w:bookmarkStart w:id="343" w:name="_Toc17714"/>
      <w:bookmarkStart w:id="344" w:name="_Toc32401"/>
      <w:bookmarkStart w:id="345" w:name="_Toc11397"/>
      <w:bookmarkStart w:id="346" w:name="_Toc23929"/>
      <w:bookmarkStart w:id="347" w:name="_Toc26462"/>
      <w:bookmarkStart w:id="348" w:name="_Toc25710"/>
      <w:r>
        <w:rPr>
          <w:rFonts w:hint="eastAsia" w:ascii="仿宋" w:hAnsi="仿宋" w:eastAsia="仿宋"/>
          <w:color w:val="000000" w:themeColor="text1"/>
          <w:sz w:val="32"/>
          <w:highlight w:val="none"/>
          <w14:textFill>
            <w14:solidFill>
              <w14:schemeClr w14:val="tx1"/>
            </w14:solidFill>
          </w14:textFill>
        </w:rPr>
        <w:t>16．评标委员会</w:t>
      </w:r>
      <w:bookmarkEnd w:id="338"/>
      <w:bookmarkEnd w:id="339"/>
      <w:bookmarkEnd w:id="340"/>
      <w:bookmarkEnd w:id="341"/>
      <w:bookmarkEnd w:id="342"/>
      <w:bookmarkEnd w:id="343"/>
      <w:bookmarkEnd w:id="344"/>
      <w:bookmarkEnd w:id="345"/>
      <w:bookmarkEnd w:id="346"/>
      <w:bookmarkEnd w:id="347"/>
      <w:bookmarkEnd w:id="348"/>
    </w:p>
    <w:p w14:paraId="2F02E8B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1DAD91CF">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49" w:name="_Toc191892320"/>
      <w:bookmarkStart w:id="350" w:name="_Toc2478"/>
      <w:bookmarkStart w:id="351" w:name="_Toc30400"/>
      <w:bookmarkStart w:id="352" w:name="_Toc6723"/>
      <w:bookmarkStart w:id="353" w:name="_Toc31217"/>
      <w:bookmarkStart w:id="354" w:name="_Toc192925668"/>
      <w:bookmarkStart w:id="355" w:name="_Toc7267"/>
      <w:bookmarkStart w:id="356" w:name="_Toc209383628"/>
      <w:bookmarkStart w:id="357" w:name="_Toc11915"/>
      <w:bookmarkStart w:id="358" w:name="_Toc12880"/>
      <w:bookmarkStart w:id="359" w:name="_Toc12591"/>
      <w:bookmarkStart w:id="360" w:name="_Toc8822"/>
      <w:bookmarkStart w:id="361" w:name="_Toc7119"/>
      <w:r>
        <w:rPr>
          <w:rFonts w:hint="eastAsia" w:ascii="仿宋" w:hAnsi="仿宋" w:eastAsia="仿宋"/>
          <w:color w:val="000000" w:themeColor="text1"/>
          <w:sz w:val="32"/>
          <w:highlight w:val="none"/>
          <w14:textFill>
            <w14:solidFill>
              <w14:schemeClr w14:val="tx1"/>
            </w14:solidFill>
          </w14:textFill>
        </w:rPr>
        <w:t>17</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投标文件的初审</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2A611B5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对所有投标人的评估，都采用相同的程序和标准。评议过程将严格按照招标文件的要求和条件进行。</w:t>
      </w:r>
    </w:p>
    <w:p w14:paraId="01FF25C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有关投标文件的审查、澄清、评估和比较以及推荐中标候选人的一切情况，都不得透露给任一投标人或与上述评标工作无关的人员。</w:t>
      </w:r>
    </w:p>
    <w:p w14:paraId="28FFFF6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投标人任何试图影响评委会对投标文件的评估、比较或者推荐候选人的行为，都将导致其投标被拒绝，并被没收投标保证金。</w:t>
      </w:r>
    </w:p>
    <w:p w14:paraId="4103926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17.1评标委员会将对投标文件进行审查，以确定投标文件是否完整、有无计算上的错误、是否提交了投标保证金、文件是否已正确签署。</w:t>
      </w:r>
    </w:p>
    <w:p w14:paraId="5136EBC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17.2 算术错误将按以下方法更正：</w:t>
      </w:r>
    </w:p>
    <w:p w14:paraId="10318E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如投标文件中“开标一览表(报价表)”内容与投标文件中的明细表内容不一致的，以“开标一览表(报价表)”为准。</w:t>
      </w:r>
    </w:p>
    <w:p w14:paraId="60D750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293887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如果投标人不接受按上述方法对投标文件中的算术错误进行更正，其投标将被拒绝并没收其投标保证金。</w:t>
      </w:r>
    </w:p>
    <w:p w14:paraId="36E5EBE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17.3 资格性检查和符合性检查 </w:t>
      </w:r>
    </w:p>
    <w:p w14:paraId="458446B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45ED11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33D5F73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实质性偏离是指：（</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）实质性影响合同的范围、质量和履行；（</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）不公正地影响了其它作出实质性响应的投标人的竞争地位。</w:t>
      </w:r>
    </w:p>
    <w:p w14:paraId="4A2898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对没有实质性响应的投标文件将不进行评估，其投标将被拒绝。</w:t>
      </w:r>
    </w:p>
    <w:p w14:paraId="72534738">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凡有</w:t>
      </w:r>
      <w:r>
        <w:rPr>
          <w:rFonts w:hint="eastAsia" w:ascii="仿宋" w:hAnsi="仿宋" w:eastAsia="仿宋"/>
          <w:b/>
          <w:color w:val="000000" w:themeColor="text1"/>
          <w:sz w:val="32"/>
          <w:szCs w:val="32"/>
          <w:highlight w:val="none"/>
          <w14:textFill>
            <w14:solidFill>
              <w14:schemeClr w14:val="tx1"/>
            </w14:solidFill>
          </w14:textFill>
        </w:rPr>
        <w:t>下列情况之一</w:t>
      </w:r>
      <w:r>
        <w:rPr>
          <w:rFonts w:hint="eastAsia" w:ascii="仿宋" w:hAnsi="仿宋" w:eastAsia="仿宋"/>
          <w:color w:val="000000" w:themeColor="text1"/>
          <w:sz w:val="32"/>
          <w:szCs w:val="32"/>
          <w:highlight w:val="none"/>
          <w14:textFill>
            <w14:solidFill>
              <w14:schemeClr w14:val="tx1"/>
            </w14:solidFill>
          </w14:textFill>
        </w:rPr>
        <w:t>者，投标文件也将被视为</w:t>
      </w:r>
      <w:r>
        <w:rPr>
          <w:rFonts w:hint="eastAsia" w:ascii="仿宋" w:hAnsi="仿宋" w:eastAsia="仿宋"/>
          <w:b/>
          <w:color w:val="000000" w:themeColor="text1"/>
          <w:sz w:val="32"/>
          <w:szCs w:val="32"/>
          <w:highlight w:val="none"/>
          <w14:textFill>
            <w14:solidFill>
              <w14:schemeClr w14:val="tx1"/>
            </w14:solidFill>
          </w14:textFill>
        </w:rPr>
        <w:t>未实质性响应招标文件要求：</w:t>
      </w:r>
    </w:p>
    <w:p w14:paraId="5F156EB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 投标文件未按照本须知第14条的规定进行密封、标记的；</w:t>
      </w:r>
    </w:p>
    <w:p w14:paraId="395E04BF">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(2) 未按规定由投标人的法定代表人或其授权代表签字，或未加盖投标人公章的；或签字人未提供法定代表人有效授权委托书原件的；</w:t>
      </w:r>
    </w:p>
    <w:p w14:paraId="694EA70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(3) 未按规定提交投标保证金的；</w:t>
      </w:r>
    </w:p>
    <w:p w14:paraId="12047DFC">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(4) 投标有效期不满足招标文件要求的；</w:t>
      </w:r>
    </w:p>
    <w:p w14:paraId="27F2DF8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(5) 投标内容与招标内容及要求有重大偏离或保留的；</w:t>
      </w:r>
    </w:p>
    <w:p w14:paraId="0B17C6DA">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(6) 投标人提交的是可选择的报价；</w:t>
      </w:r>
    </w:p>
    <w:p w14:paraId="7E62D2B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(7) 投标人未按规定对投标进行分项报价；</w:t>
      </w:r>
    </w:p>
    <w:p w14:paraId="3CA64491">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(8) 一个投标人对同一个合同包不止投一个标的；</w:t>
      </w:r>
    </w:p>
    <w:p w14:paraId="79C86BC8">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(9) 投标文件组成不符合招标文件要求的；</w:t>
      </w:r>
    </w:p>
    <w:p w14:paraId="4F606D33">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(10) 投标文件中提供虚假或失实资料的；</w:t>
      </w:r>
    </w:p>
    <w:p w14:paraId="480781D1">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(11) 不符合招标文件中规定的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号条款或其它实质性条款要求的。</w:t>
      </w:r>
    </w:p>
    <w:p w14:paraId="1B61D1B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投标人存在</w:t>
      </w:r>
      <w:r>
        <w:rPr>
          <w:rFonts w:hint="eastAsia" w:ascii="仿宋" w:hAnsi="仿宋" w:eastAsia="仿宋"/>
          <w:b/>
          <w:bCs/>
          <w:color w:val="000000" w:themeColor="text1"/>
          <w:sz w:val="32"/>
          <w:szCs w:val="32"/>
          <w:highlight w:val="none"/>
          <w14:textFill>
            <w14:solidFill>
              <w14:schemeClr w14:val="tx1"/>
            </w14:solidFill>
          </w14:textFill>
        </w:rPr>
        <w:t>下列情形之一</w:t>
      </w:r>
      <w:r>
        <w:rPr>
          <w:rFonts w:hint="eastAsia" w:ascii="仿宋" w:hAnsi="仿宋" w:eastAsia="仿宋"/>
          <w:color w:val="000000" w:themeColor="text1"/>
          <w:sz w:val="32"/>
          <w:szCs w:val="32"/>
          <w:highlight w:val="none"/>
          <w14:textFill>
            <w14:solidFill>
              <w14:schemeClr w14:val="tx1"/>
            </w14:solidFill>
          </w14:textFill>
        </w:rPr>
        <w:t>的，将被认定为</w:t>
      </w:r>
      <w:r>
        <w:rPr>
          <w:rFonts w:hint="eastAsia" w:ascii="仿宋" w:hAnsi="仿宋" w:eastAsia="仿宋"/>
          <w:b/>
          <w:bCs/>
          <w:color w:val="000000" w:themeColor="text1"/>
          <w:sz w:val="32"/>
          <w:szCs w:val="32"/>
          <w:highlight w:val="none"/>
          <w14:textFill>
            <w14:solidFill>
              <w14:schemeClr w14:val="tx1"/>
            </w14:solidFill>
          </w14:textFill>
        </w:rPr>
        <w:t>串通投标行为并作无效投标处理</w:t>
      </w:r>
      <w:r>
        <w:rPr>
          <w:rFonts w:hint="eastAsia" w:ascii="仿宋" w:hAnsi="仿宋" w:eastAsia="仿宋"/>
          <w:color w:val="000000" w:themeColor="text1"/>
          <w:sz w:val="32"/>
          <w:szCs w:val="32"/>
          <w:highlight w:val="none"/>
          <w14:textFill>
            <w14:solidFill>
              <w14:schemeClr w14:val="tx1"/>
            </w14:solidFill>
          </w14:textFill>
        </w:rPr>
        <w:t>：</w:t>
      </w:r>
    </w:p>
    <w:p w14:paraId="3C47D7A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（1）投标人之间协商投标报价等投标文件的实质性内容；</w:t>
      </w:r>
    </w:p>
    <w:p w14:paraId="48153B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（2）投标人之间约定中标供应商；</w:t>
      </w:r>
    </w:p>
    <w:p w14:paraId="5ECB25A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（3）投标人之间约定部分投标人放弃投标或者中标；</w:t>
      </w:r>
    </w:p>
    <w:p w14:paraId="3E5618C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（4）属于同一集团、协会、商会等组织成员的投标人按照该组织要求协同投标；</w:t>
      </w:r>
    </w:p>
    <w:p w14:paraId="0E19C14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（5）投标人之间为谋取中标或者排斥特定投标人而采取的其他联合行动；</w:t>
      </w:r>
    </w:p>
    <w:p w14:paraId="4CDF37B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（6）不同投标人的投标文件由同一单位或者个人编制；</w:t>
      </w:r>
    </w:p>
    <w:p w14:paraId="17C337E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（7）不同投标人委托同一单位或者个人办理投标事宜；</w:t>
      </w:r>
    </w:p>
    <w:p w14:paraId="487AD37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（8）不同投标人的投标文件载明的项目管理成员为同一人；</w:t>
      </w:r>
    </w:p>
    <w:p w14:paraId="0294950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（9）不同投标人的投标文件异常一致或者投标报价呈规律性差异；</w:t>
      </w:r>
    </w:p>
    <w:p w14:paraId="111B84B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（10）不同投标人的投标文件相互混装；</w:t>
      </w:r>
    </w:p>
    <w:p w14:paraId="515790A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（11）不同投标人的投标保证金从同一单位或者个人的账户转出。</w:t>
      </w:r>
    </w:p>
    <w:p w14:paraId="4A93E65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（12）不同投标人的投标文件错、漏之处一致或雷同，且不能合理解释的；</w:t>
      </w:r>
    </w:p>
    <w:p w14:paraId="3C2671C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（13）不同的投标人的法定代表人、委托代理人等由同一个单位缴纳社会保险的；</w:t>
      </w:r>
    </w:p>
    <w:p w14:paraId="37FB760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7B9A78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（15）有关法律、法规或规章规定的其他串通投标行为。</w:t>
      </w:r>
    </w:p>
    <w:p w14:paraId="441D54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评标委员会决定投标的响应性，只根据投标文件本身的内容，而不寻求其他的外部证据。</w:t>
      </w:r>
    </w:p>
    <w:p w14:paraId="7F2C9CE8">
      <w:pPr>
        <w:pStyle w:val="4"/>
        <w:spacing w:line="500" w:lineRule="exact"/>
        <w:rPr>
          <w:rFonts w:ascii="仿宋" w:hAnsi="仿宋" w:eastAsia="仿宋"/>
          <w:color w:val="000000" w:themeColor="text1"/>
          <w:sz w:val="32"/>
          <w:highlight w:val="none"/>
          <w14:textFill>
            <w14:solidFill>
              <w14:schemeClr w14:val="tx1"/>
            </w14:solidFill>
          </w14:textFill>
        </w:rPr>
      </w:pPr>
      <w:bookmarkStart w:id="362" w:name="_Toc27310"/>
      <w:bookmarkStart w:id="363" w:name="_Toc17818"/>
      <w:bookmarkStart w:id="364" w:name="_Toc1129"/>
      <w:bookmarkStart w:id="365" w:name="_Toc13679"/>
      <w:bookmarkStart w:id="366" w:name="_Toc209383629"/>
      <w:bookmarkStart w:id="367" w:name="_Toc7861"/>
      <w:bookmarkStart w:id="368" w:name="_Toc18187"/>
      <w:bookmarkStart w:id="369" w:name="_Toc29617"/>
      <w:bookmarkStart w:id="370" w:name="_Toc32363"/>
      <w:bookmarkStart w:id="371" w:name="_Toc26680"/>
      <w:bookmarkStart w:id="372" w:name="_Toc10359"/>
      <w:r>
        <w:rPr>
          <w:rFonts w:hint="eastAsia" w:ascii="仿宋" w:hAnsi="仿宋" w:eastAsia="仿宋"/>
          <w:color w:val="000000" w:themeColor="text1"/>
          <w:sz w:val="32"/>
          <w:highlight w:val="none"/>
          <w14:textFill>
            <w14:solidFill>
              <w14:schemeClr w14:val="tx1"/>
            </w14:solidFill>
          </w14:textFill>
        </w:rPr>
        <w:t>18.</w:t>
      </w:r>
      <w:r>
        <w:rPr>
          <w:rFonts w:hint="eastAsia" w:ascii="仿宋" w:hAnsi="仿宋" w:eastAsia="仿宋"/>
          <w:color w:val="000000" w:themeColor="text1"/>
          <w:sz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评标办法</w:t>
      </w:r>
      <w:bookmarkEnd w:id="362"/>
      <w:bookmarkEnd w:id="363"/>
      <w:bookmarkEnd w:id="364"/>
      <w:bookmarkEnd w:id="365"/>
      <w:bookmarkEnd w:id="366"/>
      <w:bookmarkEnd w:id="367"/>
      <w:bookmarkEnd w:id="368"/>
      <w:bookmarkEnd w:id="369"/>
      <w:bookmarkEnd w:id="370"/>
      <w:bookmarkEnd w:id="371"/>
      <w:bookmarkEnd w:id="372"/>
    </w:p>
    <w:p w14:paraId="55B82335">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本次招标采用综合评分法评标。</w:t>
      </w:r>
    </w:p>
    <w:p w14:paraId="29FA715B">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18.1 评标办法</w:t>
      </w:r>
    </w:p>
    <w:p w14:paraId="55819CD7">
      <w:pPr>
        <w:widowControl/>
        <w:adjustRightInd w:val="0"/>
        <w:snapToGrid w:val="0"/>
        <w:spacing w:beforeLines="25" w:afterLines="25"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初审合格（即资格性、符合性检查合格并按其他相关条款审查后）的投标人在三家以上（含三家）的，评标委员会将按以下评标方法与标准，对初审合格的投标文件进行商务和技术评估，综合比较与评价。</w:t>
      </w:r>
    </w:p>
    <w:p w14:paraId="7B642302">
      <w:pPr>
        <w:numPr>
          <w:ilvl w:val="0"/>
          <w:numId w:val="1"/>
        </w:numPr>
        <w:spacing w:line="500" w:lineRule="exact"/>
        <w:ind w:firstLine="472" w:firstLineChars="147"/>
        <w:rPr>
          <w:rFonts w:ascii="仿宋" w:hAnsi="仿宋" w:eastAsia="仿宋" w:cs="华文细黑"/>
          <w:b/>
          <w:color w:val="000000" w:themeColor="text1"/>
          <w:sz w:val="32"/>
          <w:szCs w:val="32"/>
          <w:highlight w:val="none"/>
          <w14:textFill>
            <w14:solidFill>
              <w14:schemeClr w14:val="tx1"/>
            </w14:solidFill>
          </w14:textFill>
        </w:rPr>
      </w:pPr>
      <w:r>
        <w:rPr>
          <w:rStyle w:val="19"/>
          <w:rFonts w:hint="eastAsia" w:ascii="仿宋" w:hAnsi="仿宋" w:eastAsia="仿宋" w:cs="华文细黑"/>
          <w:color w:val="000000" w:themeColor="text1"/>
          <w:sz w:val="32"/>
          <w:szCs w:val="32"/>
          <w:highlight w:val="none"/>
          <w14:textFill>
            <w14:solidFill>
              <w14:schemeClr w14:val="tx1"/>
            </w14:solidFill>
          </w14:textFill>
        </w:rPr>
        <w:t>技术分</w:t>
      </w:r>
      <w:r>
        <w:rPr>
          <w:rStyle w:val="19"/>
          <w:rFonts w:ascii="仿宋" w:hAnsi="仿宋" w:eastAsia="仿宋" w:cs="华文细黑"/>
          <w:color w:val="000000" w:themeColor="text1"/>
          <w:sz w:val="32"/>
          <w:szCs w:val="32"/>
          <w:highlight w:val="none"/>
          <w14:textFill>
            <w14:solidFill>
              <w14:schemeClr w14:val="tx1"/>
            </w14:solidFill>
          </w14:textFill>
        </w:rPr>
        <w:t>F1（</w:t>
      </w:r>
      <w:r>
        <w:rPr>
          <w:rFonts w:hint="eastAsia" w:ascii="仿宋" w:hAnsi="仿宋" w:eastAsia="仿宋" w:cs="华文细黑"/>
          <w:b/>
          <w:color w:val="000000" w:themeColor="text1"/>
          <w:sz w:val="32"/>
          <w:szCs w:val="32"/>
          <w:highlight w:val="none"/>
          <w14:textFill>
            <w14:solidFill>
              <w14:schemeClr w14:val="tx1"/>
            </w14:solidFill>
          </w14:textFill>
        </w:rPr>
        <w:t>满分</w:t>
      </w:r>
      <w:r>
        <w:rPr>
          <w:rFonts w:ascii="仿宋" w:hAnsi="仿宋" w:eastAsia="仿宋" w:cs="华文细黑"/>
          <w:color w:val="000000" w:themeColor="text1"/>
          <w:sz w:val="32"/>
          <w:szCs w:val="32"/>
          <w:highlight w:val="none"/>
          <w14:textFill>
            <w14:solidFill>
              <w14:schemeClr w14:val="tx1"/>
            </w14:solidFill>
          </w14:textFill>
        </w:rPr>
        <w:t>5</w:t>
      </w:r>
      <w:r>
        <w:rPr>
          <w:rFonts w:hint="eastAsia" w:ascii="仿宋" w:hAnsi="仿宋" w:eastAsia="仿宋" w:cs="华文细黑"/>
          <w:color w:val="000000" w:themeColor="text1"/>
          <w:sz w:val="32"/>
          <w:szCs w:val="32"/>
          <w:highlight w:val="none"/>
          <w:lang w:val="en-US" w:eastAsia="zh-CN"/>
          <w14:textFill>
            <w14:solidFill>
              <w14:schemeClr w14:val="tx1"/>
            </w14:solidFill>
          </w14:textFill>
        </w:rPr>
        <w:t>5</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51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DE75D00">
            <w:pPr>
              <w:spacing w:line="480" w:lineRule="exact"/>
              <w:jc w:val="center"/>
              <w:rPr>
                <w:rFonts w:ascii="仿宋" w:hAnsi="仿宋" w:eastAsia="仿宋"/>
                <w:b/>
                <w:color w:val="000000" w:themeColor="text1"/>
                <w:sz w:val="32"/>
                <w:szCs w:val="32"/>
                <w:highlight w:val="none"/>
                <w14:textFill>
                  <w14:solidFill>
                    <w14:schemeClr w14:val="tx1"/>
                  </w14:solidFill>
                </w14:textFill>
              </w:rPr>
            </w:pPr>
            <w:bookmarkStart w:id="373" w:name="_Hlk209380950"/>
            <w:r>
              <w:rPr>
                <w:rFonts w:hint="eastAsia" w:ascii="仿宋" w:hAnsi="仿宋" w:eastAsia="仿宋"/>
                <w:b/>
                <w:color w:val="000000" w:themeColor="text1"/>
                <w:sz w:val="32"/>
                <w:szCs w:val="32"/>
                <w:highlight w:val="none"/>
                <w14:textFill>
                  <w14:solidFill>
                    <w14:schemeClr w14:val="tx1"/>
                  </w14:solidFill>
                </w14:textFill>
              </w:rPr>
              <w:t>序号</w:t>
            </w:r>
          </w:p>
        </w:tc>
        <w:tc>
          <w:tcPr>
            <w:tcW w:w="7906" w:type="dxa"/>
            <w:vAlign w:val="center"/>
          </w:tcPr>
          <w:p w14:paraId="091A229E">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评分界定</w:t>
            </w:r>
          </w:p>
        </w:tc>
        <w:tc>
          <w:tcPr>
            <w:tcW w:w="882" w:type="dxa"/>
            <w:vAlign w:val="center"/>
          </w:tcPr>
          <w:p w14:paraId="74FD6724">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满分分值</w:t>
            </w:r>
          </w:p>
        </w:tc>
      </w:tr>
      <w:tr w14:paraId="24A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68B613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w:t>
            </w:r>
          </w:p>
        </w:tc>
        <w:tc>
          <w:tcPr>
            <w:tcW w:w="7906" w:type="dxa"/>
            <w:vAlign w:val="center"/>
          </w:tcPr>
          <w:p w14:paraId="1D50C13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cs="仿宋_GB2312"/>
                <w:b/>
                <w:bCs/>
                <w:color w:val="000000" w:themeColor="text1"/>
                <w:kern w:val="0"/>
                <w:sz w:val="24"/>
                <w:highlight w:val="none"/>
                <w14:textFill>
                  <w14:solidFill>
                    <w14:schemeClr w14:val="tx1"/>
                  </w14:solidFill>
                </w14:textFill>
              </w:rPr>
              <w:t>整体服务方案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77E078F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w:t>
            </w:r>
            <w:r>
              <w:rPr>
                <w:rFonts w:ascii="仿宋" w:hAnsi="仿宋" w:eastAsia="仿宋" w:cs="宋体"/>
                <w:bCs/>
                <w:color w:val="000000" w:themeColor="text1"/>
                <w:sz w:val="24"/>
                <w:highlight w:val="none"/>
                <w14:textFill>
                  <w14:solidFill>
                    <w14:schemeClr w14:val="tx1"/>
                  </w14:solidFill>
                </w14:textFill>
              </w:rPr>
              <w:t>结合项目情况</w:t>
            </w:r>
            <w:r>
              <w:rPr>
                <w:rFonts w:hint="eastAsia" w:ascii="仿宋" w:hAnsi="仿宋" w:eastAsia="仿宋" w:cs="宋体"/>
                <w:color w:val="000000" w:themeColor="text1"/>
                <w:sz w:val="24"/>
                <w:highlight w:val="none"/>
                <w14:textFill>
                  <w14:solidFill>
                    <w14:schemeClr w14:val="tx1"/>
                  </w14:solidFill>
                </w14:textFill>
              </w:rPr>
              <w:t>提供整体服务方案，明确服务流程、方法和预计效果的得</w:t>
            </w:r>
            <w:r>
              <w:rPr>
                <w:rFonts w:ascii="仿宋" w:hAnsi="仿宋" w:eastAsia="仿宋" w:cs="宋体"/>
                <w:color w:val="000000" w:themeColor="text1"/>
                <w:sz w:val="24"/>
                <w:highlight w:val="none"/>
                <w14:textFill>
                  <w14:solidFill>
                    <w14:schemeClr w14:val="tx1"/>
                  </w14:solidFill>
                </w14:textFill>
              </w:rPr>
              <w:t>2.5分</w:t>
            </w:r>
            <w:r>
              <w:rPr>
                <w:rFonts w:hint="eastAsia" w:ascii="仿宋" w:hAnsi="仿宋" w:eastAsia="仿宋" w:cs="仿宋_GB2312"/>
                <w:color w:val="000000" w:themeColor="text1"/>
                <w:kern w:val="0"/>
                <w:sz w:val="24"/>
                <w:highlight w:val="none"/>
                <w14:textFill>
                  <w14:solidFill>
                    <w14:schemeClr w14:val="tx1"/>
                  </w14:solidFill>
                </w14:textFill>
              </w:rPr>
              <w:t>；</w:t>
            </w:r>
            <w:r>
              <w:rPr>
                <w:rFonts w:ascii="仿宋" w:hAnsi="仿宋" w:eastAsia="仿宋" w:cs="仿宋_GB2312"/>
                <w:color w:val="000000" w:themeColor="text1"/>
                <w:kern w:val="0"/>
                <w:sz w:val="24"/>
                <w:highlight w:val="none"/>
                <w14:textFill>
                  <w14:solidFill>
                    <w14:schemeClr w14:val="tx1"/>
                  </w14:solidFill>
                </w14:textFill>
              </w:rPr>
              <w:t xml:space="preserve"> </w:t>
            </w:r>
          </w:p>
          <w:p w14:paraId="36F68F30">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②在满足①的基础上，方案内容包括但不限于</w:t>
            </w:r>
            <w:r>
              <w:rPr>
                <w:rFonts w:hint="eastAsia" w:ascii="仿宋" w:hAnsi="仿宋" w:eastAsia="仿宋" w:cs="宋体"/>
                <w:color w:val="000000" w:themeColor="text1"/>
                <w:sz w:val="24"/>
                <w:highlight w:val="none"/>
                <w14:textFill>
                  <w14:solidFill>
                    <w14:schemeClr w14:val="tx1"/>
                  </w14:solidFill>
                </w14:textFill>
              </w:rPr>
              <w:t>服务人员安排、现场协调管理</w:t>
            </w:r>
            <w:r>
              <w:rPr>
                <w:rFonts w:hint="eastAsia" w:ascii="仿宋" w:hAnsi="仿宋" w:eastAsia="仿宋" w:cs="仿宋_GB2312"/>
                <w:color w:val="000000" w:themeColor="text1"/>
                <w:kern w:val="0"/>
                <w:sz w:val="24"/>
                <w:highlight w:val="none"/>
                <w14:textFill>
                  <w14:solidFill>
                    <w14:schemeClr w14:val="tx1"/>
                  </w14:solidFill>
                </w14:textFill>
              </w:rPr>
              <w:t>、服务质量控制方式，能确保项目实施并达到预期目标的得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363A2DA6">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2CEEC78E">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735F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1C38E5D">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p>
        </w:tc>
        <w:tc>
          <w:tcPr>
            <w:tcW w:w="7906" w:type="dxa"/>
            <w:vAlign w:val="center"/>
          </w:tcPr>
          <w:p w14:paraId="214F6D7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cs="仿宋_GB2312"/>
                <w:b/>
                <w:bCs/>
                <w:color w:val="000000" w:themeColor="text1"/>
                <w:kern w:val="0"/>
                <w:sz w:val="24"/>
                <w:highlight w:val="none"/>
                <w14:textFill>
                  <w14:solidFill>
                    <w14:schemeClr w14:val="tx1"/>
                  </w14:solidFill>
                </w14:textFill>
              </w:rPr>
              <w:t>服务质量保障措施</w:t>
            </w:r>
            <w:r>
              <w:rPr>
                <w:rFonts w:hint="eastAsia" w:ascii="仿宋" w:hAnsi="仿宋" w:eastAsia="仿宋" w:cs="仿宋_GB2312"/>
                <w:color w:val="000000" w:themeColor="text1"/>
                <w:kern w:val="0"/>
                <w:sz w:val="24"/>
                <w:highlight w:val="none"/>
                <w14:textFill>
                  <w14:solidFill>
                    <w14:schemeClr w14:val="tx1"/>
                  </w14:solidFill>
                </w14:textFill>
              </w:rPr>
              <w:t>进行评价：</w:t>
            </w:r>
          </w:p>
          <w:p w14:paraId="51FD0041">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w:t>
            </w:r>
            <w:r>
              <w:rPr>
                <w:rFonts w:ascii="仿宋" w:hAnsi="仿宋" w:eastAsia="仿宋" w:cs="宋体"/>
                <w:bCs/>
                <w:color w:val="000000" w:themeColor="text1"/>
                <w:sz w:val="24"/>
                <w:highlight w:val="none"/>
                <w14:textFill>
                  <w14:solidFill>
                    <w14:schemeClr w14:val="tx1"/>
                  </w14:solidFill>
                </w14:textFill>
              </w:rPr>
              <w:t>结合项目情况</w:t>
            </w:r>
            <w:r>
              <w:rPr>
                <w:rFonts w:hint="eastAsia" w:ascii="仿宋" w:hAnsi="仿宋" w:eastAsia="仿宋" w:cs="仿宋_GB2312"/>
                <w:color w:val="000000" w:themeColor="text1"/>
                <w:kern w:val="0"/>
                <w:sz w:val="24"/>
                <w:highlight w:val="none"/>
                <w14:textFill>
                  <w14:solidFill>
                    <w14:schemeClr w14:val="tx1"/>
                  </w14:solidFill>
                </w14:textFill>
              </w:rPr>
              <w:t>提供服务质量保障措施，且满足本项目采购需求的得</w:t>
            </w:r>
            <w:r>
              <w:rPr>
                <w:rFonts w:ascii="仿宋" w:hAnsi="仿宋" w:eastAsia="仿宋" w:cs="仿宋_GB2312"/>
                <w:color w:val="000000" w:themeColor="text1"/>
                <w:kern w:val="0"/>
                <w:sz w:val="24"/>
                <w:highlight w:val="none"/>
                <w14:textFill>
                  <w14:solidFill>
                    <w14:schemeClr w14:val="tx1"/>
                  </w14:solidFill>
                </w14:textFill>
              </w:rPr>
              <w:t xml:space="preserve">2.5分； </w:t>
            </w:r>
          </w:p>
          <w:p w14:paraId="7499EA7B">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②在满足①的基础上，服务质量保障措施内容完整，对服务过程中的关键节点有具体质量控制措施，有相应的人力、物力投入安排，能够确保服务质量的得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7CA16163">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6C17A50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31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B6EE98E">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p>
        </w:tc>
        <w:tc>
          <w:tcPr>
            <w:tcW w:w="7906" w:type="dxa"/>
            <w:vAlign w:val="center"/>
          </w:tcPr>
          <w:p w14:paraId="2A1D7FF0">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b/>
                <w:bCs/>
                <w:color w:val="000000" w:themeColor="text1"/>
                <w:kern w:val="0"/>
                <w:sz w:val="24"/>
                <w:highlight w:val="none"/>
                <w14:textFill>
                  <w14:solidFill>
                    <w14:schemeClr w14:val="tx1"/>
                  </w14:solidFill>
                </w14:textFill>
              </w:rPr>
              <w:t>突发事件处理应急方案</w:t>
            </w:r>
            <w:r>
              <w:rPr>
                <w:rFonts w:hint="eastAsia" w:ascii="仿宋" w:hAnsi="仿宋" w:eastAsia="仿宋"/>
                <w:color w:val="000000" w:themeColor="text1"/>
                <w:kern w:val="0"/>
                <w:sz w:val="24"/>
                <w:highlight w:val="none"/>
                <w14:textFill>
                  <w14:solidFill>
                    <w14:schemeClr w14:val="tx1"/>
                  </w14:solidFill>
                </w14:textFill>
              </w:rPr>
              <w:t>进行评价：</w:t>
            </w:r>
          </w:p>
          <w:p w14:paraId="430991B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①有根据</w:t>
            </w:r>
            <w:r>
              <w:rPr>
                <w:rFonts w:hint="eastAsia" w:ascii="仿宋" w:hAnsi="仿宋" w:eastAsia="仿宋"/>
                <w:color w:val="000000" w:themeColor="text1"/>
                <w:kern w:val="0"/>
                <w:sz w:val="24"/>
                <w:highlight w:val="none"/>
                <w14:textFill>
                  <w14:solidFill>
                    <w14:schemeClr w14:val="tx1"/>
                  </w14:solidFill>
                </w14:textFill>
              </w:rPr>
              <w:t>日常管理中常见的</w:t>
            </w:r>
            <w:r>
              <w:rPr>
                <w:rFonts w:hint="eastAsia" w:ascii="仿宋" w:hAnsi="仿宋" w:eastAsia="仿宋" w:cs="仿宋_GB2312"/>
                <w:color w:val="000000" w:themeColor="text1"/>
                <w:kern w:val="0"/>
                <w:sz w:val="24"/>
                <w:highlight w:val="none"/>
                <w14:textFill>
                  <w14:solidFill>
                    <w14:schemeClr w14:val="tx1"/>
                  </w14:solidFill>
                </w14:textFill>
              </w:rPr>
              <w:t>台风暴雨异常天气、突发事件，暴雨、运输车辆发生损坏、突发交通事故等</w:t>
            </w:r>
            <w:r>
              <w:rPr>
                <w:rFonts w:hint="eastAsia" w:ascii="仿宋" w:hAnsi="仿宋" w:eastAsia="仿宋"/>
                <w:color w:val="000000" w:themeColor="text1"/>
                <w:kern w:val="0"/>
                <w:sz w:val="24"/>
                <w:highlight w:val="none"/>
                <w14:textFill>
                  <w14:solidFill>
                    <w14:schemeClr w14:val="tx1"/>
                  </w14:solidFill>
                </w14:textFill>
              </w:rPr>
              <w:t>制定相应操作规程及措施的得</w:t>
            </w:r>
            <w:r>
              <w:rPr>
                <w:rFonts w:ascii="仿宋" w:hAnsi="仿宋" w:eastAsia="仿宋"/>
                <w:color w:val="000000" w:themeColor="text1"/>
                <w:kern w:val="0"/>
                <w:sz w:val="24"/>
                <w:highlight w:val="none"/>
                <w14:textFill>
                  <w14:solidFill>
                    <w14:schemeClr w14:val="tx1"/>
                  </w14:solidFill>
                </w14:textFill>
              </w:rPr>
              <w:t>2.5分；</w:t>
            </w:r>
          </w:p>
          <w:p w14:paraId="73480DE2">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针对各突发事件的处理及应对措施完整详细，具体可行，能有效、及时处理现场突发事件的得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p>
          <w:p w14:paraId="5021F69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18BDEE7C">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109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0756A58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w:t>
            </w:r>
          </w:p>
        </w:tc>
        <w:tc>
          <w:tcPr>
            <w:tcW w:w="7906" w:type="dxa"/>
            <w:vAlign w:val="center"/>
          </w:tcPr>
          <w:p w14:paraId="5A77F83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根据投标人针对本项目提供的</w:t>
            </w:r>
            <w:r>
              <w:rPr>
                <w:rFonts w:hint="eastAsia" w:ascii="仿宋" w:hAnsi="仿宋" w:eastAsia="仿宋" w:cs="宋体"/>
                <w:b/>
                <w:bCs/>
                <w:color w:val="000000" w:themeColor="text1"/>
                <w:sz w:val="24"/>
                <w:highlight w:val="none"/>
                <w14:textFill>
                  <w14:solidFill>
                    <w14:schemeClr w14:val="tx1"/>
                  </w14:solidFill>
                </w14:textFill>
              </w:rPr>
              <w:t>建筑垃圾清运方案</w:t>
            </w:r>
            <w:r>
              <w:rPr>
                <w:rFonts w:hint="eastAsia" w:ascii="仿宋" w:hAnsi="仿宋" w:eastAsia="仿宋" w:cs="宋体"/>
                <w:color w:val="000000" w:themeColor="text1"/>
                <w:sz w:val="24"/>
                <w:highlight w:val="none"/>
                <w14:textFill>
                  <w14:solidFill>
                    <w14:schemeClr w14:val="tx1"/>
                  </w14:solidFill>
                </w14:textFill>
              </w:rPr>
              <w:t>进行评价：</w:t>
            </w:r>
          </w:p>
          <w:p w14:paraId="20B8BFAA">
            <w:pPr>
              <w:pStyle w:val="23"/>
              <w:widowControl/>
              <w:numPr>
                <w:ilvl w:val="-1"/>
                <w:numId w:val="0"/>
              </w:numPr>
              <w:spacing w:line="420" w:lineRule="exact"/>
              <w:ind w:left="0" w:firstLine="0" w:firstLineChars="0"/>
              <w:rPr>
                <w:rFonts w:ascii="仿宋" w:hAnsi="仿宋" w:eastAsia="仿宋" w:cs="仿宋_GB2312"/>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仿宋" w:hAnsi="仿宋" w:eastAsia="仿宋" w:cs="宋体"/>
                <w:color w:val="000000" w:themeColor="text1"/>
                <w:sz w:val="24"/>
                <w:highlight w:val="none"/>
                <w14:textFill>
                  <w14:solidFill>
                    <w14:schemeClr w14:val="tx1"/>
                  </w14:solidFill>
                </w14:textFill>
              </w:rPr>
              <w:t>有提供建筑垃圾清运方案</w:t>
            </w:r>
            <w:r>
              <w:rPr>
                <w:rFonts w:hint="eastAsia" w:ascii="仿宋" w:hAnsi="仿宋" w:eastAsia="仿宋" w:cs="宋体"/>
                <w:bCs/>
                <w:color w:val="000000" w:themeColor="text1"/>
                <w:kern w:val="0"/>
                <w:sz w:val="24"/>
                <w:highlight w:val="none"/>
                <w14:textFill>
                  <w14:solidFill>
                    <w14:schemeClr w14:val="tx1"/>
                  </w14:solidFill>
                </w14:textFill>
              </w:rPr>
              <w:t>的得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 xml:space="preserve">； </w:t>
            </w:r>
          </w:p>
          <w:p w14:paraId="68BC279D">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②在满足①的基础上，方案有具体服务保障措施、作业规范，能够切实保证实施效果的得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74DC0A07">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07ABAA4">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EE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62F0C3C">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p>
        </w:tc>
        <w:tc>
          <w:tcPr>
            <w:tcW w:w="7906" w:type="dxa"/>
            <w:vAlign w:val="center"/>
          </w:tcPr>
          <w:p w14:paraId="49812A12">
            <w:pPr>
              <w:widowControl/>
              <w:spacing w:line="420" w:lineRule="exact"/>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根据投标人针对本项目提供的</w:t>
            </w:r>
            <w:r>
              <w:rPr>
                <w:rFonts w:hint="eastAsia" w:ascii="仿宋" w:hAnsi="仿宋" w:eastAsia="仿宋" w:cs="宋体"/>
                <w:b/>
                <w:bCs/>
                <w:color w:val="000000" w:themeColor="text1"/>
                <w:sz w:val="24"/>
                <w:highlight w:val="none"/>
                <w14:textFill>
                  <w14:solidFill>
                    <w14:schemeClr w14:val="tx1"/>
                  </w14:solidFill>
                </w14:textFill>
              </w:rPr>
              <w:t>服务人员培训方案</w:t>
            </w:r>
            <w:r>
              <w:rPr>
                <w:rFonts w:hint="eastAsia" w:ascii="仿宋" w:hAnsi="仿宋" w:eastAsia="仿宋" w:cs="宋体"/>
                <w:color w:val="000000" w:themeColor="text1"/>
                <w:sz w:val="24"/>
                <w:highlight w:val="none"/>
                <w14:textFill>
                  <w14:solidFill>
                    <w14:schemeClr w14:val="tx1"/>
                  </w14:solidFill>
                </w14:textFill>
              </w:rPr>
              <w:t>进行评价：</w:t>
            </w:r>
          </w:p>
          <w:p w14:paraId="63DDAEB4">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s="宋体"/>
                <w:color w:val="000000" w:themeColor="text1"/>
                <w:sz w:val="24"/>
                <w:highlight w:val="none"/>
                <w14:textFill>
                  <w14:solidFill>
                    <w14:schemeClr w14:val="tx1"/>
                  </w14:solidFill>
                </w14:textFill>
              </w:rPr>
              <w:t>有提供服务人员培训方案，内容包括培训计划、培训内容安排</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2.5分</w:t>
            </w:r>
            <w:r>
              <w:rPr>
                <w:rFonts w:hint="eastAsia" w:ascii="仿宋" w:hAnsi="仿宋" w:eastAsia="仿宋" w:cs="仿宋_GB2312"/>
                <w:color w:val="000000" w:themeColor="text1"/>
                <w:kern w:val="0"/>
                <w:sz w:val="24"/>
                <w:highlight w:val="none"/>
                <w14:textFill>
                  <w14:solidFill>
                    <w14:schemeClr w14:val="tx1"/>
                  </w14:solidFill>
                </w14:textFill>
              </w:rPr>
              <w:t>；</w:t>
            </w:r>
          </w:p>
          <w:p w14:paraId="6B0EEF39">
            <w:pPr>
              <w:widowControl/>
              <w:spacing w:line="420" w:lineRule="exact"/>
              <w:rPr>
                <w:rFonts w:hint="eastAsia" w:ascii="仿宋" w:hAnsi="仿宋" w:eastAsia="仿宋" w:cs="仿宋_GB2312"/>
                <w:color w:val="000000" w:themeColor="text1"/>
                <w:kern w:val="0"/>
                <w:sz w:val="24"/>
                <w:highlight w:val="none"/>
                <w:lang w:eastAsia="zh-CN"/>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color w:val="000000" w:themeColor="text1"/>
                <w:sz w:val="24"/>
                <w:highlight w:val="none"/>
                <w14:textFill>
                  <w14:solidFill>
                    <w14:schemeClr w14:val="tx1"/>
                  </w14:solidFill>
                </w14:textFill>
              </w:rPr>
              <w:t>以往有培训案例（提供培训现场照片），可有效提高人员服务质量，保证文明作业</w:t>
            </w:r>
            <w:r>
              <w:rPr>
                <w:rFonts w:hint="eastAsia" w:ascii="仿宋" w:hAnsi="仿宋" w:eastAsia="仿宋" w:cs="宋体"/>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同步提供</w:t>
            </w:r>
            <w:r>
              <w:rPr>
                <w:rFonts w:hint="eastAsia" w:ascii="仿宋" w:hAnsi="仿宋" w:eastAsia="仿宋"/>
                <w:color w:val="000000" w:themeColor="text1"/>
                <w:sz w:val="24"/>
                <w:highlight w:val="none"/>
                <w14:textFill>
                  <w14:solidFill>
                    <w14:schemeClr w14:val="tx1"/>
                  </w14:solidFill>
                </w14:textFill>
              </w:rPr>
              <w:t>书面承诺“指派专业人员定期（每月不少于</w:t>
            </w:r>
            <w:r>
              <w:rPr>
                <w:rFonts w:ascii="仿宋" w:hAnsi="仿宋" w:eastAsia="仿宋"/>
                <w:color w:val="000000" w:themeColor="text1"/>
                <w:sz w:val="24"/>
                <w:highlight w:val="none"/>
                <w14:textFill>
                  <w14:solidFill>
                    <w14:schemeClr w14:val="tx1"/>
                  </w14:solidFill>
                </w14:textFill>
              </w:rPr>
              <w:t>1次）对作业人员进行作业指导培训”</w:t>
            </w:r>
            <w:r>
              <w:rPr>
                <w:rFonts w:ascii="仿宋" w:hAnsi="仿宋" w:eastAsia="仿宋" w:cs="宋体"/>
                <w:color w:val="000000" w:themeColor="text1"/>
                <w:sz w:val="24"/>
                <w:highlight w:val="none"/>
                <w14:textFill>
                  <w14:solidFill>
                    <w14:schemeClr w14:val="tx1"/>
                  </w14:solidFill>
                </w14:textFill>
              </w:rPr>
              <w:t>的</w:t>
            </w:r>
            <w:r>
              <w:rPr>
                <w:rFonts w:hint="eastAsia" w:ascii="仿宋" w:hAnsi="仿宋" w:eastAsia="仿宋" w:cs="仿宋_GB2312"/>
                <w:color w:val="000000" w:themeColor="text1"/>
                <w:kern w:val="0"/>
                <w:sz w:val="24"/>
                <w:highlight w:val="none"/>
                <w14:textFill>
                  <w14:solidFill>
                    <w14:schemeClr w14:val="tx1"/>
                  </w14:solidFill>
                </w14:textFill>
              </w:rPr>
              <w:t>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w:t>
            </w:r>
            <w:r>
              <w:rPr>
                <w:rFonts w:hint="eastAsia" w:ascii="仿宋" w:hAnsi="仿宋" w:eastAsia="仿宋" w:cs="宋体"/>
                <w:color w:val="000000" w:themeColor="text1"/>
                <w:sz w:val="24"/>
                <w:highlight w:val="none"/>
                <w:lang w:eastAsia="zh-CN"/>
                <w14:textFill>
                  <w14:solidFill>
                    <w14:schemeClr w14:val="tx1"/>
                  </w14:solidFill>
                </w14:textFill>
              </w:rPr>
              <w:t>。</w:t>
            </w:r>
          </w:p>
          <w:p w14:paraId="68885828">
            <w:pPr>
              <w:widowControl/>
              <w:spacing w:line="420" w:lineRule="exact"/>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③未提供或不满足以上情形的不得分。</w:t>
            </w:r>
          </w:p>
        </w:tc>
        <w:tc>
          <w:tcPr>
            <w:tcW w:w="882" w:type="dxa"/>
            <w:vAlign w:val="center"/>
          </w:tcPr>
          <w:p w14:paraId="28AAA0E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166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1E1CD5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6</w:t>
            </w:r>
          </w:p>
        </w:tc>
        <w:tc>
          <w:tcPr>
            <w:tcW w:w="7906" w:type="dxa"/>
            <w:vAlign w:val="center"/>
          </w:tcPr>
          <w:p w14:paraId="53A90F1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根据投标人针对本项目提供的</w:t>
            </w:r>
            <w:r>
              <w:rPr>
                <w:rFonts w:hint="eastAsia" w:ascii="仿宋" w:hAnsi="仿宋" w:eastAsia="仿宋" w:cs="宋体"/>
                <w:b/>
                <w:color w:val="000000" w:themeColor="text1"/>
                <w:sz w:val="24"/>
                <w:highlight w:val="none"/>
                <w14:textFill>
                  <w14:solidFill>
                    <w14:schemeClr w14:val="tx1"/>
                  </w14:solidFill>
                </w14:textFill>
              </w:rPr>
              <w:t>突击性任务配合保障措施方案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3E7203FC">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①有</w:t>
            </w:r>
            <w:r>
              <w:rPr>
                <w:rFonts w:hint="eastAsia" w:ascii="仿宋" w:hAnsi="仿宋" w:eastAsia="仿宋"/>
                <w:color w:val="000000" w:themeColor="text1"/>
                <w:kern w:val="0"/>
                <w:sz w:val="24"/>
                <w:highlight w:val="none"/>
                <w14:textFill>
                  <w14:solidFill>
                    <w14:schemeClr w14:val="tx1"/>
                  </w14:solidFill>
                </w14:textFill>
              </w:rPr>
              <w:t>提供突击性任务配合保障措施方案，至少包含</w:t>
            </w:r>
            <w:r>
              <w:rPr>
                <w:rFonts w:hint="eastAsia" w:ascii="仿宋" w:hAnsi="仿宋" w:eastAsia="仿宋" w:cs="宋体"/>
                <w:color w:val="000000" w:themeColor="text1"/>
                <w:sz w:val="24"/>
                <w:highlight w:val="none"/>
                <w14:textFill>
                  <w14:solidFill>
                    <w14:schemeClr w14:val="tx1"/>
                  </w14:solidFill>
                </w14:textFill>
              </w:rPr>
              <w:t>相关突击性任务配合保障措施、服务承诺</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1E0FA17F">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0488DA8A">
            <w:pPr>
              <w:widowControl/>
              <w:spacing w:line="42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2FEEE0A">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6E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BDD0669">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7</w:t>
            </w:r>
          </w:p>
        </w:tc>
        <w:tc>
          <w:tcPr>
            <w:tcW w:w="7906" w:type="dxa"/>
            <w:vAlign w:val="center"/>
          </w:tcPr>
          <w:p w14:paraId="5362291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根据投标人针对本项目提供的</w:t>
            </w:r>
            <w:r>
              <w:rPr>
                <w:rFonts w:hint="eastAsia" w:ascii="仿宋" w:hAnsi="仿宋" w:eastAsia="仿宋" w:cs="宋体"/>
                <w:b/>
                <w:color w:val="000000" w:themeColor="text1"/>
                <w:sz w:val="24"/>
                <w:highlight w:val="none"/>
                <w14:textFill>
                  <w14:solidFill>
                    <w14:schemeClr w14:val="tx1"/>
                  </w14:solidFill>
                </w14:textFill>
              </w:rPr>
              <w:t>检查评比配合保障措施方案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hint="eastAsia" w:ascii="仿宋" w:hAnsi="仿宋" w:eastAsia="仿宋" w:cs="宋体"/>
                <w:color w:val="000000" w:themeColor="text1"/>
                <w:sz w:val="24"/>
                <w:highlight w:val="none"/>
                <w14:textFill>
                  <w14:solidFill>
                    <w14:schemeClr w14:val="tx1"/>
                  </w14:solidFill>
                </w14:textFill>
              </w:rPr>
              <w:t>：</w:t>
            </w:r>
          </w:p>
          <w:p w14:paraId="6AF5C49D">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有提供检查评比配合保障措施方案，至少包含</w:t>
            </w:r>
            <w:r>
              <w:rPr>
                <w:rFonts w:hint="eastAsia" w:ascii="仿宋" w:hAnsi="仿宋" w:eastAsia="仿宋" w:cs="宋体"/>
                <w:color w:val="000000" w:themeColor="text1"/>
                <w:sz w:val="24"/>
                <w:highlight w:val="none"/>
                <w14:textFill>
                  <w14:solidFill>
                    <w14:schemeClr w14:val="tx1"/>
                  </w14:solidFill>
                </w14:textFill>
              </w:rPr>
              <w:t>相关检查评比配合保障措施、服务承诺</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1154230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552CBD7A">
            <w:pPr>
              <w:widowControl/>
              <w:spacing w:line="42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A77BF6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03B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35605CFC">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8</w:t>
            </w:r>
          </w:p>
        </w:tc>
        <w:tc>
          <w:tcPr>
            <w:tcW w:w="7906" w:type="dxa"/>
            <w:vAlign w:val="center"/>
          </w:tcPr>
          <w:p w14:paraId="7AF69A7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根据投标人</w:t>
            </w:r>
            <w:r>
              <w:rPr>
                <w:rFonts w:hint="eastAsia" w:ascii="仿宋" w:hAnsi="仿宋" w:eastAsia="仿宋" w:cs="Arial"/>
                <w:color w:val="000000" w:themeColor="text1"/>
                <w:sz w:val="24"/>
                <w:highlight w:val="none"/>
                <w14:textFill>
                  <w14:solidFill>
                    <w14:schemeClr w14:val="tx1"/>
                  </w14:solidFill>
                </w14:textFill>
              </w:rPr>
              <w:t>针对本项目提供的</w:t>
            </w:r>
            <w:r>
              <w:rPr>
                <w:rFonts w:hint="eastAsia" w:ascii="仿宋" w:hAnsi="仿宋" w:eastAsia="仿宋" w:cs="仿宋_GB2312"/>
                <w:b/>
                <w:bCs/>
                <w:color w:val="000000" w:themeColor="text1"/>
                <w:kern w:val="0"/>
                <w:sz w:val="24"/>
                <w:highlight w:val="none"/>
                <w14:textFill>
                  <w14:solidFill>
                    <w14:schemeClr w14:val="tx1"/>
                  </w14:solidFill>
                </w14:textFill>
              </w:rPr>
              <w:t>投诉处理机制及处理方案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27CFC8F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①投标人有针对本项目提供投诉处理机制及处理方案，方案包含但不限于对业主、群众投诉、其他渠道反映等突发事件有相应措施的得</w:t>
            </w:r>
            <w:r>
              <w:rPr>
                <w:rFonts w:ascii="仿宋" w:hAnsi="仿宋" w:eastAsia="仿宋" w:cs="仿宋_GB2312"/>
                <w:color w:val="000000" w:themeColor="text1"/>
                <w:kern w:val="0"/>
                <w:sz w:val="24"/>
                <w:highlight w:val="none"/>
                <w14:textFill>
                  <w14:solidFill>
                    <w14:schemeClr w14:val="tx1"/>
                  </w14:solidFill>
                </w14:textFill>
              </w:rPr>
              <w:t xml:space="preserve">2.5分； </w:t>
            </w:r>
          </w:p>
          <w:p w14:paraId="3EBBB8B8">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②在满足①的基础上，有针对性的处理措施，可有效的解决投诉事项，并提供具体、详细的投诉预防措施，可有效的减少或避免投诉事件，有利于项目实施并达到预期目标的得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6B423493">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③未提供方案或方案不满足以上要求的不得分。</w:t>
            </w:r>
          </w:p>
        </w:tc>
        <w:tc>
          <w:tcPr>
            <w:tcW w:w="882" w:type="dxa"/>
            <w:vAlign w:val="center"/>
          </w:tcPr>
          <w:p w14:paraId="424C57AF">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D8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6B380217">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9</w:t>
            </w:r>
          </w:p>
        </w:tc>
        <w:tc>
          <w:tcPr>
            <w:tcW w:w="7906" w:type="dxa"/>
            <w:tcBorders>
              <w:bottom w:val="single" w:color="auto" w:sz="4" w:space="0"/>
            </w:tcBorders>
            <w:vAlign w:val="center"/>
          </w:tcPr>
          <w:p w14:paraId="025503F1">
            <w:pPr>
              <w:widowControl/>
              <w:spacing w:line="420" w:lineRule="exact"/>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投标人书面承诺“中标后为本项目配备</w:t>
            </w:r>
            <w:r>
              <w:rPr>
                <w:rFonts w:ascii="仿宋" w:hAnsi="仿宋" w:eastAsia="仿宋"/>
                <w:color w:val="000000" w:themeColor="text1"/>
                <w:sz w:val="24"/>
                <w:highlight w:val="none"/>
                <w14:textFill>
                  <w14:solidFill>
                    <w14:schemeClr w14:val="tx1"/>
                  </w14:solidFill>
                </w14:textFill>
              </w:rPr>
              <w:t>1名专业的保洁人员及时清理装卸车现场及周边遗落的土头或垃圾”的得</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分，“中标后为本项目配备</w:t>
            </w:r>
            <w:r>
              <w:rPr>
                <w:rFonts w:ascii="仿宋" w:hAnsi="仿宋" w:eastAsia="仿宋"/>
                <w:color w:val="000000" w:themeColor="text1"/>
                <w:sz w:val="24"/>
                <w:highlight w:val="none"/>
                <w14:textFill>
                  <w14:solidFill>
                    <w14:schemeClr w14:val="tx1"/>
                  </w14:solidFill>
                </w14:textFill>
              </w:rPr>
              <w:t>2名或以上专业的保洁人员及时清理装卸车现场及周边遗落的土头或垃圾”的得</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bottom w:val="single" w:color="auto" w:sz="4" w:space="0"/>
            </w:tcBorders>
            <w:vAlign w:val="center"/>
          </w:tcPr>
          <w:p w14:paraId="00FD1A90">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4</w:t>
            </w:r>
          </w:p>
        </w:tc>
      </w:tr>
      <w:tr w14:paraId="61B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7E4C1B8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10</w:t>
            </w:r>
          </w:p>
        </w:tc>
        <w:tc>
          <w:tcPr>
            <w:tcW w:w="7906" w:type="dxa"/>
            <w:vAlign w:val="center"/>
          </w:tcPr>
          <w:p w14:paraId="71FCEC32">
            <w:pPr>
              <w:widowControl/>
              <w:spacing w:line="42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投标人书面承诺“中标后加强对所属运输车辆及其驾驶员的管理，建立建筑垃圾运输车辆和驾驶员的动态管理制度”</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vAlign w:val="center"/>
          </w:tcPr>
          <w:p w14:paraId="1721ACCF">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512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4DFC3A7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11</w:t>
            </w:r>
          </w:p>
        </w:tc>
        <w:tc>
          <w:tcPr>
            <w:tcW w:w="7906" w:type="dxa"/>
            <w:tcBorders>
              <w:bottom w:val="single" w:color="auto" w:sz="4" w:space="0"/>
            </w:tcBorders>
            <w:vAlign w:val="center"/>
          </w:tcPr>
          <w:p w14:paraId="360A2FAE">
            <w:pPr>
              <w:widowControl/>
              <w:spacing w:line="42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投标人书面承诺“运输车辆应当适量装载，随车携带建筑垃圾运输单，并按指定的时间、路线行驶，运输途中不得泄漏、遗撒。”</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3</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bottom w:val="single" w:color="auto" w:sz="4" w:space="0"/>
            </w:tcBorders>
            <w:vAlign w:val="center"/>
          </w:tcPr>
          <w:p w14:paraId="7DFE0D61">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r>
      <w:tr w14:paraId="3FDD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2FDE7F4">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w:t>
            </w:r>
          </w:p>
        </w:tc>
        <w:tc>
          <w:tcPr>
            <w:tcW w:w="7906" w:type="dxa"/>
            <w:tcBorders>
              <w:top w:val="single" w:color="auto" w:sz="4" w:space="0"/>
              <w:left w:val="single" w:color="auto" w:sz="4" w:space="0"/>
              <w:bottom w:val="single" w:color="auto" w:sz="4" w:space="0"/>
              <w:right w:val="single" w:color="auto" w:sz="4" w:space="0"/>
            </w:tcBorders>
            <w:vAlign w:val="center"/>
          </w:tcPr>
          <w:p w14:paraId="3CDBEB58">
            <w:pPr>
              <w:widowControl/>
              <w:spacing w:line="420" w:lineRule="exact"/>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投标人书面承诺“中标后对建筑垃圾运输车辆进行定期清洁保养，保持车况完好，符合建筑垃圾运输要求。”</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3</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top w:val="single" w:color="auto" w:sz="4" w:space="0"/>
              <w:left w:val="single" w:color="auto" w:sz="4" w:space="0"/>
              <w:bottom w:val="single" w:color="auto" w:sz="4" w:space="0"/>
              <w:right w:val="single" w:color="auto" w:sz="4" w:space="0"/>
            </w:tcBorders>
            <w:vAlign w:val="center"/>
          </w:tcPr>
          <w:p w14:paraId="205AAEFB">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r>
      <w:bookmarkEnd w:id="373"/>
    </w:tbl>
    <w:p w14:paraId="7AA803C5">
      <w:pPr>
        <w:spacing w:beforeLines="50" w:afterLines="50" w:line="500" w:lineRule="exact"/>
        <w:ind w:right="-78"/>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（2）商务分F2（满分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15</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C7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3AD23ABF">
            <w:pPr>
              <w:spacing w:line="480" w:lineRule="exac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序号</w:t>
            </w:r>
          </w:p>
        </w:tc>
        <w:tc>
          <w:tcPr>
            <w:tcW w:w="7906" w:type="dxa"/>
            <w:vAlign w:val="center"/>
          </w:tcPr>
          <w:p w14:paraId="139D08C6">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评分界定</w:t>
            </w:r>
          </w:p>
        </w:tc>
        <w:tc>
          <w:tcPr>
            <w:tcW w:w="882" w:type="dxa"/>
            <w:vAlign w:val="center"/>
          </w:tcPr>
          <w:p w14:paraId="256F35EB">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满分分值</w:t>
            </w:r>
          </w:p>
        </w:tc>
      </w:tr>
      <w:tr w14:paraId="0A5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0F133DA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w:t>
            </w:r>
          </w:p>
        </w:tc>
        <w:tc>
          <w:tcPr>
            <w:tcW w:w="7906" w:type="dxa"/>
            <w:vAlign w:val="center"/>
          </w:tcPr>
          <w:p w14:paraId="66DE77E4">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投标人书面承诺“对投入本项目的所有服务人员购买意外险或公众责任险，</w:t>
            </w:r>
            <w:r>
              <w:rPr>
                <w:rFonts w:hint="eastAsia" w:ascii="仿宋" w:hAnsi="仿宋" w:eastAsia="仿宋" w:cs="宋体"/>
                <w:color w:val="000000" w:themeColor="text1"/>
                <w:sz w:val="24"/>
                <w:highlight w:val="none"/>
                <w:shd w:val="clear" w:color="auto" w:fill="FFFFFF"/>
                <w14:textFill>
                  <w14:solidFill>
                    <w14:schemeClr w14:val="tx1"/>
                  </w14:solidFill>
                </w14:textFill>
              </w:rPr>
              <w:t>人均赔偿金额不低于</w:t>
            </w:r>
            <w:r>
              <w:rPr>
                <w:rFonts w:ascii="仿宋" w:hAnsi="仿宋" w:eastAsia="仿宋" w:cs="宋体"/>
                <w:color w:val="000000" w:themeColor="text1"/>
                <w:sz w:val="24"/>
                <w:highlight w:val="none"/>
                <w:shd w:val="clear" w:color="auto" w:fill="FFFFFF"/>
                <w14:textFill>
                  <w14:solidFill>
                    <w14:schemeClr w14:val="tx1"/>
                  </w14:solidFill>
                </w14:textFill>
              </w:rPr>
              <w:t>100万（保险期需涵盖项目服务期限）。</w:t>
            </w:r>
            <w:r>
              <w:rPr>
                <w:rFonts w:hint="eastAsia" w:ascii="仿宋" w:hAnsi="仿宋" w:eastAsia="仿宋" w:cs="宋体"/>
                <w:color w:val="000000" w:themeColor="text1"/>
                <w:sz w:val="24"/>
                <w:highlight w:val="none"/>
                <w14:textFill>
                  <w14:solidFill>
                    <w14:schemeClr w14:val="tx1"/>
                  </w14:solidFill>
                </w14:textFill>
              </w:rPr>
              <w:t>并对所有服务人员工伤意外、劳务纠纷、安全事故等特殊情况承担全部责任”的得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分。投标人须提供书面承诺函（承诺函格式自拟），否则不得分。</w:t>
            </w:r>
          </w:p>
        </w:tc>
        <w:tc>
          <w:tcPr>
            <w:tcW w:w="882" w:type="dxa"/>
            <w:vAlign w:val="center"/>
          </w:tcPr>
          <w:p w14:paraId="4C275A75">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6D3D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223901F4">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p>
        </w:tc>
        <w:tc>
          <w:tcPr>
            <w:tcW w:w="7906" w:type="dxa"/>
            <w:vAlign w:val="center"/>
          </w:tcPr>
          <w:p w14:paraId="4E1C9B3B">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w:t>
            </w:r>
            <w:r>
              <w:rPr>
                <w:rFonts w:ascii="仿宋" w:hAnsi="仿宋" w:eastAsia="仿宋" w:cs="宋体"/>
                <w:color w:val="000000" w:themeColor="text1"/>
                <w:sz w:val="24"/>
                <w:highlight w:val="none"/>
                <w14:textFill>
                  <w14:solidFill>
                    <w14:schemeClr w14:val="tx1"/>
                  </w14:solidFill>
                </w14:textFill>
              </w:rPr>
              <w:t>标人承诺能在60分钟（含60分钟）内响应应急事件，并调配应急人员到现场的得3分；在30分钟（含30分钟）内响应应急事件，并调配应急人员到现场的得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分。投标人须提供书面承诺函（承诺函格式自拟），否则不得分。</w:t>
            </w:r>
          </w:p>
        </w:tc>
        <w:tc>
          <w:tcPr>
            <w:tcW w:w="882" w:type="dxa"/>
            <w:vAlign w:val="center"/>
          </w:tcPr>
          <w:p w14:paraId="54992B26">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2C6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7E2F04F5">
            <w:pPr>
              <w:spacing w:line="480" w:lineRule="exact"/>
              <w:jc w:val="cente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w:t>
            </w:r>
          </w:p>
        </w:tc>
        <w:tc>
          <w:tcPr>
            <w:tcW w:w="7906" w:type="dxa"/>
            <w:vAlign w:val="center"/>
          </w:tcPr>
          <w:p w14:paraId="5D71600E">
            <w:pPr>
              <w:keepNext/>
              <w:keepLines/>
              <w:spacing w:before="120" w:after="120" w:line="44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投标人自</w:t>
            </w:r>
            <w:r>
              <w:rPr>
                <w:rFonts w:ascii="仿宋" w:hAnsi="仿宋" w:eastAsia="仿宋" w:cs="宋体"/>
                <w:color w:val="000000" w:themeColor="text1"/>
                <w:sz w:val="24"/>
                <w:highlight w:val="none"/>
                <w14:textFill>
                  <w14:solidFill>
                    <w14:schemeClr w14:val="tx1"/>
                  </w14:solidFill>
                </w14:textFill>
              </w:rPr>
              <w:t>2023年1月1日以来（以合同签订日期为准）具有建筑垃</w:t>
            </w:r>
            <w:r>
              <w:rPr>
                <w:rFonts w:hint="eastAsia" w:ascii="仿宋" w:hAnsi="仿宋" w:eastAsia="仿宋" w:cs="宋体"/>
                <w:color w:val="000000" w:themeColor="text1"/>
                <w:sz w:val="24"/>
                <w:highlight w:val="none"/>
                <w14:textFill>
                  <w14:solidFill>
                    <w14:schemeClr w14:val="tx1"/>
                  </w14:solidFill>
                </w14:textFill>
              </w:rPr>
              <w:t>圾清运服务业绩的，每提供</w:t>
            </w:r>
            <w:r>
              <w:rPr>
                <w:rFonts w:ascii="仿宋" w:hAnsi="仿宋" w:eastAsia="仿宋" w:cs="宋体"/>
                <w:color w:val="000000" w:themeColor="text1"/>
                <w:sz w:val="24"/>
                <w:highlight w:val="none"/>
                <w14:textFill>
                  <w14:solidFill>
                    <w14:schemeClr w14:val="tx1"/>
                  </w14:solidFill>
                </w14:textFill>
              </w:rPr>
              <w:t>1个得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。须提供业绩证明文件（业绩证明文件需</w:t>
            </w:r>
            <w:r>
              <w:rPr>
                <w:rFonts w:ascii="仿宋" w:hAnsi="仿宋" w:eastAsia="仿宋" w:cs="宋体"/>
                <w:color w:val="000000" w:themeColor="text1"/>
                <w:sz w:val="24"/>
                <w:highlight w:val="none"/>
                <w14:textFill>
                  <w14:solidFill>
                    <w14:schemeClr w14:val="tx1"/>
                  </w14:solidFill>
                </w14:textFill>
              </w:rPr>
              <w:t>包括：与用户签订的</w:t>
            </w:r>
            <w:r>
              <w:rPr>
                <w:rFonts w:hint="eastAsia" w:ascii="仿宋" w:hAnsi="仿宋" w:eastAsia="仿宋" w:cs="宋体"/>
                <w:color w:val="000000" w:themeColor="text1"/>
                <w:sz w:val="24"/>
                <w:highlight w:val="none"/>
                <w14:textFill>
                  <w14:solidFill>
                    <w14:schemeClr w14:val="tx1"/>
                  </w14:solidFill>
                </w14:textFill>
              </w:rPr>
              <w:t>合同首页、合同服务内容所在页、盖章页等有效证明材料复印件）并加盖投标人公章，否则不得分</w:t>
            </w:r>
            <w:r>
              <w:rPr>
                <w:rFonts w:ascii="仿宋" w:hAnsi="仿宋" w:eastAsia="仿宋" w:cs="宋体"/>
                <w:color w:val="000000" w:themeColor="text1"/>
                <w:sz w:val="24"/>
                <w:highlight w:val="none"/>
                <w14:textFill>
                  <w14:solidFill>
                    <w14:schemeClr w14:val="tx1"/>
                  </w14:solidFill>
                </w14:textFill>
              </w:rPr>
              <w:t>。</w:t>
            </w:r>
          </w:p>
          <w:p w14:paraId="7B5D7524">
            <w:pPr>
              <w:keepNext/>
              <w:keepLines/>
              <w:spacing w:before="120" w:after="120" w:line="440" w:lineRule="exact"/>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 xml:space="preserve">  </w:t>
            </w:r>
            <w:r>
              <w:rPr>
                <w:rFonts w:hint="eastAsia" w:ascii="仿宋" w:hAnsi="仿宋" w:eastAsia="仿宋" w:cs="宋体"/>
                <w:color w:val="000000" w:themeColor="text1"/>
                <w:sz w:val="24"/>
                <w:highlight w:val="none"/>
                <w14:textFill>
                  <w14:solidFill>
                    <w14:schemeClr w14:val="tx1"/>
                  </w14:solidFill>
                </w14:textFill>
              </w:rPr>
              <w:t>所提供业绩案例不包含资格准入已经提供的业绩案例，重复提供的该业绩案例不计分。</w:t>
            </w:r>
          </w:p>
          <w:p w14:paraId="626D3BBB">
            <w:pPr>
              <w:keepNext/>
              <w:keepLines/>
              <w:spacing w:before="120" w:after="120" w:line="440" w:lineRule="exact"/>
              <w:ind w:firstLine="240" w:firstLineChars="1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如未按照招标文件要求提供该项业绩完整资料的，评标委员会对该项业绩将不予采信。</w:t>
            </w:r>
          </w:p>
        </w:tc>
        <w:tc>
          <w:tcPr>
            <w:tcW w:w="882" w:type="dxa"/>
            <w:vAlign w:val="center"/>
          </w:tcPr>
          <w:p w14:paraId="56142C2B">
            <w:pPr>
              <w:spacing w:beforeLines="25" w:afterLines="25" w:line="500" w:lineRule="exact"/>
              <w:ind w:left="-99" w:leftChars="-47" w:right="-78" w:rightChars="-37"/>
              <w:jc w:val="cente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p>
        </w:tc>
      </w:tr>
    </w:tbl>
    <w:p w14:paraId="0116998F">
      <w:pPr>
        <w:spacing w:beforeLines="50" w:line="500" w:lineRule="exact"/>
        <w:ind w:firstLine="314"/>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（3）价格分F3（满分</w:t>
      </w:r>
      <w:r>
        <w:rPr>
          <w:rFonts w:ascii="仿宋" w:hAnsi="仿宋" w:eastAsia="仿宋" w:cs="华文细黑"/>
          <w:b/>
          <w:bCs/>
          <w:color w:val="000000" w:themeColor="text1"/>
          <w:sz w:val="32"/>
          <w:szCs w:val="32"/>
          <w:highlight w:val="none"/>
          <w14:textFill>
            <w14:solidFill>
              <w14:schemeClr w14:val="tx1"/>
            </w14:solidFill>
          </w14:textFill>
        </w:rPr>
        <w:t>30</w:t>
      </w:r>
      <w:r>
        <w:rPr>
          <w:rFonts w:hint="eastAsia" w:ascii="仿宋" w:hAnsi="仿宋" w:eastAsia="仿宋" w:cs="华文细黑"/>
          <w:b/>
          <w:color w:val="000000" w:themeColor="text1"/>
          <w:sz w:val="32"/>
          <w:szCs w:val="32"/>
          <w:highlight w:val="none"/>
          <w14:textFill>
            <w14:solidFill>
              <w14:schemeClr w14:val="tx1"/>
            </w14:solidFill>
          </w14:textFill>
        </w:rPr>
        <w:t>分）</w:t>
      </w:r>
    </w:p>
    <w:p w14:paraId="1D574F71">
      <w:pPr>
        <w:spacing w:line="500" w:lineRule="exact"/>
        <w:ind w:firstLine="633" w:firstLineChars="198"/>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评标基准价计算方法采用</w:t>
      </w:r>
      <w:r>
        <w:rPr>
          <w:rFonts w:hint="eastAsia" w:ascii="仿宋" w:hAnsi="仿宋" w:eastAsia="仿宋" w:cs="华文细黑"/>
          <w:sz w:val="32"/>
          <w:szCs w:val="32"/>
        </w:rPr>
        <w:t>低价优先法</w:t>
      </w:r>
      <w:r>
        <w:rPr>
          <w:rFonts w:hint="eastAsia" w:ascii="仿宋" w:hAnsi="仿宋" w:eastAsia="仿宋" w:cs="华文细黑"/>
          <w:color w:val="000000" w:themeColor="text1"/>
          <w:sz w:val="32"/>
          <w:szCs w:val="32"/>
          <w:highlight w:val="none"/>
          <w14:textFill>
            <w14:solidFill>
              <w14:schemeClr w14:val="tx1"/>
            </w14:solidFill>
          </w14:textFill>
        </w:rPr>
        <w:t>，即满足招标文件要求且评标价最低的评标价作为评标基准价，其价格分为满分。其他投标人价格分按下列公式计算：</w:t>
      </w:r>
    </w:p>
    <w:p w14:paraId="6FBCE60A">
      <w:pPr>
        <w:spacing w:line="500" w:lineRule="exact"/>
        <w:ind w:firstLine="315" w:firstLineChars="98"/>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价格分=评标基准价/投标人的评标价×3</w:t>
      </w:r>
      <w:r>
        <w:rPr>
          <w:rFonts w:ascii="仿宋" w:hAnsi="仿宋" w:eastAsia="仿宋" w:cs="华文细黑"/>
          <w:b/>
          <w:color w:val="000000" w:themeColor="text1"/>
          <w:sz w:val="32"/>
          <w:szCs w:val="32"/>
          <w:highlight w:val="none"/>
          <w14:textFill>
            <w14:solidFill>
              <w14:schemeClr w14:val="tx1"/>
            </w14:solidFill>
          </w14:textFill>
        </w:rPr>
        <w:t>0</w:t>
      </w:r>
    </w:p>
    <w:p w14:paraId="7F3A0769">
      <w:pPr>
        <w:spacing w:line="500" w:lineRule="exact"/>
        <w:ind w:firstLine="313" w:firstLineChars="98"/>
        <w:rPr>
          <w:rFonts w:ascii="仿宋" w:hAnsi="仿宋" w:eastAsia="仿宋" w:cs="华文细黑"/>
          <w:color w:val="000000" w:themeColor="text1"/>
          <w:spacing w:val="-4"/>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注：如投标人的投标报价存在</w:t>
      </w:r>
      <w:r>
        <w:rPr>
          <w:rFonts w:hint="eastAsia" w:ascii="仿宋" w:hAnsi="仿宋" w:eastAsia="仿宋" w:cs="华文细黑"/>
          <w:color w:val="000000" w:themeColor="text1"/>
          <w:spacing w:val="-4"/>
          <w:sz w:val="32"/>
          <w:szCs w:val="32"/>
          <w:highlight w:val="none"/>
          <w14:textFill>
            <w14:solidFill>
              <w14:schemeClr w14:val="tx1"/>
            </w14:solidFill>
          </w14:textFill>
        </w:rPr>
        <w:t>漏（缺）项的，按</w:t>
      </w:r>
      <w:r>
        <w:rPr>
          <w:rFonts w:hint="eastAsia" w:ascii="仿宋" w:hAnsi="仿宋" w:eastAsia="仿宋" w:cs="华文细黑"/>
          <w:color w:val="000000" w:themeColor="text1"/>
          <w:spacing w:val="-4"/>
          <w:sz w:val="32"/>
          <w:szCs w:val="32"/>
          <w:highlight w:val="none"/>
          <w:lang w:eastAsia="zh-CN"/>
          <w14:textFill>
            <w14:solidFill>
              <w14:schemeClr w14:val="tx1"/>
            </w14:solidFill>
          </w14:textFill>
        </w:rPr>
        <w:t>无效标</w:t>
      </w:r>
      <w:r>
        <w:rPr>
          <w:rFonts w:hint="eastAsia" w:ascii="仿宋" w:hAnsi="仿宋" w:eastAsia="仿宋" w:cs="华文细黑"/>
          <w:color w:val="000000" w:themeColor="text1"/>
          <w:spacing w:val="-4"/>
          <w:sz w:val="32"/>
          <w:szCs w:val="32"/>
          <w:highlight w:val="none"/>
          <w14:textFill>
            <w14:solidFill>
              <w14:schemeClr w14:val="tx1"/>
            </w14:solidFill>
          </w14:textFill>
        </w:rPr>
        <w:t>处理。</w:t>
      </w:r>
    </w:p>
    <w:p w14:paraId="3A480C1A">
      <w:pPr>
        <w:spacing w:line="500" w:lineRule="exact"/>
        <w:ind w:firstLine="313" w:firstLineChars="98"/>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（由评标委员会当场统一计算）。</w:t>
      </w:r>
    </w:p>
    <w:p w14:paraId="5F3D6FBA">
      <w:pPr>
        <w:spacing w:line="500" w:lineRule="exact"/>
        <w:ind w:firstLine="321" w:firstLineChars="1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 xml:space="preserve">（4）各初审合格投标人综合得分= F1＋F2＋F3 </w:t>
      </w:r>
    </w:p>
    <w:p w14:paraId="43A343A5">
      <w:pPr>
        <w:widowControl/>
        <w:spacing w:line="500" w:lineRule="exact"/>
        <w:ind w:firstLine="320" w:firstLineChars="1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说明：计算技术汇总得分、商务汇总得分及价格分时，经四舍五入后保留三位小数，计算投标人综合得分时，经四舍五入后保留两位小数。</w:t>
      </w:r>
    </w:p>
    <w:p w14:paraId="7BF5FBB5">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18.2 推荐中标候选人原则</w:t>
      </w:r>
    </w:p>
    <w:p w14:paraId="383CB82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18.2.1排名及排名规则：评标委员会根据以下原则对初审合格的投标人进行排名：</w:t>
      </w:r>
    </w:p>
    <w:p w14:paraId="4A7DB20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（1）综合得分高者排名在前，即：综合得分最高者排名第一，综合得分次高者排名第二，以此类推。</w:t>
      </w:r>
    </w:p>
    <w:p w14:paraId="591E7D81">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（2）综合得分相同时，投标报价低者排名在前；</w:t>
      </w:r>
    </w:p>
    <w:p w14:paraId="73B2F57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（3）综合得分相同且投标报价相同时，技术分得分高者（即F1得分高者）排名在前；</w:t>
      </w:r>
    </w:p>
    <w:p w14:paraId="2837D488">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（4）以上办法都不能确定排名时，评标委员会根据有利于项目实施的原则确定排名。</w:t>
      </w:r>
    </w:p>
    <w:p w14:paraId="46B236F1">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18.2.2推荐中标候选人：评标委员会将按比较与评价最优先原则，推荐出中标候选单位，其余的合格投标单位为备选供应商。</w:t>
      </w:r>
    </w:p>
    <w:p w14:paraId="42105F04">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18.3 定标准则</w:t>
      </w:r>
    </w:p>
    <w:p w14:paraId="09B6E988">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1招标人将按照评标报告中推荐的中标候选人顺序确定拟中标人。</w:t>
      </w:r>
    </w:p>
    <w:p w14:paraId="2859725C">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2招标人将审查拟中标人的投标人资格、信誉、生产条件、产品技术状态、性能以及其它投标人认为有必要了解的问题。</w:t>
      </w:r>
    </w:p>
    <w:p w14:paraId="3A437170">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3如果确定拟中标人无能力履行合同，其投标将被拒绝，招标人将对下一个可能中标的投标人做类似审查。</w:t>
      </w:r>
    </w:p>
    <w:p w14:paraId="7511CE79">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18.3.4接受审查的拟中标人必须如实回答询问或接受招标人的考察，并提供所需的有关资料。</w:t>
      </w:r>
    </w:p>
    <w:p w14:paraId="3BCA7BE6">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73F11112">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6招标人有权在任何时间终止本项目的招标程序，投标人应承担项目终止的所有风险，招标人对此不承担任何责任并且无需向投标人作出任何解释。</w:t>
      </w:r>
    </w:p>
    <w:p w14:paraId="396E2758">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74" w:name="_Toc5320"/>
      <w:bookmarkStart w:id="375" w:name="_Toc9937"/>
      <w:bookmarkStart w:id="376" w:name="_Toc192925669"/>
      <w:bookmarkStart w:id="377" w:name="_Toc18607"/>
      <w:bookmarkStart w:id="378" w:name="_Toc1721"/>
      <w:bookmarkStart w:id="379" w:name="_Toc25581"/>
      <w:bookmarkStart w:id="380" w:name="_Toc31490"/>
      <w:bookmarkStart w:id="381" w:name="_Toc14814"/>
      <w:bookmarkStart w:id="382" w:name="_Toc18072"/>
      <w:bookmarkStart w:id="383" w:name="_Toc209383630"/>
      <w:bookmarkStart w:id="384" w:name="_Toc191892321"/>
      <w:bookmarkStart w:id="385" w:name="_Toc25131"/>
      <w:bookmarkStart w:id="386" w:name="_Toc15301"/>
      <w:r>
        <w:rPr>
          <w:rFonts w:hint="eastAsia" w:ascii="仿宋" w:hAnsi="仿宋" w:eastAsia="仿宋"/>
          <w:color w:val="000000" w:themeColor="text1"/>
          <w:sz w:val="32"/>
          <w:highlight w:val="none"/>
          <w14:textFill>
            <w14:solidFill>
              <w14:schemeClr w14:val="tx1"/>
            </w14:solidFill>
          </w14:textFill>
        </w:rPr>
        <w:t>19. 投标文件的澄清</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6C3010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541B6013">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87" w:name="_Toc209383631"/>
      <w:bookmarkStart w:id="388" w:name="_Toc3145"/>
      <w:bookmarkStart w:id="389" w:name="_Toc414"/>
      <w:bookmarkStart w:id="390" w:name="_Toc12372"/>
      <w:bookmarkStart w:id="391" w:name="_Toc3197"/>
      <w:bookmarkStart w:id="392" w:name="_Toc26076"/>
      <w:bookmarkStart w:id="393" w:name="_Toc11018"/>
      <w:bookmarkStart w:id="394" w:name="_Toc26793"/>
      <w:bookmarkStart w:id="395" w:name="_Toc192925670"/>
      <w:bookmarkStart w:id="396" w:name="_Toc191892322"/>
      <w:bookmarkStart w:id="397" w:name="_Toc6884"/>
      <w:bookmarkStart w:id="398" w:name="_Toc598"/>
      <w:bookmarkStart w:id="399" w:name="_Toc13927"/>
      <w:r>
        <w:rPr>
          <w:rFonts w:hint="eastAsia" w:ascii="仿宋" w:hAnsi="仿宋" w:eastAsia="仿宋"/>
          <w:color w:val="000000" w:themeColor="text1"/>
          <w:sz w:val="32"/>
          <w:highlight w:val="none"/>
          <w14:textFill>
            <w14:solidFill>
              <w14:schemeClr w14:val="tx1"/>
            </w14:solidFill>
          </w14:textFill>
        </w:rPr>
        <w:t>20. 比较与评价</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4E80AAA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20.1 评标委员会将根据评标方法与标准，对资格性检查和符合性检查合格的投标文件，进行商务和技术评估，综合比较与评价。  </w:t>
      </w:r>
    </w:p>
    <w:p w14:paraId="7FBBFE2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14C6A33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02862A7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20.4评标委员会将按比较与评价最优在先原则, 排列评价顺序, 根据在投标人须知前附表中确定的中标候选人数量，推荐出中标候选人。</w:t>
      </w:r>
    </w:p>
    <w:p w14:paraId="64FFD40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1C8B98DF">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400" w:name="_Toc192925671"/>
      <w:bookmarkStart w:id="401" w:name="_Toc191892323"/>
      <w:bookmarkStart w:id="402" w:name="_Toc31679"/>
      <w:bookmarkStart w:id="403" w:name="_Toc5460"/>
      <w:bookmarkStart w:id="404" w:name="_Toc5217"/>
      <w:bookmarkStart w:id="405" w:name="_Toc27394"/>
      <w:bookmarkStart w:id="406" w:name="_Toc209383632"/>
      <w:bookmarkStart w:id="407" w:name="_Toc9919"/>
      <w:bookmarkStart w:id="408" w:name="_Toc24614"/>
      <w:bookmarkStart w:id="409" w:name="_Toc20136"/>
      <w:bookmarkStart w:id="410" w:name="_Toc9254"/>
      <w:bookmarkStart w:id="411" w:name="_Toc31570"/>
      <w:bookmarkStart w:id="412" w:name="_Toc18720"/>
      <w:r>
        <w:rPr>
          <w:rFonts w:hint="eastAsia" w:ascii="仿宋" w:hAnsi="仿宋" w:eastAsia="仿宋"/>
          <w:color w:val="000000" w:themeColor="text1"/>
          <w:sz w:val="32"/>
          <w:highlight w:val="none"/>
          <w14:textFill>
            <w14:solidFill>
              <w14:schemeClr w14:val="tx1"/>
            </w14:solidFill>
          </w14:textFill>
        </w:rPr>
        <w:t>第六节 定标与签订合同</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C32C15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13" w:name="_Toc18819"/>
      <w:bookmarkStart w:id="414" w:name="_Toc3773"/>
      <w:bookmarkStart w:id="415" w:name="_Toc209383633"/>
      <w:bookmarkStart w:id="416" w:name="_Toc8282"/>
      <w:bookmarkStart w:id="417" w:name="_Toc21926"/>
      <w:bookmarkStart w:id="418" w:name="_Toc7140"/>
      <w:bookmarkStart w:id="419" w:name="_Toc31646"/>
      <w:bookmarkStart w:id="420" w:name="_Toc191892324"/>
      <w:bookmarkStart w:id="421" w:name="_Toc19236"/>
      <w:bookmarkStart w:id="422" w:name="_Toc26546"/>
      <w:bookmarkStart w:id="423" w:name="_Toc25098"/>
      <w:bookmarkStart w:id="424" w:name="_Toc192925672"/>
      <w:bookmarkStart w:id="425" w:name="_Toc6738"/>
      <w:r>
        <w:rPr>
          <w:rFonts w:hint="eastAsia" w:ascii="仿宋" w:hAnsi="仿宋" w:eastAsia="仿宋"/>
          <w:color w:val="000000" w:themeColor="text1"/>
          <w:sz w:val="32"/>
          <w:highlight w:val="none"/>
          <w14:textFill>
            <w14:solidFill>
              <w14:schemeClr w14:val="tx1"/>
            </w14:solidFill>
          </w14:textFill>
        </w:rPr>
        <w:t>21</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定标准则</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6256157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投标人的投标文件符合招标文件要求，按招标文件确定评标标准、方法，经评委评审并推荐中标候选人。</w:t>
      </w:r>
    </w:p>
    <w:p w14:paraId="51C1217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26" w:name="_Toc22441"/>
      <w:bookmarkStart w:id="427" w:name="_Toc6133"/>
      <w:bookmarkStart w:id="428" w:name="_Toc24328"/>
      <w:bookmarkStart w:id="429" w:name="_Toc24477"/>
      <w:bookmarkStart w:id="430" w:name="_Toc17364"/>
      <w:bookmarkStart w:id="431" w:name="_Toc192925673"/>
      <w:bookmarkStart w:id="432" w:name="_Toc209383634"/>
      <w:bookmarkStart w:id="433" w:name="_Toc19617"/>
      <w:bookmarkStart w:id="434" w:name="_Toc320"/>
      <w:bookmarkStart w:id="435" w:name="_Toc18502"/>
      <w:bookmarkStart w:id="436" w:name="_Toc3756"/>
      <w:bookmarkStart w:id="437" w:name="_Toc7123"/>
      <w:bookmarkStart w:id="438" w:name="_Toc191892325"/>
      <w:r>
        <w:rPr>
          <w:rFonts w:hint="eastAsia" w:ascii="仿宋" w:hAnsi="仿宋" w:eastAsia="仿宋"/>
          <w:color w:val="000000" w:themeColor="text1"/>
          <w:sz w:val="32"/>
          <w:highlight w:val="none"/>
          <w14:textFill>
            <w14:solidFill>
              <w14:schemeClr w14:val="tx1"/>
            </w14:solidFill>
          </w14:textFill>
        </w:rPr>
        <w:t>22</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中标通知</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056BF43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 xml:space="preserve">.1 </w:t>
      </w:r>
      <w:r>
        <w:rPr>
          <w:rFonts w:hint="eastAsia" w:ascii="仿宋" w:hAnsi="仿宋" w:eastAsia="仿宋"/>
          <w:color w:val="000000" w:themeColor="text1"/>
          <w:sz w:val="32"/>
          <w:szCs w:val="32"/>
          <w:highlight w:val="none"/>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748D394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22.2 招标人将向中标单位发出《中标通知书》，没有中标的其它投标人不另行通知。</w:t>
      </w:r>
    </w:p>
    <w:p w14:paraId="1D4550A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3《中标通知书》将作为签订采购合同的依据。采购合同签订后，《中标通知书》成为合同的一部分。</w:t>
      </w:r>
    </w:p>
    <w:p w14:paraId="4C4F73C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39" w:name="_Toc20868"/>
      <w:bookmarkStart w:id="440" w:name="_Toc28307"/>
      <w:bookmarkStart w:id="441" w:name="_Toc192925674"/>
      <w:bookmarkStart w:id="442" w:name="_Toc27703"/>
      <w:bookmarkStart w:id="443" w:name="_Toc32531"/>
      <w:bookmarkStart w:id="444" w:name="_Toc209383635"/>
      <w:bookmarkStart w:id="445" w:name="_Toc224"/>
      <w:bookmarkStart w:id="446" w:name="_Toc11963"/>
      <w:bookmarkStart w:id="447" w:name="_Toc24304"/>
      <w:bookmarkStart w:id="448" w:name="_Toc12900"/>
      <w:bookmarkStart w:id="449" w:name="_Toc13077"/>
      <w:bookmarkStart w:id="450" w:name="_Toc22290"/>
      <w:bookmarkStart w:id="451" w:name="_Toc191892326"/>
      <w:r>
        <w:rPr>
          <w:rFonts w:hint="eastAsia" w:ascii="仿宋" w:hAnsi="仿宋" w:eastAsia="仿宋"/>
          <w:color w:val="000000" w:themeColor="text1"/>
          <w:sz w:val="32"/>
          <w:highlight w:val="none"/>
          <w14:textFill>
            <w14:solidFill>
              <w14:schemeClr w14:val="tx1"/>
            </w14:solidFill>
          </w14:textFill>
        </w:rPr>
        <w:t>23. 签订合同</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51A651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14:paraId="6D4A13D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14:paraId="442557F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3中标人因不可抗力或者自身原因不能履行采购合同的，招标人将与排位在中标人之后第一位的中标候选人签订采购合同，以此类推。</w:t>
      </w:r>
    </w:p>
    <w:p w14:paraId="0142747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23.4 中标人未能按招标人的要求，随时提供投标文件中出具的相关证明材料的原件，招标人有权认定投标人存在弄虚作假、骗取中标的行为。</w:t>
      </w:r>
    </w:p>
    <w:p w14:paraId="03532AE4">
      <w:pPr>
        <w:pStyle w:val="2"/>
        <w:keepNext w:val="0"/>
        <w:keepLines w:val="0"/>
        <w:spacing w:before="0" w:after="0" w:line="360" w:lineRule="auto"/>
        <w:jc w:val="center"/>
        <w:rPr>
          <w:rFonts w:ascii="仿宋" w:hAnsi="仿宋" w:eastAsia="仿宋"/>
          <w:color w:val="000000" w:themeColor="text1"/>
          <w:szCs w:val="3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bookmarkStart w:id="452" w:name="_Toc25804"/>
      <w:bookmarkStart w:id="453" w:name="_Toc22758"/>
      <w:bookmarkStart w:id="454" w:name="_Toc16559"/>
      <w:bookmarkStart w:id="455" w:name="_Toc12897"/>
      <w:bookmarkStart w:id="456" w:name="_Toc1788"/>
      <w:bookmarkStart w:id="457" w:name="_Toc19202"/>
      <w:bookmarkStart w:id="458" w:name="_Toc32657"/>
      <w:bookmarkStart w:id="459" w:name="_Toc26934"/>
      <w:bookmarkStart w:id="460" w:name="_Toc209383636"/>
      <w:bookmarkStart w:id="461" w:name="_Toc18841"/>
      <w:bookmarkStart w:id="462" w:name="_Toc20484"/>
      <w:r>
        <w:rPr>
          <w:rFonts w:hint="eastAsia" w:ascii="仿宋" w:hAnsi="仿宋" w:eastAsia="仿宋"/>
          <w:color w:val="000000" w:themeColor="text1"/>
          <w:szCs w:val="32"/>
          <w:highlight w:val="none"/>
          <w14:textFill>
            <w14:solidFill>
              <w14:schemeClr w14:val="tx1"/>
            </w14:solidFill>
          </w14:textFill>
        </w:rPr>
        <w:t>第三章　招标内容及要求</w:t>
      </w:r>
      <w:bookmarkEnd w:id="452"/>
      <w:bookmarkEnd w:id="453"/>
      <w:bookmarkEnd w:id="454"/>
      <w:bookmarkEnd w:id="455"/>
      <w:bookmarkEnd w:id="456"/>
      <w:bookmarkEnd w:id="457"/>
      <w:bookmarkEnd w:id="458"/>
      <w:bookmarkEnd w:id="459"/>
      <w:bookmarkEnd w:id="460"/>
      <w:bookmarkEnd w:id="461"/>
      <w:bookmarkEnd w:id="462"/>
    </w:p>
    <w:p w14:paraId="5BF012A2">
      <w:pPr>
        <w:pStyle w:val="3"/>
        <w:keepNext w:val="0"/>
        <w:keepLines w:val="0"/>
        <w:spacing w:before="0" w:after="0" w:line="360" w:lineRule="auto"/>
        <w:jc w:val="center"/>
        <w:rPr>
          <w:rFonts w:ascii="仿宋" w:hAnsi="仿宋" w:eastAsia="仿宋"/>
          <w:color w:val="000000" w:themeColor="text1"/>
          <w:sz w:val="32"/>
          <w:highlight w:val="none"/>
          <w14:textFill>
            <w14:solidFill>
              <w14:schemeClr w14:val="tx1"/>
            </w14:solidFill>
          </w14:textFill>
        </w:rPr>
      </w:pPr>
      <w:bookmarkStart w:id="463" w:name="_Toc26250"/>
      <w:bookmarkStart w:id="464" w:name="_Toc4388"/>
      <w:bookmarkStart w:id="465" w:name="_Toc19868"/>
      <w:bookmarkStart w:id="466" w:name="_Toc209383637"/>
      <w:bookmarkStart w:id="467" w:name="_Toc15093"/>
      <w:bookmarkStart w:id="468" w:name="_Toc10122"/>
      <w:bookmarkStart w:id="469" w:name="_Toc29044"/>
      <w:bookmarkStart w:id="470" w:name="_Toc32112"/>
      <w:bookmarkStart w:id="471" w:name="_Toc22085"/>
      <w:bookmarkStart w:id="472" w:name="_Toc4525"/>
      <w:bookmarkStart w:id="473" w:name="_Toc14752"/>
      <w:r>
        <w:rPr>
          <w:rFonts w:hint="eastAsia" w:ascii="仿宋" w:hAnsi="仿宋" w:eastAsia="仿宋"/>
          <w:color w:val="000000" w:themeColor="text1"/>
          <w:sz w:val="32"/>
          <w:highlight w:val="none"/>
          <w14:textFill>
            <w14:solidFill>
              <w14:schemeClr w14:val="tx1"/>
            </w14:solidFill>
          </w14:textFill>
        </w:rPr>
        <w:t>第一节 项目需求</w:t>
      </w:r>
      <w:bookmarkEnd w:id="463"/>
      <w:bookmarkEnd w:id="464"/>
      <w:bookmarkEnd w:id="465"/>
      <w:bookmarkEnd w:id="466"/>
      <w:bookmarkEnd w:id="467"/>
      <w:bookmarkEnd w:id="468"/>
      <w:bookmarkEnd w:id="469"/>
      <w:bookmarkEnd w:id="470"/>
      <w:bookmarkEnd w:id="471"/>
      <w:bookmarkEnd w:id="472"/>
      <w:bookmarkEnd w:id="473"/>
    </w:p>
    <w:p w14:paraId="418EF012">
      <w:pPr>
        <w:spacing w:line="500" w:lineRule="exact"/>
        <w:rPr>
          <w:rFonts w:ascii="仿宋" w:hAnsi="仿宋" w:eastAsia="仿宋"/>
          <w:b/>
          <w:color w:val="000000" w:themeColor="text1"/>
          <w:sz w:val="32"/>
          <w:szCs w:val="32"/>
          <w:highlight w:val="none"/>
          <w14:textFill>
            <w14:solidFill>
              <w14:schemeClr w14:val="tx1"/>
            </w14:solidFill>
          </w14:textFill>
        </w:rPr>
      </w:pPr>
      <w:bookmarkStart w:id="474" w:name="_bookmark18"/>
      <w:bookmarkEnd w:id="474"/>
      <w:r>
        <w:rPr>
          <w:rFonts w:hint="eastAsia" w:ascii="仿宋" w:hAnsi="仿宋" w:eastAsia="仿宋"/>
          <w:b/>
          <w:color w:val="000000" w:themeColor="text1"/>
          <w:sz w:val="32"/>
          <w:szCs w:val="32"/>
          <w:highlight w:val="none"/>
          <w14:textFill>
            <w14:solidFill>
              <w14:schemeClr w14:val="tx1"/>
            </w14:solidFill>
          </w14:textFill>
        </w:rPr>
        <w:t>一、项目基本情况概述</w:t>
      </w:r>
    </w:p>
    <w:p w14:paraId="7ED2111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泉州国贸天琴樾</w:t>
      </w:r>
      <w:r>
        <w:rPr>
          <w:rFonts w:hint="eastAsia" w:ascii="仿宋" w:hAnsi="仿宋" w:eastAsia="仿宋"/>
          <w:color w:val="000000" w:themeColor="text1"/>
          <w:sz w:val="32"/>
          <w:szCs w:val="32"/>
          <w:highlight w:val="none"/>
          <w14:textFill>
            <w14:solidFill>
              <w14:schemeClr w14:val="tx1"/>
            </w14:solidFill>
          </w14:textFill>
        </w:rPr>
        <w:t>位于福建省泉州市</w:t>
      </w:r>
      <w:r>
        <w:rPr>
          <w:rFonts w:hint="eastAsia" w:ascii="仿宋" w:hAnsi="仿宋" w:eastAsia="仿宋"/>
          <w:color w:val="000000" w:themeColor="text1"/>
          <w:sz w:val="32"/>
          <w:szCs w:val="32"/>
          <w:highlight w:val="none"/>
          <w:lang w:eastAsia="zh-CN"/>
          <w14:textFill>
            <w14:solidFill>
              <w14:schemeClr w14:val="tx1"/>
            </w14:solidFill>
          </w14:textFill>
        </w:rPr>
        <w:t>丰泽</w:t>
      </w:r>
      <w:r>
        <w:rPr>
          <w:rFonts w:hint="eastAsia" w:ascii="仿宋" w:hAnsi="仿宋" w:eastAsia="仿宋"/>
          <w:color w:val="000000" w:themeColor="text1"/>
          <w:sz w:val="32"/>
          <w:szCs w:val="32"/>
          <w:highlight w:val="none"/>
          <w14:textFill>
            <w14:solidFill>
              <w14:schemeClr w14:val="tx1"/>
            </w14:solidFill>
          </w14:textFill>
        </w:rPr>
        <w:t>区，本物业由厦门国贸物业服务有限公司进行管理，项目占地面积</w:t>
      </w:r>
      <w:r>
        <w:rPr>
          <w:rFonts w:hint="eastAsia" w:ascii="仿宋" w:hAnsi="仿宋" w:eastAsia="仿宋"/>
          <w:color w:val="000000" w:themeColor="text1"/>
          <w:sz w:val="32"/>
          <w:szCs w:val="32"/>
          <w:highlight w:val="none"/>
          <w:u w:val="none"/>
          <w:lang w:val="en-US" w:eastAsia="zh-CN"/>
          <w14:textFill>
            <w14:solidFill>
              <w14:schemeClr w14:val="tx1"/>
            </w14:solidFill>
          </w14:textFill>
        </w:rPr>
        <w:t>62553.60</w:t>
      </w:r>
      <w:r>
        <w:rPr>
          <w:rFonts w:hint="eastAsia" w:ascii="仿宋" w:hAnsi="仿宋" w:eastAsia="仿宋"/>
          <w:color w:val="000000" w:themeColor="text1"/>
          <w:sz w:val="32"/>
          <w:szCs w:val="32"/>
          <w:highlight w:val="none"/>
          <w14:textFill>
            <w14:solidFill>
              <w14:schemeClr w14:val="tx1"/>
            </w14:solidFill>
          </w14:textFill>
        </w:rPr>
        <w:t>㎡，总建筑面积</w:t>
      </w:r>
      <w:r>
        <w:rPr>
          <w:rFonts w:hint="eastAsia" w:ascii="仿宋" w:hAnsi="仿宋" w:eastAsia="仿宋"/>
          <w:color w:val="000000" w:themeColor="text1"/>
          <w:sz w:val="32"/>
          <w:szCs w:val="32"/>
          <w:highlight w:val="none"/>
          <w:u w:val="none"/>
          <w:lang w:val="en-US" w:eastAsia="zh-CN"/>
          <w14:textFill>
            <w14:solidFill>
              <w14:schemeClr w14:val="tx1"/>
            </w14:solidFill>
          </w14:textFill>
        </w:rPr>
        <w:t>235071.52</w:t>
      </w:r>
      <w:r>
        <w:rPr>
          <w:rFonts w:hint="eastAsia" w:ascii="仿宋" w:hAnsi="仿宋" w:eastAsia="仿宋"/>
          <w:color w:val="000000" w:themeColor="text1"/>
          <w:sz w:val="32"/>
          <w:szCs w:val="32"/>
          <w:highlight w:val="none"/>
          <w14:textFill>
            <w14:solidFill>
              <w14:schemeClr w14:val="tx1"/>
            </w14:solidFill>
          </w14:textFill>
        </w:rPr>
        <w:t>㎡，其中住宅建筑面积</w:t>
      </w:r>
      <w:r>
        <w:rPr>
          <w:rFonts w:hint="eastAsia" w:ascii="仿宋" w:hAnsi="仿宋" w:eastAsia="仿宋"/>
          <w:color w:val="000000" w:themeColor="text1"/>
          <w:sz w:val="32"/>
          <w:szCs w:val="32"/>
          <w:highlight w:val="none"/>
          <w:lang w:val="en-US" w:eastAsia="zh-CN"/>
          <w14:textFill>
            <w14:solidFill>
              <w14:schemeClr w14:val="tx1"/>
            </w14:solidFill>
          </w14:textFill>
        </w:rPr>
        <w:t>173416.97</w:t>
      </w:r>
      <w:r>
        <w:rPr>
          <w:rFonts w:hint="eastAsia" w:ascii="仿宋" w:hAnsi="仿宋" w:eastAsia="仿宋"/>
          <w:color w:val="000000" w:themeColor="text1"/>
          <w:sz w:val="32"/>
          <w:szCs w:val="32"/>
          <w:highlight w:val="none"/>
          <w14:textFill>
            <w14:solidFill>
              <w14:schemeClr w14:val="tx1"/>
            </w14:solidFill>
          </w14:textFill>
        </w:rPr>
        <w:t>㎡，无沿街商业。项目绿地率</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lang w:val="en-US" w:eastAsia="zh-CN"/>
          <w14:textFill>
            <w14:solidFill>
              <w14:schemeClr w14:val="tx1"/>
            </w14:solidFill>
          </w14:textFill>
        </w:rPr>
        <w:t>5.41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绿地面积</w:t>
      </w:r>
      <w:r>
        <w:rPr>
          <w:rFonts w:hint="eastAsia" w:ascii="仿宋" w:hAnsi="仿宋" w:eastAsia="仿宋"/>
          <w:color w:val="000000" w:themeColor="text1"/>
          <w:sz w:val="32"/>
          <w:szCs w:val="32"/>
          <w:highlight w:val="none"/>
          <w:lang w:val="en-US" w:eastAsia="zh-CN"/>
          <w14:textFill>
            <w14:solidFill>
              <w14:schemeClr w14:val="tx1"/>
            </w14:solidFill>
          </w14:textFill>
        </w:rPr>
        <w:t>22151.05</w:t>
      </w:r>
      <w:r>
        <w:rPr>
          <w:rFonts w:hint="eastAsia" w:ascii="仿宋" w:hAnsi="仿宋" w:eastAsia="仿宋"/>
          <w:color w:val="000000" w:themeColor="text1"/>
          <w:sz w:val="32"/>
          <w:szCs w:val="32"/>
          <w:highlight w:val="none"/>
          <w14:textFill>
            <w14:solidFill>
              <w14:schemeClr w14:val="tx1"/>
            </w14:solidFill>
          </w14:textFill>
        </w:rPr>
        <w:t>㎡。项目分一个地块，共</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栋楼，</w:t>
      </w:r>
      <w:r>
        <w:rPr>
          <w:rFonts w:hint="eastAsia" w:ascii="仿宋" w:hAnsi="仿宋" w:eastAsia="仿宋"/>
          <w:color w:val="000000" w:themeColor="text1"/>
          <w:sz w:val="32"/>
          <w:szCs w:val="32"/>
          <w:highlight w:val="none"/>
          <w:lang w:val="en-US" w:eastAsia="zh-CN"/>
          <w14:textFill>
            <w14:solidFill>
              <w14:schemeClr w14:val="tx1"/>
            </w14:solidFill>
          </w14:textFill>
        </w:rPr>
        <w:t>1239</w:t>
      </w:r>
      <w:r>
        <w:rPr>
          <w:rFonts w:hint="eastAsia" w:ascii="仿宋" w:hAnsi="仿宋" w:eastAsia="仿宋"/>
          <w:color w:val="000000" w:themeColor="text1"/>
          <w:sz w:val="32"/>
          <w:szCs w:val="32"/>
          <w:highlight w:val="none"/>
          <w14:textFill>
            <w14:solidFill>
              <w14:schemeClr w14:val="tx1"/>
            </w14:solidFill>
          </w14:textFill>
        </w:rPr>
        <w:t>户住宅。</w:t>
      </w:r>
    </w:p>
    <w:p w14:paraId="17B54C6D">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二、清运范围和内容</w:t>
      </w:r>
    </w:p>
    <w:p w14:paraId="3123B9E4">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1、建筑垃圾清运服务范围为：本项目业主在装修时所产生的建筑垃圾（不包含园林绿化垃圾、生活垃圾的清运）。</w:t>
      </w:r>
    </w:p>
    <w:p w14:paraId="5E958CFD">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2、新项目</w:t>
      </w:r>
      <w:r>
        <w:rPr>
          <w:rFonts w:hint="eastAsia" w:ascii="仿宋" w:hAnsi="仿宋" w:eastAsia="仿宋" w:cs="仿宋"/>
          <w:bCs/>
          <w:color w:val="000000" w:themeColor="text1"/>
          <w:sz w:val="32"/>
          <w:szCs w:val="32"/>
          <w:highlight w:val="none"/>
          <w:lang w:eastAsia="zh-CN"/>
          <w14:textFill>
            <w14:solidFill>
              <w14:schemeClr w14:val="tx1"/>
            </w14:solidFill>
          </w14:textFill>
        </w:rPr>
        <w:t>根据目前已售情况（已售67619.54㎡、安置房39895.63㎡，合计107515.17㎡），</w:t>
      </w:r>
      <w:r>
        <w:rPr>
          <w:rFonts w:hint="eastAsia" w:ascii="仿宋" w:hAnsi="仿宋" w:eastAsia="仿宋" w:cs="仿宋"/>
          <w:bCs/>
          <w:color w:val="000000" w:themeColor="text1"/>
          <w:sz w:val="32"/>
          <w:szCs w:val="32"/>
          <w:highlight w:val="none"/>
          <w14:textFill>
            <w14:solidFill>
              <w14:schemeClr w14:val="tx1"/>
            </w14:solidFill>
          </w14:textFill>
        </w:rPr>
        <w:t>交付两年装修率按</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bCs/>
          <w:color w:val="000000" w:themeColor="text1"/>
          <w:sz w:val="32"/>
          <w:szCs w:val="32"/>
          <w:highlight w:val="none"/>
          <w14:textFill>
            <w14:solidFill>
              <w14:schemeClr w14:val="tx1"/>
            </w14:solidFill>
          </w14:textFill>
        </w:rPr>
        <w:t>%计算，则合同期内预计装修住宅建筑面积约</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86012</w:t>
      </w:r>
      <w:r>
        <w:rPr>
          <w:rFonts w:hint="eastAsia" w:ascii="仿宋" w:hAnsi="仿宋" w:eastAsia="仿宋" w:cs="仿宋"/>
          <w:bCs/>
          <w:color w:val="000000" w:themeColor="text1"/>
          <w:sz w:val="32"/>
          <w:szCs w:val="32"/>
          <w:highlight w:val="none"/>
          <w14:textFill>
            <w14:solidFill>
              <w14:schemeClr w14:val="tx1"/>
            </w14:solidFill>
          </w14:textFill>
        </w:rPr>
        <w:t>㎡。</w:t>
      </w:r>
    </w:p>
    <w:tbl>
      <w:tblPr>
        <w:tblStyle w:val="16"/>
        <w:tblpPr w:leftFromText="180" w:rightFromText="180" w:vertAnchor="text" w:horzAnchor="page" w:tblpX="2483" w:tblpY="126"/>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613"/>
      </w:tblGrid>
      <w:tr w14:paraId="00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37" w:type="dxa"/>
            <w:vAlign w:val="center"/>
          </w:tcPr>
          <w:p w14:paraId="46846E0A">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服务项目</w:t>
            </w:r>
          </w:p>
        </w:tc>
        <w:tc>
          <w:tcPr>
            <w:tcW w:w="3613" w:type="dxa"/>
            <w:vAlign w:val="center"/>
          </w:tcPr>
          <w:p w14:paraId="286E8E50">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建筑面积（㎡）</w:t>
            </w:r>
          </w:p>
        </w:tc>
      </w:tr>
      <w:tr w14:paraId="164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37" w:type="dxa"/>
            <w:vAlign w:val="center"/>
          </w:tcPr>
          <w:p w14:paraId="3C380698">
            <w:pPr>
              <w:spacing w:line="500" w:lineRule="exact"/>
              <w:jc w:val="center"/>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泉州国贸天琴樾</w:t>
            </w:r>
          </w:p>
        </w:tc>
        <w:tc>
          <w:tcPr>
            <w:tcW w:w="3613" w:type="dxa"/>
            <w:vAlign w:val="center"/>
          </w:tcPr>
          <w:p w14:paraId="3FC68FA2">
            <w:pPr>
              <w:spacing w:line="500" w:lineRule="exact"/>
              <w:jc w:val="center"/>
              <w:rPr>
                <w:rFonts w:hint="default"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约</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86012</w:t>
            </w:r>
            <w:r>
              <w:rPr>
                <w:rFonts w:hint="eastAsia" w:ascii="仿宋" w:hAnsi="仿宋" w:eastAsia="仿宋" w:cs="仿宋"/>
                <w:bCs/>
                <w:color w:val="000000" w:themeColor="text1"/>
                <w:sz w:val="32"/>
                <w:szCs w:val="32"/>
                <w:highlight w:val="none"/>
                <w14:textFill>
                  <w14:solidFill>
                    <w14:schemeClr w14:val="tx1"/>
                  </w14:solidFill>
                </w14:textFill>
              </w:rPr>
              <w:t>㎡</w:t>
            </w:r>
          </w:p>
        </w:tc>
      </w:tr>
    </w:tbl>
    <w:p w14:paraId="2477358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7E7152E2">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107BAC42">
      <w:pPr>
        <w:spacing w:line="500" w:lineRule="exact"/>
        <w:rPr>
          <w:rFonts w:ascii="仿宋" w:hAnsi="仿宋" w:eastAsia="仿宋" w:cs="仿宋"/>
          <w:bCs/>
          <w:color w:val="000000" w:themeColor="text1"/>
          <w:sz w:val="32"/>
          <w:szCs w:val="32"/>
          <w:highlight w:val="none"/>
          <w14:textFill>
            <w14:solidFill>
              <w14:schemeClr w14:val="tx1"/>
            </w14:solidFill>
          </w14:textFill>
        </w:rPr>
      </w:pPr>
    </w:p>
    <w:p w14:paraId="7465960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注：如有疑问或需现场踏勘，请联系</w:t>
      </w:r>
      <w:r>
        <w:rPr>
          <w:rFonts w:hint="eastAsia" w:ascii="仿宋" w:hAnsi="仿宋" w:eastAsia="仿宋"/>
          <w:color w:val="000000" w:themeColor="text1"/>
          <w:sz w:val="32"/>
          <w:szCs w:val="32"/>
          <w:highlight w:val="none"/>
          <w:lang w:eastAsia="zh-CN"/>
          <w14:textFill>
            <w14:solidFill>
              <w14:schemeClr w14:val="tx1"/>
            </w14:solidFill>
          </w14:textFill>
        </w:rPr>
        <w:t>王</w:t>
      </w:r>
      <w:r>
        <w:rPr>
          <w:rFonts w:hint="eastAsia" w:ascii="仿宋" w:hAnsi="仿宋" w:eastAsia="仿宋"/>
          <w:color w:val="000000" w:themeColor="text1"/>
          <w:sz w:val="32"/>
          <w:szCs w:val="32"/>
          <w:highlight w:val="none"/>
          <w14:textFill>
            <w14:solidFill>
              <w14:schemeClr w14:val="tx1"/>
            </w14:solidFill>
          </w14:textFill>
        </w:rPr>
        <w:t>女士</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5359420783</w:t>
      </w:r>
      <w:r>
        <w:rPr>
          <w:rFonts w:hint="eastAsia" w:ascii="仿宋" w:hAnsi="仿宋" w:eastAsia="仿宋"/>
          <w:color w:val="000000" w:themeColor="text1"/>
          <w:sz w:val="32"/>
          <w:szCs w:val="32"/>
          <w:highlight w:val="none"/>
          <w14:textFill>
            <w14:solidFill>
              <w14:schemeClr w14:val="tx1"/>
            </w14:solidFill>
          </w14:textFill>
        </w:rPr>
        <w:t>。</w:t>
      </w:r>
    </w:p>
    <w:p w14:paraId="6627F6A3">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3、本项目建筑垃圾清运服务的内容为：</w:t>
      </w:r>
    </w:p>
    <w:p w14:paraId="2107BC32">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（1）本项目服务范围内所有建筑垃圾的清理、清运。</w:t>
      </w:r>
    </w:p>
    <w:p w14:paraId="2E8CBAB4">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（2）负责在项目指定的堆放点修建围栏设施，以免造成区域污染（硬隔断、墙面、柱角、地面保护等）。</w:t>
      </w:r>
    </w:p>
    <w:p w14:paraId="2CC3F47A">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4FBC5DBA">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根据《</w:t>
      </w:r>
      <w:r>
        <w:rPr>
          <w:rFonts w:hint="eastAsia" w:ascii="仿宋" w:hAnsi="仿宋" w:eastAsia="仿宋" w:cs="仿宋"/>
          <w:color w:val="000000" w:themeColor="text1"/>
          <w:sz w:val="32"/>
          <w:szCs w:val="32"/>
          <w:highlight w:val="none"/>
          <w:lang w:eastAsia="zh-CN"/>
          <w14:textFill>
            <w14:solidFill>
              <w14:schemeClr w14:val="tx1"/>
            </w14:solidFill>
          </w14:textFill>
        </w:rPr>
        <w:t>丰泽</w:t>
      </w:r>
      <w:r>
        <w:rPr>
          <w:rFonts w:hint="eastAsia" w:ascii="仿宋" w:hAnsi="仿宋" w:eastAsia="仿宋" w:cs="仿宋"/>
          <w:color w:val="000000" w:themeColor="text1"/>
          <w:sz w:val="32"/>
          <w:szCs w:val="32"/>
          <w:highlight w:val="none"/>
          <w14:textFill>
            <w14:solidFill>
              <w14:schemeClr w14:val="tx1"/>
            </w14:solidFill>
          </w14:textFill>
        </w:rPr>
        <w:t>区城市建筑垃圾专项整治实施方案》等有关要求配合并落实。</w:t>
      </w:r>
    </w:p>
    <w:p w14:paraId="1AFC2E3B">
      <w:pPr>
        <w:spacing w:line="5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三、装修垃圾清运要求</w:t>
      </w:r>
    </w:p>
    <w:tbl>
      <w:tblPr>
        <w:tblStyle w:val="1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C1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6ED03655">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清运标准</w:t>
            </w:r>
          </w:p>
        </w:tc>
        <w:tc>
          <w:tcPr>
            <w:tcW w:w="7105" w:type="dxa"/>
            <w:vAlign w:val="center"/>
          </w:tcPr>
          <w:p w14:paraId="564323E9">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（1）需设立</w:t>
            </w:r>
            <w:r>
              <w:rPr>
                <w:rFonts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14:textFill>
                  <w14:solidFill>
                    <w14:schemeClr w14:val="tx1"/>
                  </w14:solidFill>
                </w14:textFill>
              </w:rPr>
              <w:t>个垃圾堆放点，堆放点的堆放饱和度不超过60%；</w:t>
            </w:r>
          </w:p>
        </w:tc>
      </w:tr>
      <w:tr w14:paraId="242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51DDC73D">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626CDB27">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2）清运车辆在运输过程中保证车辆的四周围挡应封闭良好；</w:t>
            </w:r>
          </w:p>
        </w:tc>
      </w:tr>
      <w:tr w14:paraId="6CD6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72387DA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04EDB112">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3）严格按照清运路线进行运输，不得超高，不得损坏相关设施设备，使用相关材料做好清运场地的保护，并做好清运范围内的保洁工作，禁止粉尘污染，并及时保证现场的整洁、有序；</w:t>
            </w:r>
          </w:p>
        </w:tc>
      </w:tr>
      <w:tr w14:paraId="6B18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22D73ECF">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414B061C">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4）有足够的车辆来保证</w:t>
            </w:r>
            <w:r>
              <w:rPr>
                <w:rFonts w:hint="eastAsia" w:ascii="仿宋" w:hAnsi="仿宋" w:eastAsia="仿宋" w:cs="仿宋"/>
                <w:bCs/>
                <w:color w:val="000000" w:themeColor="text1"/>
                <w:sz w:val="32"/>
                <w:szCs w:val="32"/>
                <w:highlight w:val="none"/>
                <w14:textFill>
                  <w14:solidFill>
                    <w14:schemeClr w14:val="tx1"/>
                  </w14:solidFill>
                </w14:textFill>
              </w:rPr>
              <w:t>装修垃圾现场；</w:t>
            </w:r>
          </w:p>
        </w:tc>
      </w:tr>
      <w:tr w14:paraId="1C9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0DA868CB">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0D567B3F">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5）清运时人员配置为清运车司机、地面清理工人、铲车司机。</w:t>
            </w:r>
          </w:p>
        </w:tc>
      </w:tr>
      <w:tr w14:paraId="18A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52C20B21">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设施设备保护</w:t>
            </w:r>
          </w:p>
        </w:tc>
        <w:tc>
          <w:tcPr>
            <w:tcW w:w="7105" w:type="dxa"/>
            <w:vAlign w:val="center"/>
          </w:tcPr>
          <w:p w14:paraId="616A372C">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（1）负责场地围挡日常维护并保证其安全、整洁，相关费用包含在总报价内；</w:t>
            </w:r>
          </w:p>
        </w:tc>
      </w:tr>
      <w:tr w14:paraId="75A5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1A055F13">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234C355F">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2）在运输的过程中车辆四周围挡封闭良好从而保证清运经过路面的不受损害。</w:t>
            </w:r>
          </w:p>
        </w:tc>
      </w:tr>
      <w:tr w14:paraId="1179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4E1D7913">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响应时间</w:t>
            </w:r>
          </w:p>
        </w:tc>
        <w:tc>
          <w:tcPr>
            <w:tcW w:w="7105" w:type="dxa"/>
            <w:vAlign w:val="center"/>
          </w:tcPr>
          <w:p w14:paraId="627097EE">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接甲方电话通知后30分钟内到现场清运，并及时清理完毕。</w:t>
            </w:r>
          </w:p>
        </w:tc>
      </w:tr>
    </w:tbl>
    <w:p w14:paraId="25592A50">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其他要求：</w:t>
      </w:r>
    </w:p>
    <w:p w14:paraId="342EE852">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承包单位需在建设建筑垃圾点（需围合，顶部需采用彩条布遮盖）同时增加降尘喷雾设备，并且保证垃圾房及周边清运通道干净整洁，设施设备完好运转，清运通道路面完好，如有破损需及时修复，由此产生的修复费用由承包单位承担。</w:t>
      </w:r>
    </w:p>
    <w:p w14:paraId="60EB5343">
      <w:pPr>
        <w:numPr>
          <w:ilvl w:val="0"/>
          <w:numId w:val="2"/>
        </w:num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款项结算</w:t>
      </w:r>
    </w:p>
    <w:p w14:paraId="602C389C">
      <w:pPr>
        <w:numPr>
          <w:ilvl w:val="0"/>
          <w:numId w:val="0"/>
        </w:num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1、费用支付阶段</w:t>
      </w:r>
      <w:r>
        <w:rPr>
          <w:rFonts w:hint="eastAsia" w:ascii="仿宋" w:hAnsi="仿宋" w:eastAsia="仿宋" w:cs="仿宋"/>
          <w:bCs/>
          <w:color w:val="000000" w:themeColor="text1"/>
          <w:sz w:val="32"/>
          <w:szCs w:val="32"/>
          <w:highlight w:val="none"/>
          <w14:textFill>
            <w14:solidFill>
              <w14:schemeClr w14:val="tx1"/>
            </w14:solidFill>
          </w14:textFill>
        </w:rPr>
        <w:t>：</w:t>
      </w:r>
    </w:p>
    <w:p w14:paraId="69EC512B">
      <w:pPr>
        <w:widowControl/>
        <w:numPr>
          <w:ilvl w:val="0"/>
          <w:numId w:val="3"/>
        </w:numPr>
        <w:spacing w:line="500" w:lineRule="exact"/>
        <w:ind w:firstLine="640" w:firstLineChars="200"/>
        <w:jc w:val="left"/>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第一季度不付款；</w:t>
      </w:r>
    </w:p>
    <w:p w14:paraId="312D0946">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第二季度支付第一季度已办理装修申请装修垃圾清运费的</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50%；</w:t>
      </w:r>
    </w:p>
    <w:p w14:paraId="27E373CD">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第三季度支付第二季度已办理装修申请的垃圾清运费的50%以及第一季度装修查验完工的装修垃圾清运费的50%；</w:t>
      </w:r>
    </w:p>
    <w:p w14:paraId="58E40D7D">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第四季度支付第三季度已办理装修申请的装修垃圾清运费的50%以及第二季度装修查验完工的装修垃圾清运费的50%。</w:t>
      </w:r>
    </w:p>
    <w:p w14:paraId="4BD26417">
      <w:pPr>
        <w:widowControl/>
        <w:numPr>
          <w:ilvl w:val="0"/>
          <w:numId w:val="0"/>
        </w:numPr>
        <w:spacing w:line="500" w:lineRule="exact"/>
        <w:ind w:firstLine="640" w:firstLineChars="200"/>
        <w:jc w:val="left"/>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以此类推，具体单元户数（面积）的装修申请及装修时间以招标人提供的数据为准。</w:t>
      </w:r>
    </w:p>
    <w:p w14:paraId="1BE0AC3E">
      <w:pPr>
        <w:widowControl/>
        <w:numPr>
          <w:ilvl w:val="0"/>
          <w:numId w:val="0"/>
        </w:numPr>
        <w:spacing w:line="500" w:lineRule="exact"/>
        <w:ind w:firstLine="640" w:firstLineChars="200"/>
        <w:jc w:val="left"/>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2、结算方式</w:t>
      </w:r>
    </w:p>
    <w:p w14:paraId="1BD447E9">
      <w:pPr>
        <w:widowControl/>
        <w:numPr>
          <w:ilvl w:val="0"/>
          <w:numId w:val="0"/>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垃圾清运费每季度结算一次，甲方提供本项目实际装修业主的装修进度情况及应付款项并由双方共同确认，确认完成后由中标人向招标人开具等额合法有效的增值税专用发票，招标人在收到中标人开具的发票之日起15个工作日内以银行转账的方式支付(遇节假日顺延)。</w:t>
      </w:r>
    </w:p>
    <w:p w14:paraId="5871E119">
      <w:pPr>
        <w:spacing w:line="5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五、服务期限</w:t>
      </w:r>
    </w:p>
    <w:p w14:paraId="2E1BD44E">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服务期限</w:t>
      </w:r>
      <w:r>
        <w:rPr>
          <w:rFonts w:hint="eastAsia" w:ascii="仿宋" w:hAnsi="仿宋" w:eastAsia="仿宋"/>
          <w:color w:val="000000" w:themeColor="text1"/>
          <w:sz w:val="32"/>
          <w:szCs w:val="32"/>
          <w:highlight w:val="none"/>
          <w:lang w:val="en-US" w:eastAsia="zh-CN"/>
          <w14:textFill>
            <w14:solidFill>
              <w14:schemeClr w14:val="tx1"/>
            </w14:solidFill>
          </w14:textFill>
        </w:rPr>
        <w:t>为</w:t>
      </w:r>
      <w:r>
        <w:rPr>
          <w:rFonts w:hint="eastAsia" w:ascii="仿宋" w:hAnsi="仿宋" w:eastAsia="仿宋" w:cs="仿宋"/>
          <w:color w:val="000000" w:themeColor="text1"/>
          <w:kern w:val="0"/>
          <w:sz w:val="32"/>
          <w:szCs w:val="32"/>
          <w:highlight w:val="none"/>
          <w14:textFill>
            <w14:solidFill>
              <w14:schemeClr w14:val="tx1"/>
            </w14:solidFill>
          </w14:textFill>
        </w:rPr>
        <w:t>两年，</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ascii="仿宋" w:hAnsi="仿宋" w:eastAsia="仿宋" w:cs="仿宋"/>
          <w:color w:val="000000" w:themeColor="text1"/>
          <w:kern w:val="0"/>
          <w:sz w:val="32"/>
          <w:szCs w:val="32"/>
          <w:highlight w:val="none"/>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暂定）</w:t>
      </w:r>
      <w:r>
        <w:rPr>
          <w:rFonts w:hint="eastAsia" w:ascii="仿宋" w:hAnsi="仿宋" w:eastAsia="仿宋" w:cs="仿宋"/>
          <w:color w:val="000000" w:themeColor="text1"/>
          <w:kern w:val="0"/>
          <w:sz w:val="32"/>
          <w:szCs w:val="32"/>
          <w:highlight w:val="none"/>
          <w14:textFill>
            <w14:solidFill>
              <w14:schemeClr w14:val="tx1"/>
            </w14:solidFill>
          </w14:textFill>
        </w:rPr>
        <w:t>至</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ascii="仿宋" w:hAnsi="仿宋" w:eastAsia="仿宋" w:cs="仿宋"/>
          <w:color w:val="000000" w:themeColor="text1"/>
          <w:kern w:val="0"/>
          <w:sz w:val="32"/>
          <w:szCs w:val="32"/>
          <w:highlight w:val="none"/>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kern w:val="0"/>
          <w:sz w:val="32"/>
          <w:szCs w:val="32"/>
          <w:highlight w:val="none"/>
          <w14:textFill>
            <w14:solidFill>
              <w14:schemeClr w14:val="tx1"/>
            </w14:solidFill>
          </w14:textFill>
        </w:rPr>
        <w:t>日（具体服务期限起始时间以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kern w:val="0"/>
          <w:sz w:val="32"/>
          <w:szCs w:val="32"/>
          <w:highlight w:val="none"/>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间</w:t>
      </w:r>
      <w:r>
        <w:rPr>
          <w:rFonts w:hint="eastAsia" w:ascii="仿宋" w:hAnsi="仿宋" w:eastAsia="仿宋" w:cs="仿宋"/>
          <w:color w:val="000000" w:themeColor="text1"/>
          <w:kern w:val="0"/>
          <w:sz w:val="32"/>
          <w:szCs w:val="32"/>
          <w:highlight w:val="none"/>
          <w14:textFill>
            <w14:solidFill>
              <w14:schemeClr w14:val="tx1"/>
            </w14:solidFill>
          </w14:textFill>
        </w:rPr>
        <w:t>如有变更的,服务期限届满时间相应变更，但服务期限两年不变）。</w:t>
      </w:r>
    </w:p>
    <w:p w14:paraId="6C4390D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2762F24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567C31E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sectPr>
          <w:footerReference r:id="rId3" w:type="default"/>
          <w:pgSz w:w="11907" w:h="16860"/>
          <w:pgMar w:top="1418" w:right="1418" w:bottom="1418" w:left="1418" w:header="857" w:footer="999" w:gutter="0"/>
          <w:cols w:space="720" w:num="1"/>
          <w:docGrid w:linePitch="286" w:charSpace="0"/>
        </w:sectPr>
      </w:pPr>
    </w:p>
    <w:p w14:paraId="2F883185">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475" w:name="_Toc2621"/>
      <w:bookmarkStart w:id="476" w:name="_Toc209383638"/>
      <w:bookmarkStart w:id="477" w:name="_Toc11307"/>
      <w:bookmarkStart w:id="478" w:name="_Toc3709"/>
      <w:bookmarkStart w:id="479" w:name="_Toc10866"/>
      <w:bookmarkStart w:id="480" w:name="_Toc29484"/>
      <w:bookmarkStart w:id="481" w:name="_Toc20921"/>
      <w:bookmarkStart w:id="482" w:name="_Toc10209"/>
      <w:bookmarkStart w:id="483" w:name="_Toc26529"/>
      <w:bookmarkStart w:id="484" w:name="_Toc18912"/>
      <w:bookmarkStart w:id="485" w:name="_Toc11764"/>
      <w:r>
        <w:rPr>
          <w:rFonts w:hint="eastAsia" w:ascii="仿宋" w:hAnsi="仿宋" w:eastAsia="仿宋"/>
          <w:color w:val="000000" w:themeColor="text1"/>
          <w:sz w:val="32"/>
          <w:highlight w:val="none"/>
          <w14:textFill>
            <w14:solidFill>
              <w14:schemeClr w14:val="tx1"/>
            </w14:solidFill>
          </w14:textFill>
        </w:rPr>
        <w:t>第二节 商务技术响应要求</w:t>
      </w:r>
      <w:bookmarkEnd w:id="475"/>
      <w:bookmarkEnd w:id="476"/>
      <w:bookmarkEnd w:id="477"/>
      <w:bookmarkEnd w:id="478"/>
      <w:bookmarkEnd w:id="479"/>
      <w:bookmarkEnd w:id="480"/>
      <w:bookmarkEnd w:id="481"/>
      <w:bookmarkEnd w:id="482"/>
      <w:bookmarkEnd w:id="483"/>
      <w:bookmarkEnd w:id="484"/>
      <w:bookmarkEnd w:id="485"/>
    </w:p>
    <w:p w14:paraId="2CF401EA">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一、商务要求</w:t>
      </w:r>
    </w:p>
    <w:p w14:paraId="7180232B">
      <w:pPr>
        <w:widowControl/>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bCs/>
          <w:color w:val="000000" w:themeColor="text1"/>
          <w:sz w:val="32"/>
          <w:szCs w:val="32"/>
          <w:highlight w:val="none"/>
          <w14:textFill>
            <w14:solidFill>
              <w14:schemeClr w14:val="tx1"/>
            </w14:solidFill>
          </w14:textFill>
        </w:rPr>
        <w:t>投标人应具备独立的法人资格，提供法人营业执照复印件</w:t>
      </w:r>
      <w:r>
        <w:rPr>
          <w:rFonts w:ascii="仿宋" w:hAnsi="仿宋" w:eastAsia="仿宋"/>
          <w:bCs/>
          <w:color w:val="000000" w:themeColor="text1"/>
          <w:sz w:val="32"/>
          <w:szCs w:val="32"/>
          <w:highlight w:val="none"/>
          <w14:textFill>
            <w14:solidFill>
              <w14:schemeClr w14:val="tx1"/>
            </w14:solidFill>
          </w14:textFill>
        </w:rPr>
        <w:t>(加盖投标人公章)。</w:t>
      </w:r>
    </w:p>
    <w:p w14:paraId="38C1378C">
      <w:pPr>
        <w:widowControl/>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2、</w:t>
      </w:r>
      <w:r>
        <w:rPr>
          <w:rFonts w:hint="eastAsia" w:ascii="仿宋" w:hAnsi="仿宋" w:eastAsia="仿宋"/>
          <w:bCs/>
          <w:color w:val="000000" w:themeColor="text1"/>
          <w:sz w:val="32"/>
          <w:szCs w:val="32"/>
          <w:highlight w:val="none"/>
          <w14:textFill>
            <w14:solidFill>
              <w14:schemeClr w14:val="tx1"/>
            </w14:solidFill>
          </w14:textFill>
        </w:rPr>
        <w:t>投标人授权代表若不是企业法定代表人，应提供法人授权书原件，并提供被授权代表身份证复印件。</w:t>
      </w:r>
    </w:p>
    <w:p w14:paraId="7C65C34F">
      <w:pPr>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3、</w:t>
      </w:r>
      <w:r>
        <w:rPr>
          <w:rFonts w:hint="eastAsia" w:ascii="仿宋" w:hAnsi="仿宋" w:eastAsia="仿宋"/>
          <w:bCs/>
          <w:color w:val="000000" w:themeColor="text1"/>
          <w:sz w:val="32"/>
          <w:szCs w:val="32"/>
          <w:highlight w:val="none"/>
          <w14:textFill>
            <w14:solidFill>
              <w14:schemeClr w14:val="tx1"/>
            </w14:solidFill>
          </w14:textFill>
        </w:rPr>
        <w:t>投标人必须提供自</w:t>
      </w:r>
      <w:r>
        <w:rPr>
          <w:rFonts w:ascii="仿宋" w:hAnsi="仿宋" w:eastAsia="仿宋"/>
          <w:bCs/>
          <w:color w:val="000000" w:themeColor="text1"/>
          <w:sz w:val="32"/>
          <w:szCs w:val="32"/>
          <w:highlight w:val="none"/>
          <w14:textFill>
            <w14:solidFill>
              <w14:schemeClr w14:val="tx1"/>
            </w14:solidFill>
          </w14:textFill>
        </w:rPr>
        <w:t>2023年1月1日起至今1个建筑垃圾清运类项目的经营业绩经验的有效证明文件（需提供合同的复印件，原件备查）。</w:t>
      </w:r>
    </w:p>
    <w:p w14:paraId="3BE22BE0">
      <w:pPr>
        <w:widowControl/>
        <w:adjustRightInd w:val="0"/>
        <w:snapToGrid w:val="0"/>
        <w:spacing w:beforeLines="25" w:afterLines="25" w:line="276" w:lineRule="auto"/>
        <w:ind w:firstLine="480" w:firstLineChars="150"/>
        <w:rPr>
          <w:rFonts w:ascii="仿宋" w:hAnsi="仿宋" w:eastAsia="仿宋"/>
          <w:bCs/>
          <w:iCs/>
          <w:color w:val="000000" w:themeColor="text1"/>
          <w:sz w:val="32"/>
          <w:szCs w:val="32"/>
          <w:highlight w:val="none"/>
          <w14:textFill>
            <w14:solidFill>
              <w14:schemeClr w14:val="tx1"/>
            </w14:solidFill>
          </w14:textFill>
        </w:rPr>
      </w:pPr>
      <w:bookmarkStart w:id="486" w:name="OLE_LINK28"/>
      <w:bookmarkStart w:id="487" w:name="OLE_LINK29"/>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参加采购活动前</w:t>
      </w:r>
      <w:r>
        <w:rPr>
          <w:rFonts w:ascii="仿宋" w:hAnsi="仿宋" w:eastAsia="仿宋"/>
          <w:color w:val="000000" w:themeColor="text1"/>
          <w:sz w:val="32"/>
          <w:szCs w:val="32"/>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86"/>
    <w:bookmarkEnd w:id="487"/>
    <w:p w14:paraId="7EB5DA1F">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二、技术要求</w:t>
      </w:r>
    </w:p>
    <w:p w14:paraId="55BB27F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488" w:name="OLE_LINK30"/>
      <w:r>
        <w:rPr>
          <w:rFonts w:ascii="仿宋" w:hAnsi="仿宋" w:eastAsia="仿宋"/>
          <w:color w:val="000000" w:themeColor="text1"/>
          <w:sz w:val="32"/>
          <w:szCs w:val="32"/>
          <w:highlight w:val="none"/>
          <w14:textFill>
            <w14:solidFill>
              <w14:schemeClr w14:val="tx1"/>
            </w14:solidFill>
          </w14:textFill>
        </w:rPr>
        <w:t>1、投标人提供的服务方案必须满足招标人的实际需求，招标人不再支付因投标人方案不完整而引起的费用。</w:t>
      </w:r>
    </w:p>
    <w:p w14:paraId="18EA6B7F">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投标人应在投标文件中对项目</w:t>
      </w:r>
      <w:r>
        <w:rPr>
          <w:rFonts w:hint="eastAsia" w:ascii="仿宋" w:hAnsi="仿宋" w:eastAsia="仿宋"/>
          <w:color w:val="000000" w:themeColor="text1"/>
          <w:sz w:val="32"/>
          <w:szCs w:val="32"/>
          <w:highlight w:val="none"/>
          <w14:textFill>
            <w14:solidFill>
              <w14:schemeClr w14:val="tx1"/>
            </w14:solidFill>
          </w14:textFill>
        </w:rPr>
        <w:t>提供的</w:t>
      </w:r>
      <w:r>
        <w:rPr>
          <w:rFonts w:hint="eastAsia" w:ascii="仿宋" w:hAnsi="仿宋" w:eastAsia="仿宋" w:cs="仿宋_GB2312"/>
          <w:color w:val="000000" w:themeColor="text1"/>
          <w:kern w:val="0"/>
          <w:sz w:val="32"/>
          <w:szCs w:val="32"/>
          <w:highlight w:val="none"/>
          <w14:textFill>
            <w14:solidFill>
              <w14:schemeClr w14:val="tx1"/>
            </w14:solidFill>
          </w14:textFill>
        </w:rPr>
        <w:t>服务质量予以保障，保障措施内容需完整，服务过程中的关键节点需有具体质量控制措施，有相应的人力、物力投入安排</w:t>
      </w:r>
      <w:r>
        <w:rPr>
          <w:rFonts w:ascii="仿宋" w:hAnsi="仿宋" w:eastAsia="仿宋"/>
          <w:color w:val="000000" w:themeColor="text1"/>
          <w:sz w:val="32"/>
          <w:szCs w:val="32"/>
          <w:highlight w:val="none"/>
          <w14:textFill>
            <w14:solidFill>
              <w14:schemeClr w14:val="tx1"/>
            </w14:solidFill>
          </w14:textFill>
        </w:rPr>
        <w:t>以及售后服务承诺</w:t>
      </w:r>
      <w:r>
        <w:rPr>
          <w:rFonts w:hint="eastAsia" w:ascii="仿宋" w:hAnsi="仿宋" w:eastAsia="仿宋"/>
          <w:color w:val="000000" w:themeColor="text1"/>
          <w:sz w:val="32"/>
          <w:szCs w:val="32"/>
          <w:highlight w:val="none"/>
          <w14:textFill>
            <w14:solidFill>
              <w14:schemeClr w14:val="tx1"/>
            </w14:solidFill>
          </w14:textFill>
        </w:rPr>
        <w:t>情况进行详细的书面说明及承诺。</w:t>
      </w:r>
    </w:p>
    <w:p w14:paraId="05E1E6C6">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若中标后未履行相关承诺，招标人有权扣除投标保证金和其他款项。</w:t>
      </w:r>
    </w:p>
    <w:p w14:paraId="38296160">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3、投标人须提交《安全生产管理协议书》并加盖公章（详见附件）。</w:t>
      </w:r>
    </w:p>
    <w:p w14:paraId="6739A67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4、中标人应严格依据投标文件所做承诺履行职责，如有违约，招标人有权根据协议、合同采取措施追究违约方的违约责任。</w:t>
      </w:r>
    </w:p>
    <w:p w14:paraId="0F4CC635">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5、中标人应当按照合同约定履行义务，不得将本项目（转包）给他人，一经发现，招标人有权立即终止合同，并追究中标人的违约责任和要求赔偿。</w:t>
      </w:r>
    </w:p>
    <w:bookmarkEnd w:id="488"/>
    <w:p w14:paraId="1A823379">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489" w:name="_Toc19717"/>
      <w:bookmarkStart w:id="490" w:name="_Toc1434"/>
      <w:bookmarkStart w:id="491" w:name="_Toc209383639"/>
      <w:bookmarkStart w:id="492" w:name="_Toc20648"/>
      <w:bookmarkStart w:id="493" w:name="_Toc13412"/>
      <w:bookmarkStart w:id="494" w:name="_Toc468718876"/>
      <w:bookmarkStart w:id="495" w:name="_Toc31160"/>
      <w:bookmarkStart w:id="496" w:name="_Toc19615"/>
      <w:bookmarkStart w:id="497" w:name="_Toc27010"/>
      <w:bookmarkStart w:id="498" w:name="_Toc29099"/>
      <w:bookmarkStart w:id="499" w:name="_Toc30026"/>
      <w:bookmarkStart w:id="500" w:name="_Toc16078"/>
      <w:r>
        <w:rPr>
          <w:rFonts w:hint="eastAsia" w:ascii="仿宋" w:hAnsi="仿宋" w:eastAsia="仿宋"/>
          <w:color w:val="000000" w:themeColor="text1"/>
          <w:sz w:val="32"/>
          <w:highlight w:val="none"/>
          <w14:textFill>
            <w14:solidFill>
              <w14:schemeClr w14:val="tx1"/>
            </w14:solidFill>
          </w14:textFill>
        </w:rPr>
        <w:t>第三节 报价要求</w:t>
      </w:r>
      <w:bookmarkEnd w:id="489"/>
      <w:bookmarkEnd w:id="490"/>
      <w:bookmarkEnd w:id="491"/>
      <w:bookmarkEnd w:id="492"/>
      <w:bookmarkEnd w:id="493"/>
      <w:bookmarkEnd w:id="494"/>
      <w:bookmarkEnd w:id="495"/>
      <w:bookmarkEnd w:id="496"/>
      <w:bookmarkEnd w:id="497"/>
      <w:bookmarkEnd w:id="498"/>
      <w:bookmarkEnd w:id="499"/>
      <w:bookmarkEnd w:id="500"/>
    </w:p>
    <w:p w14:paraId="4E9A16B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501" w:name="_Toc468718878"/>
      <w:bookmarkStart w:id="502" w:name="_Toc306290240"/>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、报价以人民币为货币单位，应分单价、小计和总价。</w:t>
      </w:r>
    </w:p>
    <w:p w14:paraId="1B1DEB79">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13339CB6">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、投标人漏报的单价或每单价报价中漏报、少报的费用，视为此项费用已隐含在投标报价中，中标后不得再向招标人收取任何费用。</w:t>
      </w:r>
    </w:p>
    <w:p w14:paraId="51703D78">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、投标人对本项目只能有一个报价，招标人不接受有选择的报价。</w:t>
      </w:r>
    </w:p>
    <w:p w14:paraId="0841665E">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、中标人在提供服务的过程中，若出现安全事故，其责任及相应的赔偿均由中标人承担，招标人不承担所有责任及义务。</w:t>
      </w:r>
    </w:p>
    <w:p w14:paraId="24C0C0C7">
      <w:pPr>
        <w:spacing w:line="48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bookmarkEnd w:id="501"/>
      <w:bookmarkEnd w:id="502"/>
      <w:r>
        <w:rPr>
          <w:rFonts w:hint="eastAsia" w:ascii="仿宋" w:hAnsi="仿宋" w:eastAsia="仿宋"/>
          <w:color w:val="000000" w:themeColor="text1"/>
          <w:sz w:val="32"/>
          <w:szCs w:val="32"/>
          <w:highlight w:val="none"/>
          <w14:textFill>
            <w14:solidFill>
              <w14:schemeClr w14:val="tx1"/>
            </w14:solidFill>
          </w14:textFill>
        </w:rPr>
        <w:t>履约保证金：中标人须向招标人缴交履约保证金，履约保证金在双方合同终止、交接清楚和债权债务等关系理顺后30日历天内无息返还。</w:t>
      </w:r>
    </w:p>
    <w:p w14:paraId="6AAC6551">
      <w:pPr>
        <w:spacing w:line="48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39282975">
      <w:pPr>
        <w:bidi w:val="0"/>
      </w:pPr>
    </w:p>
    <w:p w14:paraId="394A9B60">
      <w:pPr>
        <w:bidi w:val="0"/>
      </w:pPr>
    </w:p>
    <w:bookmarkEnd w:id="8"/>
    <w:p w14:paraId="1E8CF7F4">
      <w:pPr>
        <w:bidi w:val="0"/>
      </w:pPr>
      <w:bookmarkStart w:id="503" w:name="_Toc21842"/>
      <w:bookmarkStart w:id="504" w:name="_Toc30338"/>
      <w:bookmarkStart w:id="505" w:name="_Toc25453"/>
    </w:p>
    <w:p w14:paraId="68AF4465">
      <w:pPr>
        <w:bidi w:val="0"/>
      </w:pPr>
    </w:p>
    <w:p w14:paraId="28BB64C7">
      <w:pPr>
        <w:bidi w:val="0"/>
      </w:pPr>
    </w:p>
    <w:p w14:paraId="71674A5D">
      <w:pPr>
        <w:bidi w:val="0"/>
      </w:pPr>
    </w:p>
    <w:p w14:paraId="15FCA139">
      <w:pPr>
        <w:rPr>
          <w:rFonts w:hint="eastAsia" w:ascii="仿宋" w:hAnsi="仿宋" w:eastAsia="仿宋"/>
          <w:color w:val="000000" w:themeColor="text1"/>
          <w:szCs w:val="32"/>
          <w:highlight w:val="none"/>
          <w14:textFill>
            <w14:solidFill>
              <w14:schemeClr w14:val="tx1"/>
            </w14:solidFill>
          </w14:textFill>
        </w:rPr>
      </w:pPr>
      <w:bookmarkStart w:id="506" w:name="_Toc14435"/>
      <w:bookmarkStart w:id="507" w:name="_Toc209383640"/>
      <w:bookmarkStart w:id="508" w:name="_Toc519"/>
      <w:bookmarkStart w:id="509" w:name="_Toc19544"/>
      <w:bookmarkStart w:id="510" w:name="_Toc17467"/>
      <w:bookmarkStart w:id="511" w:name="_Toc9738"/>
      <w:bookmarkStart w:id="512" w:name="_Toc12872"/>
      <w:r>
        <w:rPr>
          <w:rFonts w:hint="eastAsia" w:ascii="仿宋" w:hAnsi="仿宋" w:eastAsia="仿宋"/>
          <w:color w:val="000000" w:themeColor="text1"/>
          <w:szCs w:val="32"/>
          <w:highlight w:val="none"/>
          <w14:textFill>
            <w14:solidFill>
              <w14:schemeClr w14:val="tx1"/>
            </w14:solidFill>
          </w14:textFill>
        </w:rPr>
        <w:br w:type="page"/>
      </w:r>
    </w:p>
    <w:p w14:paraId="3E4CBC01">
      <w:pPr>
        <w:pStyle w:val="2"/>
        <w:keepNext w:val="0"/>
        <w:keepLines w:val="0"/>
        <w:spacing w:before="0" w:after="0" w:line="500" w:lineRule="exact"/>
        <w:jc w:val="center"/>
        <w:rPr>
          <w:rFonts w:ascii="仿宋" w:hAnsi="仿宋" w:eastAsia="仿宋"/>
          <w:color w:val="000000" w:themeColor="text1"/>
          <w:szCs w:val="32"/>
          <w:highlight w:val="none"/>
          <w14:textFill>
            <w14:solidFill>
              <w14:schemeClr w14:val="tx1"/>
            </w14:solidFill>
          </w14:textFill>
        </w:rPr>
      </w:pPr>
      <w:bookmarkStart w:id="513" w:name="_Toc7614"/>
      <w:r>
        <w:rPr>
          <w:rFonts w:hint="eastAsia" w:ascii="仿宋" w:hAnsi="仿宋" w:eastAsia="仿宋"/>
          <w:color w:val="000000" w:themeColor="text1"/>
          <w:szCs w:val="32"/>
          <w:highlight w:val="none"/>
          <w14:textFill>
            <w14:solidFill>
              <w14:schemeClr w14:val="tx1"/>
            </w14:solidFill>
          </w14:textFill>
        </w:rPr>
        <w:t>第四章</w:t>
      </w:r>
      <w:r>
        <w:rPr>
          <w:rFonts w:ascii="仿宋" w:hAnsi="仿宋" w:eastAsia="仿宋"/>
          <w:color w:val="000000" w:themeColor="text1"/>
          <w:szCs w:val="32"/>
          <w:highlight w:val="none"/>
          <w14:textFill>
            <w14:solidFill>
              <w14:schemeClr w14:val="tx1"/>
            </w14:solidFill>
          </w14:textFill>
        </w:rPr>
        <w:t xml:space="preserve">  </w:t>
      </w:r>
      <w:r>
        <w:rPr>
          <w:rFonts w:hint="eastAsia" w:ascii="仿宋" w:hAnsi="仿宋" w:eastAsia="仿宋"/>
          <w:color w:val="000000" w:themeColor="text1"/>
          <w:szCs w:val="32"/>
          <w:highlight w:val="none"/>
          <w14:textFill>
            <w14:solidFill>
              <w14:schemeClr w14:val="tx1"/>
            </w14:solidFill>
          </w14:textFill>
        </w:rPr>
        <w:t>投标文件格式</w:t>
      </w:r>
      <w:bookmarkEnd w:id="503"/>
      <w:bookmarkEnd w:id="504"/>
      <w:bookmarkEnd w:id="505"/>
      <w:bookmarkEnd w:id="506"/>
      <w:bookmarkEnd w:id="507"/>
      <w:bookmarkEnd w:id="508"/>
      <w:bookmarkEnd w:id="509"/>
      <w:bookmarkEnd w:id="510"/>
      <w:bookmarkEnd w:id="511"/>
      <w:bookmarkEnd w:id="512"/>
      <w:bookmarkEnd w:id="513"/>
    </w:p>
    <w:p w14:paraId="2652C4F4">
      <w:pPr>
        <w:rPr>
          <w:color w:val="000000" w:themeColor="text1"/>
          <w:sz w:val="32"/>
          <w:szCs w:val="32"/>
          <w:highlight w:val="none"/>
          <w14:textFill>
            <w14:solidFill>
              <w14:schemeClr w14:val="tx1"/>
            </w14:solidFill>
          </w14:textFill>
        </w:rPr>
      </w:pPr>
    </w:p>
    <w:p w14:paraId="4C5FFD90">
      <w:pPr>
        <w:spacing w:line="360" w:lineRule="auto"/>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（本章格式文件可供参考，投标人可根据项目实际需求进行编制）</w:t>
      </w:r>
    </w:p>
    <w:p w14:paraId="64930A14">
      <w:pPr>
        <w:pStyle w:val="25"/>
        <w:spacing w:line="360" w:lineRule="auto"/>
        <w:rPr>
          <w:rFonts w:ascii="仿宋" w:hAnsi="仿宋" w:eastAsia="仿宋"/>
          <w:color w:val="000000" w:themeColor="text1"/>
          <w:sz w:val="32"/>
          <w:szCs w:val="32"/>
          <w:highlight w:val="none"/>
          <w14:textFill>
            <w14:solidFill>
              <w14:schemeClr w14:val="tx1"/>
            </w14:solidFill>
          </w14:textFill>
        </w:rPr>
      </w:pPr>
    </w:p>
    <w:p w14:paraId="0D2F875F">
      <w:pPr>
        <w:pStyle w:val="25"/>
        <w:spacing w:line="36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封面）</w:t>
      </w:r>
    </w:p>
    <w:p w14:paraId="18676EA1">
      <w:pPr>
        <w:spacing w:line="360" w:lineRule="auto"/>
        <w:jc w:val="center"/>
        <w:rPr>
          <w:rFonts w:ascii="仿宋" w:hAnsi="仿宋" w:eastAsia="仿宋"/>
          <w:b/>
          <w:color w:val="000000" w:themeColor="text1"/>
          <w:sz w:val="72"/>
          <w:highlight w:val="none"/>
          <w14:textFill>
            <w14:solidFill>
              <w14:schemeClr w14:val="tx1"/>
            </w14:solidFill>
          </w14:textFill>
        </w:rPr>
      </w:pPr>
    </w:p>
    <w:p w14:paraId="152F5A62">
      <w:pPr>
        <w:spacing w:line="360" w:lineRule="auto"/>
        <w:jc w:val="center"/>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  标  文  件</w:t>
      </w:r>
    </w:p>
    <w:p w14:paraId="04E2D651">
      <w:pPr>
        <w:spacing w:line="360" w:lineRule="auto"/>
        <w:rPr>
          <w:rFonts w:ascii="仿宋" w:hAnsi="仿宋" w:eastAsia="仿宋"/>
          <w:b/>
          <w:color w:val="000000" w:themeColor="text1"/>
          <w:sz w:val="36"/>
          <w:highlight w:val="none"/>
          <w14:textFill>
            <w14:solidFill>
              <w14:schemeClr w14:val="tx1"/>
            </w14:solidFill>
          </w14:textFill>
        </w:rPr>
      </w:pPr>
    </w:p>
    <w:p w14:paraId="03740295">
      <w:pPr>
        <w:spacing w:line="360" w:lineRule="auto"/>
        <w:ind w:firstLine="1084" w:firstLineChars="300"/>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项 目 名 称：</w:t>
      </w:r>
    </w:p>
    <w:p w14:paraId="142A9942">
      <w:pPr>
        <w:spacing w:line="360" w:lineRule="auto"/>
        <w:ind w:firstLine="1084" w:firstLineChars="300"/>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招 标 编 号：</w:t>
      </w:r>
    </w:p>
    <w:p w14:paraId="663B68E5">
      <w:pPr>
        <w:spacing w:line="360" w:lineRule="auto"/>
        <w:rPr>
          <w:rFonts w:ascii="仿宋" w:hAnsi="仿宋" w:eastAsia="仿宋"/>
          <w:b/>
          <w:color w:val="000000" w:themeColor="text1"/>
          <w:sz w:val="36"/>
          <w:highlight w:val="none"/>
          <w14:textFill>
            <w14:solidFill>
              <w14:schemeClr w14:val="tx1"/>
            </w14:solidFill>
          </w14:textFill>
        </w:rPr>
      </w:pPr>
    </w:p>
    <w:p w14:paraId="1B1A1FAB">
      <w:pPr>
        <w:spacing w:line="360" w:lineRule="auto"/>
        <w:rPr>
          <w:rFonts w:ascii="仿宋" w:hAnsi="仿宋" w:eastAsia="仿宋"/>
          <w:b/>
          <w:color w:val="000000" w:themeColor="text1"/>
          <w:sz w:val="36"/>
          <w:highlight w:val="none"/>
          <w14:textFill>
            <w14:solidFill>
              <w14:schemeClr w14:val="tx1"/>
            </w14:solidFill>
          </w14:textFill>
        </w:rPr>
      </w:pPr>
    </w:p>
    <w:p w14:paraId="0FBE2A30">
      <w:pPr>
        <w:spacing w:line="360" w:lineRule="auto"/>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投标人名称 ：</w:t>
      </w:r>
    </w:p>
    <w:p w14:paraId="3B1A6FB6">
      <w:pPr>
        <w:spacing w:line="360" w:lineRule="auto"/>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日      期 ：</w:t>
      </w:r>
    </w:p>
    <w:p w14:paraId="5FAA8192">
      <w:pPr>
        <w:pStyle w:val="26"/>
        <w:spacing w:line="360" w:lineRule="auto"/>
        <w:jc w:val="left"/>
        <w:rPr>
          <w:rFonts w:ascii="仿宋" w:hAnsi="仿宋" w:eastAsia="仿宋"/>
          <w:b/>
          <w:color w:val="000000" w:themeColor="text1"/>
          <w:sz w:val="24"/>
          <w:highlight w:val="none"/>
          <w14:textFill>
            <w14:solidFill>
              <w14:schemeClr w14:val="tx1"/>
            </w14:solidFill>
          </w14:textFill>
        </w:rPr>
      </w:pPr>
    </w:p>
    <w:p w14:paraId="457E819D">
      <w:pPr>
        <w:pStyle w:val="26"/>
        <w:spacing w:line="360" w:lineRule="auto"/>
        <w:jc w:val="left"/>
        <w:rPr>
          <w:rFonts w:ascii="仿宋" w:hAnsi="仿宋" w:eastAsia="仿宋"/>
          <w:b/>
          <w:color w:val="000000" w:themeColor="text1"/>
          <w:sz w:val="24"/>
          <w:highlight w:val="none"/>
          <w14:textFill>
            <w14:solidFill>
              <w14:schemeClr w14:val="tx1"/>
            </w14:solidFill>
          </w14:textFill>
        </w:rPr>
      </w:pPr>
    </w:p>
    <w:p w14:paraId="337B0CB8">
      <w:pPr>
        <w:pStyle w:val="5"/>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06EDA257">
      <w:pPr>
        <w:pStyle w:val="5"/>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3B089393">
      <w:pPr>
        <w:rPr>
          <w:rFonts w:ascii="仿宋" w:hAnsi="仿宋" w:eastAsia="仿宋"/>
          <w:b/>
          <w:bCs/>
          <w:color w:val="000000" w:themeColor="text1"/>
          <w:sz w:val="32"/>
          <w:highlight w:val="none"/>
          <w:lang w:eastAsia="zh-CN"/>
          <w14:textFill>
            <w14:solidFill>
              <w14:schemeClr w14:val="tx1"/>
            </w14:solidFill>
          </w14:textFill>
        </w:rPr>
      </w:pPr>
      <w:r>
        <w:rPr>
          <w:rFonts w:ascii="仿宋" w:hAnsi="仿宋" w:eastAsia="仿宋"/>
          <w:b/>
          <w:bCs/>
          <w:color w:val="000000" w:themeColor="text1"/>
          <w:sz w:val="32"/>
          <w:highlight w:val="none"/>
          <w:lang w:eastAsia="zh-CN"/>
          <w14:textFill>
            <w14:solidFill>
              <w14:schemeClr w14:val="tx1"/>
            </w14:solidFill>
          </w14:textFill>
        </w:rPr>
        <w:br w:type="page"/>
      </w:r>
    </w:p>
    <w:p w14:paraId="6362495F">
      <w:pPr>
        <w:pStyle w:val="5"/>
        <w:snapToGrid w:val="0"/>
        <w:spacing w:line="360" w:lineRule="auto"/>
        <w:ind w:left="0"/>
        <w:jc w:val="both"/>
        <w:rPr>
          <w:rFonts w:ascii="仿宋" w:hAnsi="仿宋" w:eastAsia="仿宋"/>
          <w:b/>
          <w:bCs/>
          <w:color w:val="000000" w:themeColor="text1"/>
          <w:sz w:val="32"/>
          <w:highlight w:val="none"/>
          <w:lang w:eastAsia="zh-CN"/>
          <w14:textFill>
            <w14:solidFill>
              <w14:schemeClr w14:val="tx1"/>
            </w14:solidFill>
          </w14:textFill>
        </w:rPr>
      </w:pPr>
    </w:p>
    <w:p w14:paraId="721DF276">
      <w:pPr>
        <w:pStyle w:val="5"/>
        <w:snapToGrid w:val="0"/>
        <w:spacing w:line="500" w:lineRule="exact"/>
        <w:ind w:left="0" w:firstLine="3855" w:firstLineChars="1200"/>
        <w:jc w:val="both"/>
        <w:rPr>
          <w:rFonts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lang w:eastAsia="zh-CN"/>
          <w14:textFill>
            <w14:solidFill>
              <w14:schemeClr w14:val="tx1"/>
            </w14:solidFill>
          </w14:textFill>
        </w:rPr>
        <w:t>目    录</w:t>
      </w:r>
    </w:p>
    <w:p w14:paraId="1EF85603">
      <w:pPr>
        <w:spacing w:line="500" w:lineRule="exact"/>
        <w:rPr>
          <w:rFonts w:ascii="仿宋" w:hAnsi="仿宋" w:eastAsia="仿宋"/>
          <w:color w:val="000000" w:themeColor="text1"/>
          <w:sz w:val="32"/>
          <w:szCs w:val="32"/>
          <w:highlight w:val="none"/>
          <w14:textFill>
            <w14:solidFill>
              <w14:schemeClr w14:val="tx1"/>
            </w14:solidFill>
          </w14:textFill>
        </w:rPr>
      </w:pPr>
    </w:p>
    <w:p w14:paraId="1D80F20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 标 书</w:t>
      </w:r>
    </w:p>
    <w:p w14:paraId="7FC96D7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p w14:paraId="78DCEC0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投标人业绩证明</w:t>
      </w:r>
    </w:p>
    <w:p w14:paraId="5B02CE8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 安全生产管理协议书</w:t>
      </w:r>
    </w:p>
    <w:p w14:paraId="26C0062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 售后服务承诺函</w:t>
      </w:r>
    </w:p>
    <w:p w14:paraId="1F275DAB">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 法人代表授权书</w:t>
      </w:r>
    </w:p>
    <w:p w14:paraId="4EDBFFFC">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法人营业执照</w:t>
      </w:r>
    </w:p>
    <w:p w14:paraId="7BE636B6">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 廉洁诚信承诺书</w:t>
      </w:r>
    </w:p>
    <w:p w14:paraId="2EE07548">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 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p w14:paraId="0045946C">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 投标人提交的其它资料</w:t>
      </w:r>
    </w:p>
    <w:p w14:paraId="30222876">
      <w:pPr>
        <w:spacing w:line="440" w:lineRule="exact"/>
        <w:rPr>
          <w:rFonts w:ascii="仿宋" w:hAnsi="仿宋" w:eastAsia="仿宋"/>
          <w:b/>
          <w:color w:val="000000" w:themeColor="text1"/>
          <w:sz w:val="32"/>
          <w:szCs w:val="32"/>
          <w:highlight w:val="none"/>
          <w14:textFill>
            <w14:solidFill>
              <w14:schemeClr w14:val="tx1"/>
            </w14:solidFill>
          </w14:textFill>
        </w:rPr>
      </w:pPr>
    </w:p>
    <w:p w14:paraId="5DDB5425">
      <w:pPr>
        <w:spacing w:line="440" w:lineRule="exact"/>
        <w:rPr>
          <w:rFonts w:ascii="仿宋" w:hAnsi="仿宋" w:eastAsia="仿宋"/>
          <w:b/>
          <w:color w:val="000000" w:themeColor="text1"/>
          <w:sz w:val="32"/>
          <w:szCs w:val="32"/>
          <w:highlight w:val="none"/>
          <w14:textFill>
            <w14:solidFill>
              <w14:schemeClr w14:val="tx1"/>
            </w14:solidFill>
          </w14:textFill>
        </w:rPr>
      </w:pPr>
    </w:p>
    <w:p w14:paraId="2B118169">
      <w:pPr>
        <w:spacing w:line="440" w:lineRule="exact"/>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szCs w:val="32"/>
          <w:highlight w:val="none"/>
          <w14:textFill>
            <w14:solidFill>
              <w14:schemeClr w14:val="tx1"/>
            </w14:solidFill>
          </w14:textFill>
        </w:rPr>
        <w:t>说明：投标人应按投标文件的实际情况编制目录</w:t>
      </w:r>
    </w:p>
    <w:p w14:paraId="5673BB8A">
      <w:pPr>
        <w:spacing w:line="500" w:lineRule="exact"/>
        <w:rPr>
          <w:rFonts w:ascii="仿宋" w:hAnsi="仿宋" w:eastAsia="仿宋"/>
          <w:b/>
          <w:color w:val="000000" w:themeColor="text1"/>
          <w:sz w:val="32"/>
          <w:szCs w:val="32"/>
          <w:highlight w:val="none"/>
          <w14:textFill>
            <w14:solidFill>
              <w14:schemeClr w14:val="tx1"/>
            </w14:solidFill>
          </w14:textFill>
        </w:rPr>
      </w:pPr>
    </w:p>
    <w:p w14:paraId="7A70CA62">
      <w:pPr>
        <w:rPr>
          <w:rFonts w:hint="eastAsia" w:ascii="仿宋" w:hAnsi="仿宋" w:eastAsia="仿宋"/>
          <w:b/>
          <w:bCs/>
          <w:color w:val="000000" w:themeColor="text1"/>
          <w:sz w:val="32"/>
          <w:szCs w:val="32"/>
          <w:highlight w:val="none"/>
          <w14:textFill>
            <w14:solidFill>
              <w14:schemeClr w14:val="tx1"/>
            </w14:solidFill>
          </w14:textFill>
        </w:rPr>
      </w:pPr>
      <w:bookmarkStart w:id="514" w:name="_Toc186344305"/>
      <w:r>
        <w:rPr>
          <w:rFonts w:hint="eastAsia" w:ascii="仿宋" w:hAnsi="仿宋" w:eastAsia="仿宋"/>
          <w:b/>
          <w:bCs/>
          <w:color w:val="000000" w:themeColor="text1"/>
          <w:sz w:val="32"/>
          <w:szCs w:val="32"/>
          <w:highlight w:val="none"/>
          <w14:textFill>
            <w14:solidFill>
              <w14:schemeClr w14:val="tx1"/>
            </w14:solidFill>
          </w14:textFill>
        </w:rPr>
        <w:br w:type="page"/>
      </w:r>
    </w:p>
    <w:p w14:paraId="317635F7">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　　</w:t>
      </w:r>
    </w:p>
    <w:p w14:paraId="2DDB44A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C84EA1E">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 标 书</w:t>
      </w:r>
      <w:bookmarkEnd w:id="514"/>
    </w:p>
    <w:p w14:paraId="49F9294B">
      <w:pPr>
        <w:spacing w:line="500" w:lineRule="exact"/>
        <w:rPr>
          <w:rFonts w:ascii="仿宋" w:hAnsi="仿宋" w:eastAsia="仿宋"/>
          <w:color w:val="000000" w:themeColor="text1"/>
          <w:sz w:val="32"/>
          <w:szCs w:val="32"/>
          <w:highlight w:val="none"/>
          <w14:textFill>
            <w14:solidFill>
              <w14:schemeClr w14:val="tx1"/>
            </w14:solidFill>
          </w14:textFill>
        </w:rPr>
      </w:pPr>
    </w:p>
    <w:p w14:paraId="50F2D58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p>
    <w:p w14:paraId="333726D0">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根据贵方为项目的招标要求（招标编号）: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本签字代表</w:t>
      </w:r>
      <w:r>
        <w:rPr>
          <w:rFonts w:hint="eastAsia" w:ascii="仿宋" w:hAnsi="仿宋" w:eastAsia="仿宋"/>
          <w:color w:val="000000" w:themeColor="text1"/>
          <w:sz w:val="32"/>
          <w:szCs w:val="32"/>
          <w:highlight w:val="none"/>
          <w:u w:val="single"/>
          <w14:textFill>
            <w14:solidFill>
              <w14:schemeClr w14:val="tx1"/>
            </w14:solidFill>
          </w14:textFill>
        </w:rPr>
        <w:t>（全名、职务）</w:t>
      </w:r>
      <w:r>
        <w:rPr>
          <w:rFonts w:hint="eastAsia" w:ascii="仿宋" w:hAnsi="仿宋" w:eastAsia="仿宋"/>
          <w:color w:val="000000" w:themeColor="text1"/>
          <w:sz w:val="32"/>
          <w:szCs w:val="32"/>
          <w:highlight w:val="none"/>
          <w14:textFill>
            <w14:solidFill>
              <w14:schemeClr w14:val="tx1"/>
            </w14:solidFill>
          </w14:textFill>
        </w:rPr>
        <w:t>正式授权并代表投标人（投标人名称、地址）提交下述文件正本一份和副本一份。</w:t>
      </w:r>
    </w:p>
    <w:tbl>
      <w:tblPr>
        <w:tblStyle w:val="16"/>
        <w:tblW w:w="8928" w:type="dxa"/>
        <w:jc w:val="center"/>
        <w:tblLayout w:type="fixed"/>
        <w:tblCellMar>
          <w:top w:w="0" w:type="dxa"/>
          <w:left w:w="108" w:type="dxa"/>
          <w:bottom w:w="0" w:type="dxa"/>
          <w:right w:w="108" w:type="dxa"/>
        </w:tblCellMar>
      </w:tblPr>
      <w:tblGrid>
        <w:gridCol w:w="4465"/>
        <w:gridCol w:w="4463"/>
      </w:tblGrid>
      <w:tr w14:paraId="5E1F5EA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686111A">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投标书</w:t>
            </w:r>
          </w:p>
        </w:tc>
        <w:tc>
          <w:tcPr>
            <w:tcW w:w="4463" w:type="dxa"/>
            <w:tcBorders>
              <w:top w:val="single" w:color="auto" w:sz="4" w:space="0"/>
              <w:left w:val="single" w:color="auto" w:sz="4" w:space="0"/>
              <w:bottom w:val="single" w:color="auto" w:sz="4" w:space="0"/>
              <w:right w:val="single" w:color="auto" w:sz="4" w:space="0"/>
            </w:tcBorders>
          </w:tcPr>
          <w:p w14:paraId="24B7056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tc>
      </w:tr>
      <w:tr w14:paraId="7642F8F2">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E02D79C">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投标人业绩证明</w:t>
            </w:r>
          </w:p>
        </w:tc>
        <w:tc>
          <w:tcPr>
            <w:tcW w:w="4463" w:type="dxa"/>
            <w:tcBorders>
              <w:top w:val="single" w:color="auto" w:sz="4" w:space="0"/>
              <w:left w:val="single" w:color="auto" w:sz="4" w:space="0"/>
              <w:bottom w:val="single" w:color="auto" w:sz="4" w:space="0"/>
              <w:right w:val="single" w:color="auto" w:sz="4" w:space="0"/>
            </w:tcBorders>
          </w:tcPr>
          <w:p w14:paraId="408ECD1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 安全生产管理协议书</w:t>
            </w:r>
          </w:p>
        </w:tc>
      </w:tr>
      <w:tr w14:paraId="090FFF4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vAlign w:val="center"/>
          </w:tcPr>
          <w:p w14:paraId="6924350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（5）售后服务承诺函</w:t>
            </w:r>
          </w:p>
        </w:tc>
        <w:tc>
          <w:tcPr>
            <w:tcW w:w="4463" w:type="dxa"/>
            <w:tcBorders>
              <w:top w:val="single" w:color="auto" w:sz="4" w:space="0"/>
              <w:left w:val="single" w:color="auto" w:sz="4" w:space="0"/>
              <w:bottom w:val="single" w:color="auto" w:sz="4" w:space="0"/>
              <w:right w:val="single" w:color="auto" w:sz="4" w:space="0"/>
            </w:tcBorders>
          </w:tcPr>
          <w:p w14:paraId="668277E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（6）法人代表授权书、法人营业执照、税务登记证</w:t>
            </w:r>
          </w:p>
        </w:tc>
      </w:tr>
      <w:tr w14:paraId="18980CA3">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72FF01D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法人营业执照</w:t>
            </w:r>
          </w:p>
        </w:tc>
        <w:tc>
          <w:tcPr>
            <w:tcW w:w="4463" w:type="dxa"/>
            <w:tcBorders>
              <w:top w:val="single" w:color="auto" w:sz="4" w:space="0"/>
              <w:left w:val="single" w:color="auto" w:sz="4" w:space="0"/>
              <w:bottom w:val="single" w:color="auto" w:sz="4" w:space="0"/>
              <w:right w:val="single" w:color="auto" w:sz="4" w:space="0"/>
            </w:tcBorders>
          </w:tcPr>
          <w:p w14:paraId="743053A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 廉洁诚信承诺书</w:t>
            </w:r>
          </w:p>
        </w:tc>
      </w:tr>
      <w:tr w14:paraId="1BB4A0C9">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2B0025B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tc>
        <w:tc>
          <w:tcPr>
            <w:tcW w:w="4463" w:type="dxa"/>
            <w:tcBorders>
              <w:top w:val="single" w:color="auto" w:sz="4" w:space="0"/>
              <w:left w:val="single" w:color="auto" w:sz="4" w:space="0"/>
              <w:bottom w:val="single" w:color="auto" w:sz="4" w:space="0"/>
              <w:right w:val="single" w:color="auto" w:sz="4" w:space="0"/>
            </w:tcBorders>
          </w:tcPr>
          <w:p w14:paraId="6F90F44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 投标人</w:t>
            </w:r>
            <w:r>
              <w:rPr>
                <w:rFonts w:hint="eastAsia" w:ascii="仿宋" w:hAnsi="仿宋" w:eastAsia="仿宋"/>
                <w:bCs/>
                <w:color w:val="000000" w:themeColor="text1"/>
                <w:sz w:val="32"/>
                <w:szCs w:val="32"/>
                <w:highlight w:val="none"/>
                <w14:textFill>
                  <w14:solidFill>
                    <w14:schemeClr w14:val="tx1"/>
                  </w14:solidFill>
                </w14:textFill>
              </w:rPr>
              <w:t>提</w:t>
            </w:r>
            <w:r>
              <w:rPr>
                <w:rFonts w:hint="eastAsia" w:ascii="仿宋" w:hAnsi="仿宋" w:eastAsia="仿宋"/>
                <w:color w:val="000000" w:themeColor="text1"/>
                <w:sz w:val="32"/>
                <w:szCs w:val="32"/>
                <w:highlight w:val="none"/>
                <w14:textFill>
                  <w14:solidFill>
                    <w14:schemeClr w14:val="tx1"/>
                  </w14:solidFill>
                </w14:textFill>
              </w:rPr>
              <w:t>交的其它资料</w:t>
            </w:r>
          </w:p>
        </w:tc>
      </w:tr>
    </w:tbl>
    <w:p w14:paraId="126C6EC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以</w:t>
      </w:r>
      <w:r>
        <w:rPr>
          <w:rFonts w:hint="eastAsia" w:ascii="仿宋" w:hAnsi="仿宋" w:eastAsia="仿宋"/>
          <w:color w:val="000000" w:themeColor="text1"/>
          <w:sz w:val="32"/>
          <w:szCs w:val="32"/>
          <w:highlight w:val="none"/>
          <w:u w:val="single"/>
          <w14:textFill>
            <w14:solidFill>
              <w14:schemeClr w14:val="tx1"/>
            </w14:solidFill>
          </w14:textFill>
        </w:rPr>
        <w:t>转账</w:t>
      </w:r>
      <w:r>
        <w:rPr>
          <w:rFonts w:hint="eastAsia" w:ascii="仿宋" w:hAnsi="仿宋" w:eastAsia="仿宋"/>
          <w:color w:val="000000" w:themeColor="text1"/>
          <w:sz w:val="32"/>
          <w:szCs w:val="32"/>
          <w:highlight w:val="none"/>
          <w14:textFill>
            <w14:solidFill>
              <w14:schemeClr w14:val="tx1"/>
            </w14:solidFill>
          </w14:textFill>
        </w:rPr>
        <w:t>方式提供的金额为人民币</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的投标保证金</w:t>
      </w:r>
    </w:p>
    <w:p w14:paraId="296E4D5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据此函，签字代表宣布同意如下：</w:t>
      </w:r>
    </w:p>
    <w:p w14:paraId="332208F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1.投标人已详细审查全部招标文件，包括修改文件（如有的话）和有关附件，将自行承担因对全部招标文件理解不正确或误解而产生的相应后果。</w:t>
      </w:r>
    </w:p>
    <w:p w14:paraId="78CE719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2.投标人保证遵守招标文件的全部规定，投标人所提交的材料中所含的信息均为真实、准确、完整，且不具有任何误导性。</w:t>
      </w:r>
    </w:p>
    <w:p w14:paraId="75C526FB">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3.投标人将按招标文件的规定履行合同责任和义务。</w:t>
      </w:r>
    </w:p>
    <w:p w14:paraId="6815D46B">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4.本投标文件自开标日起投标有效期为：在招标文件投标人须知前附表第</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项所规定的期限内保持有效。</w:t>
      </w:r>
    </w:p>
    <w:p w14:paraId="676343A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5.如果发生招标文件第二章投标人须知第12条所述情况，则同意招标人不予退还投标保证金。</w:t>
      </w:r>
    </w:p>
    <w:p w14:paraId="7459042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6.投标人同意提供按照招标人可能要求的与其投标有关的一切数据或资料，完全理解贵方不一定要接受最低的报价或收到的任何投标。</w:t>
      </w:r>
    </w:p>
    <w:p w14:paraId="5E13329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与本投标有关的一切正式往来通讯请寄：</w:t>
      </w:r>
    </w:p>
    <w:p w14:paraId="21E62EB3">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地址：  邮编： </w:t>
      </w:r>
    </w:p>
    <w:p w14:paraId="590F561E">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电话：  传真： </w:t>
      </w:r>
    </w:p>
    <w:p w14:paraId="72D50F6B">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7F99082D">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2C25D6B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 年 月 日</w:t>
      </w:r>
    </w:p>
    <w:p w14:paraId="2078D830">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97F0388">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格式2　</w:t>
      </w:r>
    </w:p>
    <w:p w14:paraId="309E1752">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B823AE9">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开标一览表</w:t>
      </w:r>
    </w:p>
    <w:p w14:paraId="33560662">
      <w:pPr>
        <w:pStyle w:val="7"/>
        <w:tabs>
          <w:tab w:val="left" w:pos="3996"/>
          <w:tab w:val="left" w:pos="8437"/>
        </w:tabs>
        <w:spacing w:line="500" w:lineRule="exact"/>
        <w:ind w:left="36"/>
        <w:rPr>
          <w:rFonts w:ascii="仿宋" w:hAnsi="仿宋" w:eastAsia="仿宋"/>
          <w:color w:val="000000" w:themeColor="text1"/>
          <w:sz w:val="32"/>
          <w:szCs w:val="32"/>
          <w:highlight w:val="none"/>
          <w14:textFill>
            <w14:solidFill>
              <w14:schemeClr w14:val="tx1"/>
            </w14:solidFill>
          </w14:textFill>
        </w:rPr>
      </w:pPr>
    </w:p>
    <w:p w14:paraId="3994BAE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5AE965D6">
      <w:pPr>
        <w:spacing w:line="500" w:lineRule="exact"/>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招标项目：</w:t>
      </w:r>
      <w:r>
        <w:rPr>
          <w:rFonts w:hint="eastAsia" w:ascii="仿宋" w:hAnsi="仿宋" w:eastAsia="仿宋"/>
          <w:color w:val="000000" w:themeColor="text1"/>
          <w:sz w:val="32"/>
          <w:szCs w:val="32"/>
          <w:highlight w:val="none"/>
          <w:u w:val="single"/>
          <w14:textFill>
            <w14:solidFill>
              <w14:schemeClr w14:val="tx1"/>
            </w14:solidFill>
          </w14:textFill>
        </w:rPr>
        <w:t>　　　　　　　　　　　　</w:t>
      </w:r>
      <w:r>
        <w:rPr>
          <w:rFonts w:hint="eastAsia" w:ascii="仿宋" w:hAnsi="仿宋" w:eastAsia="仿宋"/>
          <w:color w:val="000000" w:themeColor="text1"/>
          <w:sz w:val="32"/>
          <w:szCs w:val="32"/>
          <w:highlight w:val="none"/>
          <w14:textFill>
            <w14:solidFill>
              <w14:schemeClr w14:val="tx1"/>
            </w14:solidFill>
          </w14:textFill>
        </w:rPr>
        <w:t xml:space="preserve">　　　招标编号：  </w:t>
      </w:r>
    </w:p>
    <w:p w14:paraId="77BD110C">
      <w:pPr>
        <w:pStyle w:val="7"/>
        <w:tabs>
          <w:tab w:val="left" w:pos="3996"/>
          <w:tab w:val="left" w:pos="8437"/>
        </w:tabs>
        <w:spacing w:line="500" w:lineRule="exact"/>
        <w:ind w:left="36"/>
        <w:rPr>
          <w:rFonts w:ascii="仿宋" w:hAnsi="仿宋" w:eastAsia="仿宋"/>
          <w:color w:val="000000" w:themeColor="text1"/>
          <w:sz w:val="32"/>
          <w:szCs w:val="32"/>
          <w:highlight w:val="none"/>
          <w:u w:val="singl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货币单位：</w:t>
      </w:r>
    </w:p>
    <w:p w14:paraId="38184B2C">
      <w:pPr>
        <w:spacing w:before="3" w:line="500" w:lineRule="exact"/>
        <w:rPr>
          <w:rFonts w:ascii="仿宋" w:hAnsi="仿宋" w:eastAsia="仿宋"/>
          <w:color w:val="000000" w:themeColor="text1"/>
          <w:sz w:val="32"/>
          <w:szCs w:val="32"/>
          <w:highlight w:val="none"/>
          <w14:textFill>
            <w14:solidFill>
              <w14:schemeClr w14:val="tx1"/>
            </w14:solidFill>
          </w14:textFill>
        </w:rPr>
      </w:pPr>
    </w:p>
    <w:tbl>
      <w:tblPr>
        <w:tblStyle w:val="16"/>
        <w:tblW w:w="8958" w:type="dxa"/>
        <w:tblInd w:w="121" w:type="dxa"/>
        <w:tblLayout w:type="fixed"/>
        <w:tblCellMar>
          <w:top w:w="0" w:type="dxa"/>
          <w:left w:w="0" w:type="dxa"/>
          <w:bottom w:w="0" w:type="dxa"/>
          <w:right w:w="0" w:type="dxa"/>
        </w:tblCellMar>
      </w:tblPr>
      <w:tblGrid>
        <w:gridCol w:w="1294"/>
        <w:gridCol w:w="893"/>
        <w:gridCol w:w="1056"/>
        <w:gridCol w:w="1500"/>
        <w:gridCol w:w="1425"/>
        <w:gridCol w:w="1860"/>
        <w:gridCol w:w="930"/>
      </w:tblGrid>
      <w:tr w14:paraId="6A1B4E04">
        <w:tblPrEx>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tcPr>
          <w:p w14:paraId="37E88B69">
            <w:pPr>
              <w:pStyle w:val="27"/>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项目名称</w:t>
            </w:r>
          </w:p>
        </w:tc>
        <w:tc>
          <w:tcPr>
            <w:tcW w:w="893" w:type="dxa"/>
            <w:tcBorders>
              <w:top w:val="single" w:color="000000" w:sz="4" w:space="0"/>
              <w:left w:val="single" w:color="000000" w:sz="4" w:space="0"/>
              <w:bottom w:val="single" w:color="000000" w:sz="4" w:space="0"/>
              <w:right w:val="single" w:color="000000" w:sz="4" w:space="0"/>
            </w:tcBorders>
          </w:tcPr>
          <w:p w14:paraId="57B84933">
            <w:pPr>
              <w:pStyle w:val="27"/>
              <w:spacing w:line="500" w:lineRule="exact"/>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面积</w:t>
            </w:r>
          </w:p>
        </w:tc>
        <w:tc>
          <w:tcPr>
            <w:tcW w:w="1056" w:type="dxa"/>
            <w:tcBorders>
              <w:top w:val="single" w:color="000000" w:sz="4" w:space="0"/>
              <w:left w:val="single" w:color="000000" w:sz="4" w:space="0"/>
              <w:bottom w:val="single" w:color="000000" w:sz="4" w:space="0"/>
              <w:right w:val="single" w:color="000000" w:sz="4" w:space="0"/>
            </w:tcBorders>
          </w:tcPr>
          <w:p w14:paraId="64046AD9">
            <w:pPr>
              <w:pStyle w:val="27"/>
              <w:spacing w:line="500" w:lineRule="exact"/>
              <w:ind w:right="102"/>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单价</w:t>
            </w:r>
          </w:p>
        </w:tc>
        <w:tc>
          <w:tcPr>
            <w:tcW w:w="1500" w:type="dxa"/>
            <w:tcBorders>
              <w:top w:val="single" w:color="000000" w:sz="4" w:space="0"/>
              <w:left w:val="single" w:color="000000" w:sz="4" w:space="0"/>
              <w:bottom w:val="single" w:color="000000" w:sz="4" w:space="0"/>
              <w:right w:val="single" w:color="000000" w:sz="4" w:space="0"/>
            </w:tcBorders>
          </w:tcPr>
          <w:p w14:paraId="30536320">
            <w:pPr>
              <w:pStyle w:val="27"/>
              <w:spacing w:line="500" w:lineRule="exact"/>
              <w:ind w:right="102"/>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总报价</w:t>
            </w:r>
          </w:p>
        </w:tc>
        <w:tc>
          <w:tcPr>
            <w:tcW w:w="1425" w:type="dxa"/>
            <w:tcBorders>
              <w:top w:val="single" w:color="000000" w:sz="4" w:space="0"/>
              <w:left w:val="single" w:color="000000" w:sz="4" w:space="0"/>
              <w:bottom w:val="single" w:color="000000" w:sz="4" w:space="0"/>
              <w:right w:val="single" w:color="000000" w:sz="4" w:space="0"/>
            </w:tcBorders>
          </w:tcPr>
          <w:p w14:paraId="748A943F">
            <w:pPr>
              <w:pStyle w:val="27"/>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服务</w:t>
            </w:r>
            <w:r>
              <w:rPr>
                <w:rFonts w:ascii="仿宋" w:hAnsi="仿宋" w:eastAsia="仿宋" w:cs="宋体"/>
                <w:color w:val="000000" w:themeColor="text1"/>
                <w:sz w:val="28"/>
                <w:szCs w:val="28"/>
                <w:highlight w:val="none"/>
                <w14:textFill>
                  <w14:solidFill>
                    <w14:schemeClr w14:val="tx1"/>
                  </w14:solidFill>
                </w14:textFill>
              </w:rPr>
              <w:t>期</w:t>
            </w:r>
          </w:p>
        </w:tc>
        <w:tc>
          <w:tcPr>
            <w:tcW w:w="1860" w:type="dxa"/>
            <w:tcBorders>
              <w:top w:val="single" w:color="000000" w:sz="4" w:space="0"/>
              <w:left w:val="single" w:color="000000" w:sz="4" w:space="0"/>
              <w:bottom w:val="single" w:color="000000" w:sz="4" w:space="0"/>
              <w:right w:val="single" w:color="000000" w:sz="4" w:space="0"/>
            </w:tcBorders>
          </w:tcPr>
          <w:p w14:paraId="61610B63">
            <w:pPr>
              <w:pStyle w:val="27"/>
              <w:spacing w:line="500" w:lineRule="exact"/>
              <w:ind w:right="107"/>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投标保证金</w:t>
            </w:r>
          </w:p>
        </w:tc>
        <w:tc>
          <w:tcPr>
            <w:tcW w:w="930" w:type="dxa"/>
            <w:tcBorders>
              <w:top w:val="single" w:color="000000" w:sz="4" w:space="0"/>
              <w:left w:val="single" w:color="000000" w:sz="4" w:space="0"/>
              <w:bottom w:val="single" w:color="000000" w:sz="4" w:space="0"/>
              <w:right w:val="single" w:color="000000" w:sz="4" w:space="0"/>
            </w:tcBorders>
          </w:tcPr>
          <w:p w14:paraId="70E5C542">
            <w:pPr>
              <w:pStyle w:val="27"/>
              <w:spacing w:line="500" w:lineRule="exact"/>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备注</w:t>
            </w:r>
          </w:p>
        </w:tc>
      </w:tr>
      <w:tr w14:paraId="2FFB47C5">
        <w:tblPrEx>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tcPr>
          <w:p w14:paraId="1DD021CD">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Pr>
          <w:p w14:paraId="422B27A9">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tcPr>
          <w:p w14:paraId="6D1523C0">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tcPr>
          <w:p w14:paraId="6461382D">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tcPr>
          <w:p w14:paraId="2BED9472">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860" w:type="dxa"/>
            <w:tcBorders>
              <w:top w:val="single" w:color="000000" w:sz="4" w:space="0"/>
              <w:left w:val="single" w:color="000000" w:sz="4" w:space="0"/>
              <w:bottom w:val="single" w:color="000000" w:sz="4" w:space="0"/>
              <w:right w:val="single" w:color="000000" w:sz="4" w:space="0"/>
            </w:tcBorders>
          </w:tcPr>
          <w:p w14:paraId="58643D3C">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tcPr>
          <w:p w14:paraId="5591516D">
            <w:pPr>
              <w:spacing w:line="500" w:lineRule="exact"/>
              <w:rPr>
                <w:rFonts w:ascii="仿宋" w:hAnsi="仿宋" w:eastAsia="仿宋"/>
                <w:color w:val="000000" w:themeColor="text1"/>
                <w:sz w:val="28"/>
                <w:szCs w:val="28"/>
                <w:highlight w:val="none"/>
                <w14:textFill>
                  <w14:solidFill>
                    <w14:schemeClr w14:val="tx1"/>
                  </w14:solidFill>
                </w14:textFill>
              </w:rPr>
            </w:pPr>
          </w:p>
        </w:tc>
      </w:tr>
    </w:tbl>
    <w:p w14:paraId="675F12A0">
      <w:pPr>
        <w:pStyle w:val="7"/>
        <w:spacing w:line="500" w:lineRule="exact"/>
        <w:rPr>
          <w:rFonts w:ascii="仿宋" w:hAnsi="仿宋" w:eastAsia="仿宋"/>
          <w:color w:val="000000" w:themeColor="text1"/>
          <w:sz w:val="32"/>
          <w:szCs w:val="32"/>
          <w:highlight w:val="none"/>
          <w14:textFill>
            <w14:solidFill>
              <w14:schemeClr w14:val="tx1"/>
            </w14:solidFill>
          </w14:textFill>
        </w:rPr>
      </w:pPr>
    </w:p>
    <w:p w14:paraId="2A7A4E6A">
      <w:pPr>
        <w:pStyle w:val="7"/>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注：详细报价清单应另纸详列。</w:t>
      </w:r>
    </w:p>
    <w:p w14:paraId="3B4B6121">
      <w:pPr>
        <w:pStyle w:val="7"/>
        <w:tabs>
          <w:tab w:val="left" w:pos="4340"/>
        </w:tabs>
        <w:spacing w:before="25" w:line="500" w:lineRule="exact"/>
        <w:ind w:right="946"/>
        <w:rPr>
          <w:rFonts w:ascii="仿宋" w:hAnsi="仿宋" w:eastAsia="仿宋"/>
          <w:color w:val="000000" w:themeColor="text1"/>
          <w:sz w:val="32"/>
          <w:szCs w:val="32"/>
          <w:highlight w:val="none"/>
          <w14:textFill>
            <w14:solidFill>
              <w14:schemeClr w14:val="tx1"/>
            </w14:solidFill>
          </w14:textFill>
        </w:rPr>
      </w:pPr>
    </w:p>
    <w:p w14:paraId="395DD281">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33E78EF2">
      <w:pPr>
        <w:spacing w:line="500" w:lineRule="exact"/>
        <w:ind w:firstLine="320" w:firstLineChars="1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0E018642">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sectPr>
          <w:footerReference r:id="rId4" w:type="default"/>
          <w:pgSz w:w="11907" w:h="16840"/>
          <w:pgMar w:top="1418" w:right="1418" w:bottom="1418" w:left="1418" w:header="857" w:footer="999" w:gutter="0"/>
          <w:cols w:space="720" w:num="1"/>
          <w:docGrid w:linePitch="286" w:charSpace="0"/>
        </w:sectPr>
      </w:pPr>
      <w:r>
        <w:rPr>
          <w:rFonts w:hint="eastAsia" w:ascii="仿宋" w:hAnsi="仿宋" w:eastAsia="仿宋"/>
          <w:color w:val="000000" w:themeColor="text1"/>
          <w:sz w:val="32"/>
          <w:szCs w:val="32"/>
          <w:highlight w:val="none"/>
          <w14:textFill>
            <w14:solidFill>
              <w14:schemeClr w14:val="tx1"/>
            </w14:solidFill>
          </w14:textFill>
        </w:rPr>
        <w:t>日      期：</w:t>
      </w:r>
    </w:p>
    <w:p w14:paraId="2B1BA444">
      <w:pPr>
        <w:spacing w:line="500" w:lineRule="exact"/>
        <w:rPr>
          <w:rFonts w:ascii="仿宋" w:hAnsi="仿宋" w:eastAsia="仿宋"/>
          <w:b/>
          <w:bCs/>
          <w:color w:val="000000" w:themeColor="text1"/>
          <w:sz w:val="32"/>
          <w:szCs w:val="32"/>
          <w:highlight w:val="none"/>
          <w14:textFill>
            <w14:solidFill>
              <w14:schemeClr w14:val="tx1"/>
            </w14:solidFill>
          </w14:textFill>
        </w:rPr>
      </w:pPr>
      <w:bookmarkStart w:id="515" w:name="_bookmark30"/>
      <w:bookmarkEnd w:id="515"/>
      <w:r>
        <w:rPr>
          <w:rFonts w:hint="eastAsia" w:ascii="仿宋" w:hAnsi="仿宋" w:eastAsia="仿宋"/>
          <w:b/>
          <w:bCs/>
          <w:color w:val="000000" w:themeColor="text1"/>
          <w:sz w:val="32"/>
          <w:szCs w:val="32"/>
          <w:highlight w:val="none"/>
          <w14:textFill>
            <w14:solidFill>
              <w14:schemeClr w14:val="tx1"/>
            </w14:solidFill>
          </w14:textFill>
        </w:rPr>
        <w:t>格式3</w:t>
      </w:r>
    </w:p>
    <w:p w14:paraId="72A8127A">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投标人业绩证明</w:t>
      </w:r>
    </w:p>
    <w:tbl>
      <w:tblPr>
        <w:tblStyle w:val="16"/>
        <w:tblpPr w:leftFromText="180" w:rightFromText="180" w:vertAnchor="page" w:horzAnchor="margin" w:tblpXSpec="center" w:tblpY="2800"/>
        <w:tblW w:w="9237" w:type="dxa"/>
        <w:jc w:val="center"/>
        <w:tblLayout w:type="fixed"/>
        <w:tblCellMar>
          <w:top w:w="0" w:type="dxa"/>
          <w:left w:w="108" w:type="dxa"/>
          <w:bottom w:w="0" w:type="dxa"/>
          <w:right w:w="108" w:type="dxa"/>
        </w:tblCellMar>
      </w:tblPr>
      <w:tblGrid>
        <w:gridCol w:w="902"/>
        <w:gridCol w:w="1435"/>
        <w:gridCol w:w="1440"/>
        <w:gridCol w:w="1680"/>
        <w:gridCol w:w="1920"/>
        <w:gridCol w:w="1860"/>
      </w:tblGrid>
      <w:tr w14:paraId="427D413A">
        <w:tblPrEx>
          <w:tblCellMar>
            <w:top w:w="0" w:type="dxa"/>
            <w:left w:w="108" w:type="dxa"/>
            <w:bottom w:w="0" w:type="dxa"/>
            <w:right w:w="108" w:type="dxa"/>
          </w:tblCellMar>
        </w:tblPrEx>
        <w:trPr>
          <w:trHeight w:val="36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78B1D05">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序号</w:t>
            </w:r>
          </w:p>
        </w:tc>
        <w:tc>
          <w:tcPr>
            <w:tcW w:w="1435" w:type="dxa"/>
            <w:tcBorders>
              <w:top w:val="single" w:color="auto" w:sz="4" w:space="0"/>
              <w:left w:val="nil"/>
              <w:bottom w:val="single" w:color="auto" w:sz="4" w:space="0"/>
              <w:right w:val="single" w:color="auto" w:sz="4" w:space="0"/>
            </w:tcBorders>
            <w:shd w:val="clear" w:color="auto" w:fill="auto"/>
            <w:vAlign w:val="center"/>
          </w:tcPr>
          <w:p w14:paraId="66556FD1">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项目名称</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4DC513">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项目类型</w:t>
            </w:r>
          </w:p>
        </w:tc>
        <w:tc>
          <w:tcPr>
            <w:tcW w:w="1680" w:type="dxa"/>
            <w:tcBorders>
              <w:top w:val="single" w:color="auto" w:sz="4" w:space="0"/>
              <w:left w:val="nil"/>
              <w:bottom w:val="single" w:color="auto" w:sz="4" w:space="0"/>
              <w:right w:val="single" w:color="auto" w:sz="4" w:space="0"/>
            </w:tcBorders>
            <w:shd w:val="clear" w:color="auto" w:fill="auto"/>
            <w:vAlign w:val="center"/>
          </w:tcPr>
          <w:p w14:paraId="42FBE202">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项目地址</w:t>
            </w:r>
          </w:p>
        </w:tc>
        <w:tc>
          <w:tcPr>
            <w:tcW w:w="1920" w:type="dxa"/>
            <w:tcBorders>
              <w:top w:val="single" w:color="auto" w:sz="4" w:space="0"/>
              <w:left w:val="nil"/>
              <w:bottom w:val="single" w:color="auto" w:sz="4" w:space="0"/>
              <w:right w:val="single" w:color="auto" w:sz="4" w:space="0"/>
            </w:tcBorders>
            <w:shd w:val="clear" w:color="auto" w:fill="auto"/>
            <w:vAlign w:val="center"/>
          </w:tcPr>
          <w:p w14:paraId="4D455838">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建筑面积</w:t>
            </w:r>
          </w:p>
        </w:tc>
        <w:tc>
          <w:tcPr>
            <w:tcW w:w="1860" w:type="dxa"/>
            <w:tcBorders>
              <w:top w:val="single" w:color="auto" w:sz="4" w:space="0"/>
              <w:left w:val="nil"/>
              <w:bottom w:val="single" w:color="auto" w:sz="4" w:space="0"/>
              <w:right w:val="single" w:color="auto" w:sz="4" w:space="0"/>
            </w:tcBorders>
            <w:shd w:val="clear" w:color="auto" w:fill="auto"/>
            <w:vAlign w:val="center"/>
          </w:tcPr>
          <w:p w14:paraId="3BA8FEBB">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服务期限</w:t>
            </w:r>
          </w:p>
        </w:tc>
      </w:tr>
      <w:tr w14:paraId="3C6035F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749AF2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6A5029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AE0C8A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E6E0CE0">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8A653F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82D5001">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0DA28E4A">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C7258E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73F95B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C6D444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068FBCAA">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1B0799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D0D71F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17669A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B539C6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6297C5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86FD1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25A364A">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21986B4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C9308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6F336A38">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521F20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62AA086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5AAF653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3248ACE1">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53E90B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7A2294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065E5F0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1CC4AD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13F461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52C429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1935DC23">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8AD942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581406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B91DC4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50EBF0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51DFE3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693CF69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8BC51C">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9A9D36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378CF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C05666B">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2214B5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143F75B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843D1A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54D3242">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581731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2ED3503">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258583C6">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600263F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87A758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06969C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8E2B7E6">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657B2F4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19B997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53CBE53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66029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D8EA2E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76A01D4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4DB8FA6">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407E4C0">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BA7AC0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62996474">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5269605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BF605E3">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2559D40">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2048B3">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5AB424F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8181A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341B48F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3506A241">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E67190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E30AD7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D498E6B">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DA2DD4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E76A6B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208B2B05">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40B9D6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0705239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4E1D0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72EBF529">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BB2C56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BFEE3B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bl>
    <w:p w14:paraId="1C6D9454">
      <w:pPr>
        <w:pStyle w:val="9"/>
        <w:spacing w:line="360" w:lineRule="auto"/>
        <w:ind w:firstLine="411" w:firstLineChars="147"/>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投标人承诺以上项目为投标人实际建筑垃圾清运的工程项目。如投标人成为本次项目的中标人，接受招标人对上述项目的现场核实。</w:t>
      </w:r>
    </w:p>
    <w:p w14:paraId="487F16F9">
      <w:pPr>
        <w:pStyle w:val="9"/>
        <w:spacing w:line="360" w:lineRule="auto"/>
        <w:ind w:firstLine="411" w:firstLineChars="147"/>
        <w:rPr>
          <w:rFonts w:ascii="仿宋" w:hAnsi="仿宋" w:eastAsia="仿宋"/>
          <w:bCs/>
          <w:color w:val="000000" w:themeColor="text1"/>
          <w:sz w:val="28"/>
          <w:szCs w:val="28"/>
          <w:highlight w:val="none"/>
          <w14:textFill>
            <w14:solidFill>
              <w14:schemeClr w14:val="tx1"/>
            </w14:solidFill>
          </w14:textFill>
        </w:rPr>
      </w:pPr>
    </w:p>
    <w:p w14:paraId="325D74AA">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6C6EDEF4">
      <w:pPr>
        <w:spacing w:line="500" w:lineRule="exact"/>
        <w:ind w:firstLine="320" w:firstLineChars="1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02ABB63A">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9AA8357">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5342A5F">
      <w:pPr>
        <w:jc w:val="lef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格式4</w:t>
      </w:r>
    </w:p>
    <w:p w14:paraId="01334BDE">
      <w:pPr>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安全生产管理协议书</w:t>
      </w:r>
    </w:p>
    <w:p w14:paraId="710207D7">
      <w:pPr>
        <w:jc w:val="center"/>
        <w:rPr>
          <w:rFonts w:ascii="仿宋" w:hAnsi="仿宋" w:eastAsia="仿宋" w:cs="仿宋"/>
          <w:color w:val="000000" w:themeColor="text1"/>
          <w:sz w:val="32"/>
          <w:szCs w:val="32"/>
          <w:highlight w:val="none"/>
          <w14:textFill>
            <w14:solidFill>
              <w14:schemeClr w14:val="tx1"/>
            </w14:solidFill>
          </w14:textFill>
        </w:rPr>
      </w:pPr>
    </w:p>
    <w:p w14:paraId="44F33E8C">
      <w:pPr>
        <w:spacing w:line="500" w:lineRule="exac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3065C677">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一、乙方应加强对现场工作人员的安全教育，提高现场工作人员的安全意识和安全技术水平。</w:t>
      </w:r>
    </w:p>
    <w:p w14:paraId="392DF69F">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二、乙方人员作业携带的设备及用具，符合国家和企业安全规程要求，特种作业人员须持有效证件操作。</w:t>
      </w:r>
    </w:p>
    <w:p w14:paraId="6EA55C49">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0E89FFEA">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3F193DED">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五、乙方对作业人员投保相关的安全责任险。</w:t>
      </w:r>
    </w:p>
    <w:p w14:paraId="561CE73E">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27377113">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七、在高温、大风等不良气候条件下作业时，乙方自备防高温、防风、防雨、防雷击等安全措施，确保安全作业。</w:t>
      </w:r>
    </w:p>
    <w:p w14:paraId="7157EC8D">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1DFB6D4C">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610B773B">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十、作业材料堆放整齐，垃圾及时处理，不影响甲方正常秩序及通信畅通。</w:t>
      </w:r>
    </w:p>
    <w:p w14:paraId="03BB55A4">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554AC132">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p>
    <w:p w14:paraId="136499CD">
      <w:pPr>
        <w:spacing w:line="500" w:lineRule="exact"/>
        <w:rPr>
          <w:rFonts w:ascii="仿宋" w:hAnsi="仿宋" w:eastAsia="仿宋" w:cs="仿宋"/>
          <w:color w:val="000000" w:themeColor="text1"/>
          <w:sz w:val="32"/>
          <w:szCs w:val="32"/>
          <w:highlight w:val="none"/>
          <w14:textFill>
            <w14:solidFill>
              <w14:schemeClr w14:val="tx1"/>
            </w14:solidFill>
          </w14:textFill>
        </w:rPr>
      </w:pPr>
    </w:p>
    <w:p w14:paraId="250787C9">
      <w:pPr>
        <w:spacing w:line="500" w:lineRule="exact"/>
        <w:ind w:firstLine="960" w:firstLineChars="3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甲方单位：                    乙方单位：  </w:t>
      </w:r>
    </w:p>
    <w:p w14:paraId="06DCD037">
      <w:pPr>
        <w:spacing w:line="500" w:lineRule="exact"/>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负责人：                      负责人：</w:t>
      </w:r>
    </w:p>
    <w:p w14:paraId="3D1947B6">
      <w:pPr>
        <w:spacing w:line="500" w:lineRule="exac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联系电话：                    联系电话：</w:t>
      </w:r>
    </w:p>
    <w:p w14:paraId="0D0D25BD">
      <w:pPr>
        <w:spacing w:line="500" w:lineRule="exact"/>
        <w:rPr>
          <w:rFonts w:ascii="仿宋" w:hAnsi="仿宋" w:eastAsia="仿宋" w:cs="仿宋"/>
          <w:color w:val="000000" w:themeColor="text1"/>
          <w:sz w:val="32"/>
          <w:szCs w:val="32"/>
          <w:highlight w:val="none"/>
          <w14:textFill>
            <w14:solidFill>
              <w14:schemeClr w14:val="tx1"/>
            </w14:solidFill>
          </w14:textFill>
        </w:rPr>
      </w:pPr>
    </w:p>
    <w:p w14:paraId="76F8E5EF">
      <w:pPr>
        <w:spacing w:line="500" w:lineRule="exact"/>
        <w:ind w:firstLine="2880" w:firstLineChars="9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日期：       年      月      日</w:t>
      </w:r>
    </w:p>
    <w:p w14:paraId="45FAC34E">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26746B68">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格式5  </w:t>
      </w:r>
    </w:p>
    <w:p w14:paraId="67D274E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BB9D98C">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售后服务承诺函</w:t>
      </w:r>
      <w:r>
        <w:rPr>
          <w:rFonts w:hint="eastAsia" w:ascii="仿宋" w:hAnsi="仿宋" w:eastAsia="仿宋"/>
          <w:b/>
          <w:bCs/>
          <w:color w:val="000000" w:themeColor="text1"/>
          <w:sz w:val="32"/>
          <w:szCs w:val="32"/>
          <w:highlight w:val="none"/>
          <w14:textFill>
            <w14:solidFill>
              <w14:schemeClr w14:val="tx1"/>
            </w14:solidFill>
          </w14:textFill>
        </w:rPr>
        <w:cr/>
      </w:r>
    </w:p>
    <w:p w14:paraId="5833615D">
      <w:pPr>
        <w:pStyle w:val="7"/>
        <w:tabs>
          <w:tab w:val="left" w:pos="4580"/>
        </w:tabs>
        <w:spacing w:line="500" w:lineRule="exact"/>
        <w:ind w:firstLine="960" w:firstLineChars="3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根据贵方为</w:t>
      </w:r>
      <w:r>
        <w:rPr>
          <w:rFonts w:ascii="仿宋" w:hAnsi="仿宋" w:eastAsia="仿宋"/>
          <w:color w:val="000000" w:themeColor="text1"/>
          <w:sz w:val="32"/>
          <w:szCs w:val="32"/>
          <w:highlight w:val="none"/>
          <w:u w:val="single"/>
          <w14:textFill>
            <w14:solidFill>
              <w14:schemeClr w14:val="tx1"/>
            </w14:solidFill>
          </w14:textFill>
        </w:rPr>
        <w:tab/>
      </w:r>
      <w:r>
        <w:rPr>
          <w:rFonts w:ascii="仿宋" w:hAnsi="仿宋" w:eastAsia="仿宋"/>
          <w:color w:val="000000" w:themeColor="text1"/>
          <w:sz w:val="32"/>
          <w:szCs w:val="32"/>
          <w:highlight w:val="none"/>
          <w14:textFill>
            <w14:solidFill>
              <w14:schemeClr w14:val="tx1"/>
            </w14:solidFill>
          </w14:textFill>
        </w:rPr>
        <w:t>招标项目的投标</w:t>
      </w:r>
      <w:r>
        <w:rPr>
          <w:rFonts w:hint="eastAsia" w:ascii="仿宋" w:hAnsi="仿宋" w:eastAsia="仿宋"/>
          <w:color w:val="000000" w:themeColor="text1"/>
          <w:sz w:val="32"/>
          <w:szCs w:val="32"/>
          <w:highlight w:val="none"/>
          <w14:textFill>
            <w14:solidFill>
              <w14:schemeClr w14:val="tx1"/>
            </w14:solidFill>
          </w14:textFill>
        </w:rPr>
        <w:t>要求</w:t>
      </w:r>
      <w:r>
        <w:rPr>
          <w:rFonts w:ascii="仿宋" w:hAnsi="仿宋" w:eastAsia="仿宋"/>
          <w:color w:val="000000" w:themeColor="text1"/>
          <w:sz w:val="32"/>
          <w:szCs w:val="32"/>
          <w:highlight w:val="none"/>
          <w14:textFill>
            <w14:solidFill>
              <w14:schemeClr w14:val="tx1"/>
            </w14:solidFill>
          </w14:textFill>
        </w:rPr>
        <w:t>，我公司对该项目做出如下售后服务方案：</w:t>
      </w:r>
    </w:p>
    <w:p w14:paraId="59E1C3E5">
      <w:pPr>
        <w:spacing w:line="500" w:lineRule="exact"/>
        <w:rPr>
          <w:rFonts w:ascii="仿宋" w:hAnsi="仿宋" w:eastAsia="仿宋"/>
          <w:color w:val="000000" w:themeColor="text1"/>
          <w:sz w:val="32"/>
          <w:szCs w:val="32"/>
          <w:highlight w:val="none"/>
          <w14:textFill>
            <w14:solidFill>
              <w14:schemeClr w14:val="tx1"/>
            </w14:solidFill>
          </w14:textFill>
        </w:rPr>
      </w:pPr>
    </w:p>
    <w:p w14:paraId="59433083">
      <w:pPr>
        <w:spacing w:line="500" w:lineRule="exact"/>
        <w:rPr>
          <w:rFonts w:ascii="仿宋" w:hAnsi="仿宋" w:eastAsia="仿宋"/>
          <w:color w:val="000000" w:themeColor="text1"/>
          <w:sz w:val="32"/>
          <w:szCs w:val="32"/>
          <w:highlight w:val="none"/>
          <w14:textFill>
            <w14:solidFill>
              <w14:schemeClr w14:val="tx1"/>
            </w14:solidFill>
          </w14:textFill>
        </w:rPr>
      </w:pPr>
    </w:p>
    <w:p w14:paraId="1137AC6F">
      <w:pPr>
        <w:pStyle w:val="7"/>
        <w:spacing w:line="500" w:lineRule="exact"/>
        <w:ind w:left="3042" w:right="146"/>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（内容根据招标文件要求自拟）</w:t>
      </w:r>
    </w:p>
    <w:p w14:paraId="50F83FA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352DBE84">
      <w:pPr>
        <w:tabs>
          <w:tab w:val="left" w:pos="6814"/>
        </w:tabs>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ab/>
      </w:r>
    </w:p>
    <w:p w14:paraId="56F15E4B">
      <w:pPr>
        <w:spacing w:line="500" w:lineRule="exact"/>
        <w:rPr>
          <w:rFonts w:ascii="仿宋" w:hAnsi="仿宋" w:eastAsia="仿宋"/>
          <w:color w:val="000000" w:themeColor="text1"/>
          <w:sz w:val="32"/>
          <w:szCs w:val="32"/>
          <w:highlight w:val="none"/>
          <w14:textFill>
            <w14:solidFill>
              <w14:schemeClr w14:val="tx1"/>
            </w14:solidFill>
          </w14:textFill>
        </w:rPr>
      </w:pPr>
    </w:p>
    <w:p w14:paraId="4CF8F030">
      <w:pPr>
        <w:spacing w:line="50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27D35E95">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0A4D8D8E">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822DB7E">
      <w:pPr>
        <w:spacing w:line="500" w:lineRule="exact"/>
        <w:rPr>
          <w:rFonts w:ascii="仿宋" w:hAnsi="仿宋" w:eastAsia="仿宋"/>
          <w:color w:val="000000" w:themeColor="text1"/>
          <w:sz w:val="32"/>
          <w:szCs w:val="32"/>
          <w:highlight w:val="none"/>
          <w14:textFill>
            <w14:solidFill>
              <w14:schemeClr w14:val="tx1"/>
            </w14:solidFill>
          </w14:textFill>
        </w:rPr>
      </w:pPr>
    </w:p>
    <w:p w14:paraId="168E404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324404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19F4C4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06D5C4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72C5549E">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924CFA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65FEE0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5640FA7">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48A1245">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F8DCC8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327E6DA">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7DA6D54E">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格式6   </w:t>
      </w:r>
    </w:p>
    <w:p w14:paraId="60AB0E16">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7D6A0C1">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法定代表人授权书</w:t>
      </w:r>
      <w:r>
        <w:rPr>
          <w:rFonts w:hint="eastAsia" w:ascii="仿宋" w:hAnsi="仿宋" w:eastAsia="仿宋"/>
          <w:b/>
          <w:bCs/>
          <w:color w:val="000000" w:themeColor="text1"/>
          <w:sz w:val="32"/>
          <w:szCs w:val="32"/>
          <w:highlight w:val="none"/>
          <w14:textFill>
            <w14:solidFill>
              <w14:schemeClr w14:val="tx1"/>
            </w14:solidFill>
          </w14:textFill>
        </w:rPr>
        <w:cr/>
      </w:r>
    </w:p>
    <w:p w14:paraId="0367289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p>
    <w:p w14:paraId="7F8264C0">
      <w:pPr>
        <w:pStyle w:val="9"/>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single"/>
          <w14:textFill>
            <w14:solidFill>
              <w14:schemeClr w14:val="tx1"/>
            </w14:solidFill>
          </w14:textFill>
        </w:rPr>
        <w:t>（投标人全称）</w:t>
      </w:r>
      <w:r>
        <w:rPr>
          <w:rFonts w:hint="eastAsia" w:ascii="仿宋" w:hAnsi="仿宋" w:eastAsia="仿宋"/>
          <w:color w:val="000000" w:themeColor="text1"/>
          <w:sz w:val="32"/>
          <w:szCs w:val="32"/>
          <w:highlight w:val="none"/>
          <w14:textFill>
            <w14:solidFill>
              <w14:schemeClr w14:val="tx1"/>
            </w14:solidFill>
          </w14:textFill>
        </w:rPr>
        <w:t>法定代表人 授权</w:t>
      </w:r>
      <w:r>
        <w:rPr>
          <w:rFonts w:hint="eastAsia" w:ascii="仿宋" w:hAnsi="仿宋" w:eastAsia="仿宋"/>
          <w:color w:val="000000" w:themeColor="text1"/>
          <w:sz w:val="32"/>
          <w:szCs w:val="32"/>
          <w:highlight w:val="none"/>
          <w:u w:val="single"/>
          <w14:textFill>
            <w14:solidFill>
              <w14:schemeClr w14:val="tx1"/>
            </w14:solidFill>
          </w14:textFill>
        </w:rPr>
        <w:t xml:space="preserve">  （投标人代表姓名）</w:t>
      </w:r>
      <w:r>
        <w:rPr>
          <w:rFonts w:hint="eastAsia" w:ascii="仿宋" w:hAnsi="仿宋" w:eastAsia="仿宋"/>
          <w:color w:val="000000" w:themeColor="text1"/>
          <w:sz w:val="32"/>
          <w:szCs w:val="32"/>
          <w:highlight w:val="none"/>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0BBF546B">
      <w:pPr>
        <w:pStyle w:val="9"/>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本授权书自出具之日起生效。</w:t>
      </w:r>
    </w:p>
    <w:p w14:paraId="756CEA2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投标人代表：性别：身份证号：</w:t>
      </w:r>
    </w:p>
    <w:p w14:paraId="06C58EF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单位：部门：  职务：</w:t>
      </w:r>
    </w:p>
    <w:p w14:paraId="2E9EDEB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详细通讯地址：邮政编码</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 xml:space="preserve"> 电话：</w:t>
      </w:r>
    </w:p>
    <w:p w14:paraId="633E663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附：被授权人身份证件</w:t>
      </w:r>
    </w:p>
    <w:p w14:paraId="03C4713C">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授权方</w:t>
      </w:r>
    </w:p>
    <w:p w14:paraId="620CAD6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投标人：</w:t>
      </w:r>
      <w:r>
        <w:rPr>
          <w:rFonts w:hint="eastAsia" w:ascii="仿宋" w:hAnsi="仿宋" w:eastAsia="仿宋"/>
          <w:color w:val="000000" w:themeColor="text1"/>
          <w:sz w:val="32"/>
          <w:szCs w:val="32"/>
          <w:highlight w:val="none"/>
          <w:u w:val="single"/>
          <w14:textFill>
            <w14:solidFill>
              <w14:schemeClr w14:val="tx1"/>
            </w14:solidFill>
          </w14:textFill>
        </w:rPr>
        <w:t>（全称并加盖公章）</w:t>
      </w:r>
      <w:r>
        <w:rPr>
          <w:rFonts w:hint="eastAsia" w:ascii="仿宋" w:hAnsi="仿宋" w:eastAsia="仿宋"/>
          <w:color w:val="000000" w:themeColor="text1"/>
          <w:sz w:val="32"/>
          <w:szCs w:val="32"/>
          <w:highlight w:val="none"/>
          <w14:textFill>
            <w14:solidFill>
              <w14:schemeClr w14:val="tx1"/>
            </w14:solidFill>
          </w14:textFill>
        </w:rPr>
        <w:t>：</w:t>
      </w:r>
    </w:p>
    <w:p w14:paraId="7AC25EA0">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法定代表人签字：</w:t>
      </w:r>
    </w:p>
    <w:p w14:paraId="32FFF74A">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0A90842B">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接受授权方</w:t>
      </w:r>
    </w:p>
    <w:p w14:paraId="63D0E2B1">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1FD9EE07">
      <w:pPr>
        <w:spacing w:line="500" w:lineRule="exact"/>
        <w:ind w:firstLine="5120" w:firstLineChars="16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58787D9">
      <w:pPr>
        <w:spacing w:line="500" w:lineRule="exact"/>
        <w:ind w:firstLine="6400" w:firstLineChars="2000"/>
        <w:rPr>
          <w:rFonts w:ascii="仿宋" w:hAnsi="仿宋" w:eastAsia="仿宋"/>
          <w:color w:val="000000" w:themeColor="text1"/>
          <w:sz w:val="32"/>
          <w:szCs w:val="32"/>
          <w:highlight w:val="none"/>
          <w14:textFill>
            <w14:solidFill>
              <w14:schemeClr w14:val="tx1"/>
            </w14:solidFill>
          </w14:textFill>
        </w:rPr>
      </w:pPr>
    </w:p>
    <w:p w14:paraId="157AF7AA">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357841D">
      <w:pPr>
        <w:spacing w:line="500" w:lineRule="exact"/>
        <w:rPr>
          <w:rFonts w:ascii="仿宋" w:hAnsi="仿宋" w:eastAsia="仿宋"/>
          <w:b/>
          <w:bCs/>
          <w:color w:val="000000" w:themeColor="text1"/>
          <w:sz w:val="32"/>
          <w:szCs w:val="32"/>
          <w:highlight w:val="none"/>
          <w14:textFill>
            <w14:solidFill>
              <w14:schemeClr w14:val="tx1"/>
            </w14:solidFill>
          </w14:textFill>
        </w:rPr>
      </w:pPr>
    </w:p>
    <w:p w14:paraId="1E843D39">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445846A4">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格式7   </w:t>
      </w:r>
    </w:p>
    <w:p w14:paraId="1C1710A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422487F">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法人营业执照</w:t>
      </w:r>
    </w:p>
    <w:p w14:paraId="02AA4599">
      <w:pPr>
        <w:spacing w:line="500" w:lineRule="exact"/>
        <w:rPr>
          <w:rFonts w:ascii="仿宋" w:hAnsi="仿宋" w:eastAsia="仿宋"/>
          <w:color w:val="000000" w:themeColor="text1"/>
          <w:sz w:val="32"/>
          <w:szCs w:val="32"/>
          <w:highlight w:val="none"/>
          <w14:textFill>
            <w14:solidFill>
              <w14:schemeClr w14:val="tx1"/>
            </w14:solidFill>
          </w14:textFill>
        </w:rPr>
      </w:pPr>
    </w:p>
    <w:p w14:paraId="3D2925B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p>
    <w:p w14:paraId="142C3A5E">
      <w:pPr>
        <w:spacing w:line="500" w:lineRule="exact"/>
        <w:rPr>
          <w:rFonts w:ascii="仿宋" w:hAnsi="仿宋" w:eastAsia="仿宋"/>
          <w:color w:val="000000" w:themeColor="text1"/>
          <w:sz w:val="32"/>
          <w:szCs w:val="32"/>
          <w:highlight w:val="none"/>
          <w14:textFill>
            <w14:solidFill>
              <w14:schemeClr w14:val="tx1"/>
            </w14:solidFill>
          </w14:textFill>
        </w:rPr>
      </w:pPr>
    </w:p>
    <w:p w14:paraId="11CCB9C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现附上由（签发机关名称）签发的我方法人营业执照复印件，真实有效。</w:t>
      </w:r>
    </w:p>
    <w:p w14:paraId="5AB5B3F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（注：法人营业执照提供复印件，由企业加盖公章并注明复印件与原件一致。）</w:t>
      </w:r>
    </w:p>
    <w:p w14:paraId="465C4B30">
      <w:pPr>
        <w:spacing w:line="500" w:lineRule="exact"/>
        <w:rPr>
          <w:rFonts w:ascii="仿宋" w:hAnsi="仿宋" w:eastAsia="仿宋"/>
          <w:color w:val="000000" w:themeColor="text1"/>
          <w:sz w:val="32"/>
          <w:szCs w:val="32"/>
          <w:highlight w:val="none"/>
          <w14:textFill>
            <w14:solidFill>
              <w14:schemeClr w14:val="tx1"/>
            </w14:solidFill>
          </w14:textFill>
        </w:rPr>
      </w:pPr>
    </w:p>
    <w:p w14:paraId="2AC72489">
      <w:pPr>
        <w:spacing w:line="500" w:lineRule="exact"/>
        <w:ind w:firstLine="4160" w:firstLineChars="13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 标 人（全称并加盖公章）：</w:t>
      </w:r>
    </w:p>
    <w:p w14:paraId="5F105975">
      <w:pPr>
        <w:spacing w:line="500" w:lineRule="exact"/>
        <w:ind w:firstLine="4160" w:firstLineChars="13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6A162827">
      <w:pPr>
        <w:spacing w:line="500" w:lineRule="exact"/>
        <w:ind w:firstLine="4160" w:firstLineChars="13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2A76B68B">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5263B870">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格式8</w:t>
      </w:r>
    </w:p>
    <w:p w14:paraId="3763E4EB">
      <w:pPr>
        <w:spacing w:line="220" w:lineRule="atLeas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廉洁诚信承诺书</w:t>
      </w:r>
    </w:p>
    <w:p w14:paraId="027E524C">
      <w:pPr>
        <w:spacing w:line="300" w:lineRule="exact"/>
        <w:jc w:val="center"/>
        <w:rPr>
          <w:rFonts w:ascii="仿宋" w:hAnsi="仿宋" w:eastAsia="仿宋"/>
          <w:b/>
          <w:color w:val="000000" w:themeColor="text1"/>
          <w:sz w:val="28"/>
          <w:szCs w:val="28"/>
          <w:highlight w:val="none"/>
          <w14:textFill>
            <w14:solidFill>
              <w14:schemeClr w14:val="tx1"/>
            </w14:solidFill>
          </w14:textFill>
        </w:rPr>
      </w:pPr>
    </w:p>
    <w:p w14:paraId="1883FA67">
      <w:pPr>
        <w:spacing w:line="360" w:lineRule="auto"/>
        <w:ind w:left="-401" w:leftChars="-191"/>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w:t>
      </w:r>
    </w:p>
    <w:p w14:paraId="0947456C">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承诺方系</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（以下简称“</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）的供应商、服务商或合作商，在相关业务活动</w:t>
      </w:r>
      <w:r>
        <w:rPr>
          <w:rFonts w:ascii="仿宋" w:hAnsi="仿宋" w:eastAsia="仿宋"/>
          <w:color w:val="000000" w:themeColor="text1"/>
          <w:sz w:val="32"/>
          <w:szCs w:val="32"/>
          <w:highlight w:val="none"/>
          <w14:textFill>
            <w14:solidFill>
              <w14:schemeClr w14:val="tx1"/>
            </w14:solidFill>
          </w14:textFill>
        </w:rPr>
        <w:t>(包括但不限于交易洽谈、供货、服务、承揽、技术合作交流、付款)中接触</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相关人员和资讯，在廉洁义务和操守方面做出如下承诺：</w:t>
      </w:r>
    </w:p>
    <w:p w14:paraId="1EB9D28C">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5F1F0A6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二、不向</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的工作人员及其亲属馈赠礼金、礼品（含有价证券）；不向</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的工作人员提供任何应由其个人支付报酬的劳务和其它服务；不为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的工作人员安排可能影响公正执行公务的任何活动；不为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的工作人员支付应由其个人支付的任何赞助费、宣传费、咨询费、劳务费等；不为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工作人员报销任何名义的个人消费凭证。一经发现有上述行为，招标人有权取消中标资格。</w:t>
      </w:r>
    </w:p>
    <w:p w14:paraId="788E5736">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64A581B1">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四、承诺方在与</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达成和交易履行过程中，提供的资质证明、证照、企业及个人资料、住所、产品名称、规格、品质、服务标准、票据、权证、权利限制均为真实，不存在虚假、期满、伪造、变造行为，如上述情况发生变更，承诺方需在</w:t>
      </w:r>
      <w:r>
        <w:rPr>
          <w:rFonts w:ascii="仿宋" w:hAnsi="仿宋" w:eastAsia="仿宋"/>
          <w:color w:val="000000" w:themeColor="text1"/>
          <w:sz w:val="32"/>
          <w:szCs w:val="32"/>
          <w:highlight w:val="none"/>
          <w14:textFill>
            <w14:solidFill>
              <w14:schemeClr w14:val="tx1"/>
            </w14:solidFill>
          </w14:textFill>
        </w:rPr>
        <w:t>5个工作日内通知</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备案存档。</w:t>
      </w:r>
    </w:p>
    <w:p w14:paraId="2657287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五、承诺方禁止提供仿冒品（包括但不限于如贴牌、掺杂掺假，以次充好，以旧冒新、以不合格冒充合格）或不符合</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所需规格之商品提供</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使用。</w:t>
      </w:r>
    </w:p>
    <w:p w14:paraId="12DBD1A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六、承诺方同意</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依其保密制度所划列的机密资料可包括一切关于</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，无论是否有价值，被公开或正在采取保密措施的书面、口头或以其他形式呈现、保存之资讯、承诺方与接受机密资料五年内均有保密义务，未经</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同意不得利用或向任何第三方泄露、交付。</w:t>
      </w:r>
    </w:p>
    <w:p w14:paraId="6CBA935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七、为净化采购相关秩序及环境，可至</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进行投诉或申报。</w:t>
      </w:r>
    </w:p>
    <w:p w14:paraId="1F7FA34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八、违约责任</w:t>
      </w:r>
    </w:p>
    <w:p w14:paraId="49E0C89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承诺方承诺如违反本承诺书所述任何义务，无论是否给</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造成损失，承诺方将承担一切责任，并就</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实际造成的经济、名誉损失进行赔偿。</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有权解除双方合同并不负任何违约责任，有权从应付承诺方账款中扣罚，并可采用法律手段索赔。</w:t>
      </w:r>
    </w:p>
    <w:p w14:paraId="30D1A08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九、自觉接受监督。</w:t>
      </w:r>
    </w:p>
    <w:p w14:paraId="6DDF0D55">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特此承诺。</w:t>
      </w:r>
    </w:p>
    <w:p w14:paraId="098AAFED">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p>
    <w:p w14:paraId="28637FAA">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p>
    <w:p w14:paraId="527206CC">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 xml:space="preserve">              承诺人（投标人）名称（盖章）：</w:t>
      </w:r>
    </w:p>
    <w:p w14:paraId="42CA7240">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 xml:space="preserve">            法定代表人（或投标人代表）：</w:t>
      </w:r>
    </w:p>
    <w:p w14:paraId="795122B6">
      <w:pPr>
        <w:spacing w:line="240" w:lineRule="atLeast"/>
        <w:ind w:firstLine="3840" w:firstLineChars="1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日期：</w:t>
      </w:r>
    </w:p>
    <w:p w14:paraId="5AF3C8DF">
      <w:pPr>
        <w:spacing w:line="500" w:lineRule="exact"/>
        <w:rPr>
          <w:rFonts w:ascii="仿宋" w:hAnsi="仿宋" w:eastAsia="仿宋"/>
          <w:color w:val="000000" w:themeColor="text1"/>
          <w:sz w:val="32"/>
          <w:szCs w:val="32"/>
          <w:highlight w:val="none"/>
          <w14:textFill>
            <w14:solidFill>
              <w14:schemeClr w14:val="tx1"/>
            </w14:solidFill>
          </w14:textFill>
        </w:rPr>
      </w:pPr>
    </w:p>
    <w:p w14:paraId="1CBA670B">
      <w:pPr>
        <w:spacing w:line="500" w:lineRule="exact"/>
        <w:rPr>
          <w:rFonts w:ascii="仿宋" w:hAnsi="仿宋" w:eastAsia="仿宋"/>
          <w:color w:val="000000" w:themeColor="text1"/>
          <w:sz w:val="32"/>
          <w:szCs w:val="32"/>
          <w:highlight w:val="none"/>
          <w14:textFill>
            <w14:solidFill>
              <w14:schemeClr w14:val="tx1"/>
            </w14:solidFill>
          </w14:textFill>
        </w:rPr>
      </w:pPr>
    </w:p>
    <w:p w14:paraId="0FB1EF64">
      <w:pPr>
        <w:spacing w:line="500" w:lineRule="exact"/>
        <w:rPr>
          <w:rFonts w:ascii="仿宋" w:hAnsi="仿宋" w:eastAsia="仿宋"/>
          <w:color w:val="000000" w:themeColor="text1"/>
          <w:sz w:val="32"/>
          <w:szCs w:val="32"/>
          <w:highlight w:val="none"/>
          <w14:textFill>
            <w14:solidFill>
              <w14:schemeClr w14:val="tx1"/>
            </w14:solidFill>
          </w14:textFill>
        </w:rPr>
      </w:pPr>
    </w:p>
    <w:p w14:paraId="7964F49E">
      <w:pPr>
        <w:spacing w:line="500" w:lineRule="exact"/>
        <w:rPr>
          <w:rFonts w:ascii="仿宋" w:hAnsi="仿宋" w:eastAsia="仿宋"/>
          <w:color w:val="000000" w:themeColor="text1"/>
          <w:sz w:val="32"/>
          <w:szCs w:val="32"/>
          <w:highlight w:val="none"/>
          <w14:textFill>
            <w14:solidFill>
              <w14:schemeClr w14:val="tx1"/>
            </w14:solidFill>
          </w14:textFill>
        </w:rPr>
      </w:pPr>
    </w:p>
    <w:p w14:paraId="287D854C">
      <w:pPr>
        <w:spacing w:line="500" w:lineRule="exact"/>
        <w:rPr>
          <w:rFonts w:ascii="仿宋" w:hAnsi="仿宋" w:eastAsia="仿宋"/>
          <w:color w:val="000000" w:themeColor="text1"/>
          <w:sz w:val="32"/>
          <w:szCs w:val="32"/>
          <w:highlight w:val="none"/>
          <w14:textFill>
            <w14:solidFill>
              <w14:schemeClr w14:val="tx1"/>
            </w14:solidFill>
          </w14:textFill>
        </w:rPr>
      </w:pPr>
    </w:p>
    <w:p w14:paraId="36D53EAB">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EB2C513">
      <w:pPr>
        <w:spacing w:before="120" w:after="120"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格式9  </w:t>
      </w:r>
    </w:p>
    <w:p w14:paraId="6224F72C">
      <w:pPr>
        <w:spacing w:beforeLines="50" w:afterLines="50"/>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带“★”号条款逐条响应情况表</w:t>
      </w:r>
    </w:p>
    <w:p w14:paraId="7075DB1A">
      <w:pPr>
        <w:spacing w:line="38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项目名称：</w:t>
      </w:r>
      <w:r>
        <w:rPr>
          <w:rFonts w:hint="eastAsia" w:ascii="仿宋" w:hAnsi="仿宋" w:eastAsia="仿宋"/>
          <w:color w:val="000000" w:themeColor="text1"/>
          <w:sz w:val="32"/>
          <w:szCs w:val="32"/>
          <w:highlight w:val="none"/>
          <w14:textFill>
            <w14:solidFill>
              <w14:schemeClr w14:val="tx1"/>
            </w14:solidFill>
          </w14:textFill>
        </w:rPr>
        <w:t xml:space="preserve">        招标编号</w:t>
      </w:r>
      <w:r>
        <w:rPr>
          <w:rFonts w:hint="eastAsia" w:ascii="仿宋" w:hAnsi="仿宋" w:eastAsia="仿宋" w:cs="宋体"/>
          <w:color w:val="000000" w:themeColor="text1"/>
          <w:sz w:val="32"/>
          <w:szCs w:val="32"/>
          <w:highlight w:val="none"/>
          <w14:textFill>
            <w14:solidFill>
              <w14:schemeClr w14:val="tx1"/>
            </w14:solidFill>
          </w14:textFill>
        </w:rPr>
        <w:t>：</w:t>
      </w:r>
    </w:p>
    <w:tbl>
      <w:tblPr>
        <w:tblStyle w:val="16"/>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78A63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31EF0842">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序号</w:t>
            </w:r>
          </w:p>
        </w:tc>
        <w:tc>
          <w:tcPr>
            <w:tcW w:w="3276" w:type="dxa"/>
            <w:vAlign w:val="center"/>
          </w:tcPr>
          <w:p w14:paraId="31D97FFC">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招标文件中带“★”号的条款</w:t>
            </w:r>
          </w:p>
        </w:tc>
        <w:tc>
          <w:tcPr>
            <w:tcW w:w="1836" w:type="dxa"/>
            <w:vAlign w:val="center"/>
          </w:tcPr>
          <w:p w14:paraId="5B2BF0AC">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投标响应</w:t>
            </w:r>
            <w:r>
              <w:rPr>
                <w:rFonts w:hint="eastAsia" w:ascii="仿宋" w:hAnsi="仿宋" w:eastAsia="仿宋"/>
                <w:color w:val="000000" w:themeColor="text1"/>
                <w:sz w:val="32"/>
                <w:szCs w:val="32"/>
                <w:highlight w:val="none"/>
                <w14:textFill>
                  <w14:solidFill>
                    <w14:schemeClr w14:val="tx1"/>
                  </w14:solidFill>
                </w14:textFill>
              </w:rPr>
              <w:t>内容</w:t>
            </w:r>
          </w:p>
        </w:tc>
        <w:tc>
          <w:tcPr>
            <w:tcW w:w="2676" w:type="dxa"/>
            <w:vAlign w:val="center"/>
          </w:tcPr>
          <w:p w14:paraId="64074AE1">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对应投标文件页码</w:t>
            </w:r>
          </w:p>
        </w:tc>
      </w:tr>
      <w:tr w14:paraId="45ED07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421E4E7">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325481FD">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5AC6A5FF">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600573B7">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410A7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0D44E0A">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61592FAC">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74481F27">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2B1BF6CA">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38E63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81FEA67">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0B393523">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587ADFFA">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0EA2DC45">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48EABE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4138B731">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7A8BE0AC">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32D759C8">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7E729540">
            <w:pPr>
              <w:spacing w:line="300" w:lineRule="exact"/>
              <w:rPr>
                <w:rFonts w:ascii="仿宋" w:hAnsi="仿宋" w:eastAsia="仿宋"/>
                <w:color w:val="000000" w:themeColor="text1"/>
                <w:sz w:val="32"/>
                <w:szCs w:val="32"/>
                <w:highlight w:val="none"/>
                <w14:textFill>
                  <w14:solidFill>
                    <w14:schemeClr w14:val="tx1"/>
                  </w14:solidFill>
                </w14:textFill>
              </w:rPr>
            </w:pPr>
          </w:p>
        </w:tc>
      </w:tr>
    </w:tbl>
    <w:p w14:paraId="3B52774C">
      <w:pPr>
        <w:spacing w:line="540" w:lineRule="exact"/>
        <w:ind w:firstLine="643" w:firstLineChars="200"/>
        <w:jc w:val="lef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以上★号条款为招标文件中的所有★号条款，无论是技术指标或文字描述要求，投标人必须逐条如实地书面响应及承诺。</w:t>
      </w:r>
    </w:p>
    <w:p w14:paraId="709BC21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62CE5C7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421710D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日   期： </w:t>
      </w:r>
    </w:p>
    <w:p w14:paraId="5927A4A4">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p>
    <w:p w14:paraId="5BEB1F4E">
      <w:pPr>
        <w:spacing w:line="540" w:lineRule="exact"/>
        <w:rPr>
          <w:rFonts w:ascii="仿宋" w:hAnsi="仿宋" w:eastAsia="仿宋"/>
          <w:color w:val="000000" w:themeColor="text1"/>
          <w:sz w:val="32"/>
          <w:szCs w:val="32"/>
          <w:highlight w:val="none"/>
          <w14:textFill>
            <w14:solidFill>
              <w14:schemeClr w14:val="tx1"/>
            </w14:solidFill>
          </w14:textFill>
        </w:rPr>
      </w:pPr>
    </w:p>
    <w:p w14:paraId="089C58A5">
      <w:pPr>
        <w:spacing w:line="540" w:lineRule="exact"/>
        <w:rPr>
          <w:rFonts w:ascii="仿宋" w:hAnsi="仿宋" w:eastAsia="仿宋"/>
          <w:color w:val="000000" w:themeColor="text1"/>
          <w:sz w:val="32"/>
          <w:szCs w:val="32"/>
          <w:highlight w:val="none"/>
          <w14:textFill>
            <w14:solidFill>
              <w14:schemeClr w14:val="tx1"/>
            </w14:solidFill>
          </w14:textFill>
        </w:rPr>
      </w:pPr>
    </w:p>
    <w:p w14:paraId="4326CEFF">
      <w:pPr>
        <w:spacing w:line="540" w:lineRule="exact"/>
        <w:rPr>
          <w:rFonts w:ascii="仿宋" w:hAnsi="仿宋" w:eastAsia="仿宋"/>
          <w:color w:val="000000" w:themeColor="text1"/>
          <w:sz w:val="32"/>
          <w:szCs w:val="32"/>
          <w:highlight w:val="none"/>
          <w14:textFill>
            <w14:solidFill>
              <w14:schemeClr w14:val="tx1"/>
            </w14:solidFill>
          </w14:textFill>
        </w:rPr>
      </w:pPr>
    </w:p>
    <w:p w14:paraId="1B99A7E5">
      <w:pPr>
        <w:spacing w:line="540" w:lineRule="exact"/>
        <w:rPr>
          <w:rFonts w:ascii="仿宋" w:hAnsi="仿宋" w:eastAsia="仿宋"/>
          <w:color w:val="000000" w:themeColor="text1"/>
          <w:sz w:val="32"/>
          <w:szCs w:val="32"/>
          <w:highlight w:val="none"/>
          <w14:textFill>
            <w14:solidFill>
              <w14:schemeClr w14:val="tx1"/>
            </w14:solidFill>
          </w14:textFill>
        </w:rPr>
      </w:pPr>
    </w:p>
    <w:p w14:paraId="27624155">
      <w:pPr>
        <w:spacing w:line="540" w:lineRule="exact"/>
        <w:rPr>
          <w:rFonts w:ascii="仿宋" w:hAnsi="仿宋" w:eastAsia="仿宋"/>
          <w:color w:val="000000" w:themeColor="text1"/>
          <w:sz w:val="32"/>
          <w:szCs w:val="32"/>
          <w:highlight w:val="none"/>
          <w14:textFill>
            <w14:solidFill>
              <w14:schemeClr w14:val="tx1"/>
            </w14:solidFill>
          </w14:textFill>
        </w:rPr>
      </w:pPr>
    </w:p>
    <w:p w14:paraId="2B54E1AB">
      <w:pPr>
        <w:spacing w:line="540" w:lineRule="exact"/>
        <w:rPr>
          <w:rFonts w:ascii="仿宋" w:hAnsi="仿宋" w:eastAsia="仿宋"/>
          <w:color w:val="000000" w:themeColor="text1"/>
          <w:sz w:val="32"/>
          <w:szCs w:val="32"/>
          <w:highlight w:val="none"/>
          <w14:textFill>
            <w14:solidFill>
              <w14:schemeClr w14:val="tx1"/>
            </w14:solidFill>
          </w14:textFill>
        </w:rPr>
      </w:pPr>
    </w:p>
    <w:p w14:paraId="30F2062F">
      <w:pPr>
        <w:spacing w:line="540" w:lineRule="exact"/>
        <w:rPr>
          <w:rFonts w:ascii="仿宋" w:hAnsi="仿宋" w:eastAsia="仿宋"/>
          <w:color w:val="000000" w:themeColor="text1"/>
          <w:sz w:val="32"/>
          <w:szCs w:val="32"/>
          <w:highlight w:val="none"/>
          <w14:textFill>
            <w14:solidFill>
              <w14:schemeClr w14:val="tx1"/>
            </w14:solidFill>
          </w14:textFill>
        </w:rPr>
      </w:pPr>
    </w:p>
    <w:p w14:paraId="7A888C06">
      <w:pPr>
        <w:spacing w:line="540" w:lineRule="exact"/>
        <w:rPr>
          <w:rFonts w:ascii="仿宋" w:hAnsi="仿宋" w:eastAsia="仿宋"/>
          <w:color w:val="000000" w:themeColor="text1"/>
          <w:sz w:val="32"/>
          <w:szCs w:val="32"/>
          <w:highlight w:val="none"/>
          <w14:textFill>
            <w14:solidFill>
              <w14:schemeClr w14:val="tx1"/>
            </w14:solidFill>
          </w14:textFill>
        </w:rPr>
      </w:pPr>
    </w:p>
    <w:p w14:paraId="5AA69D84">
      <w:pPr>
        <w:spacing w:line="540" w:lineRule="exact"/>
        <w:rPr>
          <w:rFonts w:ascii="仿宋" w:hAnsi="仿宋" w:eastAsia="仿宋"/>
          <w:color w:val="000000" w:themeColor="text1"/>
          <w:sz w:val="32"/>
          <w:szCs w:val="32"/>
          <w:highlight w:val="none"/>
          <w14:textFill>
            <w14:solidFill>
              <w14:schemeClr w14:val="tx1"/>
            </w14:solidFill>
          </w14:textFill>
        </w:rPr>
      </w:pPr>
    </w:p>
    <w:p w14:paraId="1F13BAFA">
      <w:pPr>
        <w:spacing w:line="540" w:lineRule="exact"/>
        <w:rPr>
          <w:rFonts w:ascii="仿宋" w:hAnsi="仿宋" w:eastAsia="仿宋"/>
          <w:color w:val="000000" w:themeColor="text1"/>
          <w:sz w:val="32"/>
          <w:szCs w:val="32"/>
          <w:highlight w:val="none"/>
          <w14:textFill>
            <w14:solidFill>
              <w14:schemeClr w14:val="tx1"/>
            </w14:solidFill>
          </w14:textFill>
        </w:rPr>
      </w:pPr>
    </w:p>
    <w:p w14:paraId="2A322D32">
      <w:pPr>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br w:type="page"/>
      </w:r>
    </w:p>
    <w:p w14:paraId="58BBA56B">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14:textFill>
            <w14:solidFill>
              <w14:schemeClr w14:val="tx1"/>
            </w14:solidFill>
          </w14:textFill>
        </w:rPr>
        <w:t>10</w:t>
      </w:r>
    </w:p>
    <w:p w14:paraId="28C69BF8">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投标人提交的其它资料</w:t>
      </w:r>
    </w:p>
    <w:p w14:paraId="33F760A7">
      <w:pPr>
        <w:spacing w:line="500" w:lineRule="exact"/>
        <w:rPr>
          <w:rFonts w:ascii="仿宋" w:hAnsi="仿宋" w:eastAsia="仿宋"/>
          <w:b/>
          <w:color w:val="000000" w:themeColor="text1"/>
          <w:sz w:val="32"/>
          <w:szCs w:val="32"/>
          <w:highlight w:val="none"/>
          <w14:textFill>
            <w14:solidFill>
              <w14:schemeClr w14:val="tx1"/>
            </w14:solidFill>
          </w14:textFill>
        </w:rPr>
      </w:pPr>
    </w:p>
    <w:p w14:paraId="2B830528">
      <w:pPr>
        <w:spacing w:line="500" w:lineRule="exact"/>
        <w:ind w:firstLine="640"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（投标人认为应提交的其他材料, 可在此附件中提交）</w:t>
      </w:r>
    </w:p>
    <w:p w14:paraId="2C341EE4">
      <w:pPr>
        <w:spacing w:line="500" w:lineRule="exact"/>
        <w:rPr>
          <w:rFonts w:ascii="仿宋" w:hAnsi="仿宋" w:eastAsia="仿宋"/>
          <w:color w:val="000000" w:themeColor="text1"/>
          <w:sz w:val="32"/>
          <w:szCs w:val="32"/>
          <w:highlight w:val="none"/>
          <w14:textFill>
            <w14:solidFill>
              <w14:schemeClr w14:val="tx1"/>
            </w14:solidFill>
          </w14:textFill>
        </w:rPr>
      </w:pPr>
    </w:p>
    <w:p w14:paraId="7D8252D9">
      <w:pPr>
        <w:spacing w:line="500" w:lineRule="exact"/>
        <w:rPr>
          <w:rFonts w:ascii="仿宋" w:hAnsi="仿宋" w:eastAsia="仿宋"/>
          <w:color w:val="000000" w:themeColor="text1"/>
          <w:sz w:val="32"/>
          <w:szCs w:val="32"/>
          <w:highlight w:val="none"/>
          <w14:textFill>
            <w14:solidFill>
              <w14:schemeClr w14:val="tx1"/>
            </w14:solidFill>
          </w14:textFill>
        </w:rPr>
      </w:pPr>
    </w:p>
    <w:p w14:paraId="0720D74E">
      <w:pPr>
        <w:spacing w:line="500" w:lineRule="exact"/>
        <w:rPr>
          <w:rFonts w:ascii="仿宋" w:hAnsi="仿宋" w:eastAsia="仿宋"/>
          <w:color w:val="000000" w:themeColor="text1"/>
          <w:sz w:val="32"/>
          <w:szCs w:val="32"/>
          <w:highlight w:val="none"/>
          <w14:textFill>
            <w14:solidFill>
              <w14:schemeClr w14:val="tx1"/>
            </w14:solidFill>
          </w14:textFill>
        </w:rPr>
      </w:pPr>
    </w:p>
    <w:p w14:paraId="59238A1A">
      <w:pPr>
        <w:spacing w:line="500" w:lineRule="exact"/>
        <w:rPr>
          <w:rFonts w:ascii="仿宋" w:hAnsi="仿宋" w:eastAsia="仿宋"/>
          <w:color w:val="000000" w:themeColor="text1"/>
          <w:sz w:val="32"/>
          <w:szCs w:val="32"/>
          <w:highlight w:val="none"/>
          <w14:textFill>
            <w14:solidFill>
              <w14:schemeClr w14:val="tx1"/>
            </w14:solidFill>
          </w14:textFill>
        </w:rPr>
      </w:pPr>
    </w:p>
    <w:p w14:paraId="3BEF8AB7">
      <w:pPr>
        <w:spacing w:line="50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6182B503">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61864D6B">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6D69580D">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DF1F8D4">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3EE1203E">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BCB26C3">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AD7019E">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88AFC52">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62851872">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1C3F9C98">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4EE6A81">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3DDB735">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46B8D97">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40AEEA50">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1E164BC">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1A86393A">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4D54D4FF">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773A3526">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1982E9D6">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格式11 投标人密封条</w:t>
      </w:r>
    </w:p>
    <w:p w14:paraId="2676A10F">
      <w:pPr>
        <w:spacing w:line="500" w:lineRule="exact"/>
        <w:rPr>
          <w:rFonts w:ascii="仿宋" w:hAnsi="仿宋" w:eastAsia="仿宋"/>
          <w:color w:val="000000" w:themeColor="text1"/>
          <w:sz w:val="32"/>
          <w:szCs w:val="32"/>
          <w:highlight w:val="none"/>
          <w14:textFill>
            <w14:solidFill>
              <w14:schemeClr w14:val="tx1"/>
            </w14:solidFill>
          </w14:textFill>
        </w:rPr>
      </w:pPr>
    </w:p>
    <w:p w14:paraId="73D160F4">
      <w:pPr>
        <w:spacing w:line="500" w:lineRule="exact"/>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p>
    <w:p w14:paraId="24F0C2BA">
      <w:pPr>
        <w:spacing w:line="500" w:lineRule="exact"/>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 xml:space="preserve">    密    封    条</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1"/>
        <w:gridCol w:w="2019"/>
        <w:gridCol w:w="1706"/>
        <w:gridCol w:w="2200"/>
      </w:tblGrid>
      <w:tr w14:paraId="00B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1" w:type="dxa"/>
            <w:vAlign w:val="center"/>
          </w:tcPr>
          <w:p w14:paraId="0850B33A">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送   呈</w:t>
            </w:r>
          </w:p>
        </w:tc>
        <w:tc>
          <w:tcPr>
            <w:tcW w:w="7026" w:type="dxa"/>
            <w:gridSpan w:val="4"/>
            <w:vAlign w:val="center"/>
          </w:tcPr>
          <w:p w14:paraId="5CFDECBC">
            <w:pPr>
              <w:spacing w:line="500" w:lineRule="exact"/>
              <w:ind w:left="420"/>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厦门国贸物业服务有限公司</w:t>
            </w:r>
          </w:p>
        </w:tc>
      </w:tr>
      <w:tr w14:paraId="7F8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31" w:type="dxa"/>
            <w:vAlign w:val="center"/>
          </w:tcPr>
          <w:p w14:paraId="40B63A79">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项目名称</w:t>
            </w:r>
          </w:p>
        </w:tc>
        <w:tc>
          <w:tcPr>
            <w:tcW w:w="3120" w:type="dxa"/>
            <w:gridSpan w:val="2"/>
            <w:vAlign w:val="center"/>
          </w:tcPr>
          <w:p w14:paraId="116B5AFF">
            <w:pPr>
              <w:spacing w:line="500" w:lineRule="exact"/>
              <w:rPr>
                <w:rFonts w:ascii="仿宋" w:hAnsi="仿宋" w:eastAsia="仿宋" w:cs="仿宋"/>
                <w:bCs/>
                <w:color w:val="000000" w:themeColor="text1"/>
                <w:sz w:val="30"/>
                <w:szCs w:val="30"/>
                <w:highlight w:val="none"/>
                <w:lang w:val="zh-CN"/>
                <w14:textFill>
                  <w14:solidFill>
                    <w14:schemeClr w14:val="tx1"/>
                  </w14:solidFill>
                </w14:textFill>
              </w:rPr>
            </w:pPr>
          </w:p>
        </w:tc>
        <w:tc>
          <w:tcPr>
            <w:tcW w:w="1706" w:type="dxa"/>
            <w:vAlign w:val="center"/>
          </w:tcPr>
          <w:p w14:paraId="729F8F09">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招标编号</w:t>
            </w:r>
          </w:p>
        </w:tc>
        <w:tc>
          <w:tcPr>
            <w:tcW w:w="2200" w:type="dxa"/>
            <w:vAlign w:val="center"/>
          </w:tcPr>
          <w:p w14:paraId="53B4A7DD">
            <w:pPr>
              <w:spacing w:line="500" w:lineRule="exact"/>
              <w:rPr>
                <w:rFonts w:ascii="仿宋" w:hAnsi="仿宋" w:eastAsia="仿宋" w:cs="Arial"/>
                <w:color w:val="000000" w:themeColor="text1"/>
                <w:kern w:val="0"/>
                <w:sz w:val="32"/>
                <w:szCs w:val="32"/>
                <w:highlight w:val="none"/>
                <w14:textFill>
                  <w14:solidFill>
                    <w14:schemeClr w14:val="tx1"/>
                  </w14:solidFill>
                </w14:textFill>
              </w:rPr>
            </w:pPr>
          </w:p>
        </w:tc>
      </w:tr>
      <w:tr w14:paraId="43E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1" w:type="dxa"/>
            <w:vAlign w:val="center"/>
          </w:tcPr>
          <w:p w14:paraId="1E9A7D7C">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截标日期</w:t>
            </w:r>
          </w:p>
        </w:tc>
        <w:tc>
          <w:tcPr>
            <w:tcW w:w="7026" w:type="dxa"/>
            <w:gridSpan w:val="4"/>
            <w:vAlign w:val="center"/>
          </w:tcPr>
          <w:p w14:paraId="5AEBC35B">
            <w:pPr>
              <w:spacing w:line="500" w:lineRule="exact"/>
              <w:ind w:firstLine="640" w:firstLineChars="200"/>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年  月  日    分止</w:t>
            </w:r>
          </w:p>
        </w:tc>
      </w:tr>
      <w:tr w14:paraId="361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326D9F36">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报价单位名称（加盖密封章或公章）</w:t>
            </w:r>
          </w:p>
        </w:tc>
        <w:tc>
          <w:tcPr>
            <w:tcW w:w="5925" w:type="dxa"/>
            <w:gridSpan w:val="3"/>
            <w:vAlign w:val="center"/>
          </w:tcPr>
          <w:p w14:paraId="6FC6066C">
            <w:pPr>
              <w:spacing w:line="500" w:lineRule="exact"/>
              <w:rPr>
                <w:rFonts w:ascii="仿宋" w:hAnsi="仿宋" w:eastAsia="仿宋" w:cs="Arial"/>
                <w:color w:val="000000" w:themeColor="text1"/>
                <w:kern w:val="0"/>
                <w:sz w:val="32"/>
                <w:szCs w:val="32"/>
                <w:highlight w:val="none"/>
                <w14:textFill>
                  <w14:solidFill>
                    <w14:schemeClr w14:val="tx1"/>
                  </w14:solidFill>
                </w14:textFill>
              </w:rPr>
            </w:pPr>
          </w:p>
        </w:tc>
      </w:tr>
    </w:tbl>
    <w:p w14:paraId="10766526">
      <w:pPr>
        <w:spacing w:line="500" w:lineRule="exact"/>
        <w:rPr>
          <w:rFonts w:ascii="仿宋" w:hAnsi="仿宋" w:eastAsia="仿宋"/>
          <w:b/>
          <w:color w:val="000000" w:themeColor="text1"/>
          <w:sz w:val="32"/>
          <w:szCs w:val="32"/>
          <w:highlight w:val="none"/>
          <w14:textFill>
            <w14:solidFill>
              <w14:schemeClr w14:val="tx1"/>
            </w14:solidFill>
          </w14:textFill>
        </w:rPr>
      </w:pPr>
    </w:p>
    <w:p w14:paraId="7CA9F191">
      <w:pPr>
        <w:spacing w:line="500" w:lineRule="exact"/>
        <w:rPr>
          <w:rFonts w:hint="eastAsia"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bookmarkEnd w:id="5"/>
      <w:bookmarkEnd w:id="6"/>
    </w:p>
    <w:p w14:paraId="243AC29A">
      <w:pPr>
        <w:rPr>
          <w:rFonts w:hint="eastAsia"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br w:type="page"/>
      </w:r>
    </w:p>
    <w:p w14:paraId="3B249517">
      <w:pPr>
        <w:spacing w:line="500" w:lineRule="exact"/>
        <w:jc w:val="center"/>
        <w:rPr>
          <w:rFonts w:hint="eastAsia" w:ascii="仿宋" w:hAnsi="仿宋" w:eastAsia="仿宋"/>
          <w:b/>
          <w:bCs/>
          <w:sz w:val="32"/>
          <w:szCs w:val="32"/>
        </w:rPr>
      </w:pPr>
      <w:r>
        <w:rPr>
          <w:rFonts w:hint="eastAsia" w:ascii="仿宋" w:hAnsi="仿宋" w:eastAsia="仿宋" w:cs="仿宋"/>
          <w:b/>
          <w:color w:val="000000" w:themeColor="text1"/>
          <w:sz w:val="32"/>
          <w:szCs w:val="32"/>
          <w:highlight w:val="none"/>
          <w14:textFill>
            <w14:solidFill>
              <w14:schemeClr w14:val="tx1"/>
            </w14:solidFill>
          </w14:textFill>
        </w:rPr>
        <w:t>建筑垃圾清运服务合同</w:t>
      </w:r>
    </w:p>
    <w:tbl>
      <w:tblPr>
        <w:tblStyle w:val="16"/>
        <w:tblpPr w:leftFromText="180" w:rightFromText="180" w:vertAnchor="page" w:horzAnchor="page" w:tblpX="1432" w:tblpY="2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3BFA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416F239B">
            <w:pPr>
              <w:wordWrap w:val="0"/>
              <w:spacing w:line="360" w:lineRule="auto"/>
              <w:rPr>
                <w:rFonts w:ascii="宋体" w:hAnsi="宋体"/>
                <w:szCs w:val="21"/>
                <w:highlight w:val="none"/>
              </w:rPr>
            </w:pPr>
            <w:r>
              <w:rPr>
                <w:rFonts w:hint="eastAsia" w:ascii="宋体" w:hAnsi="宋体"/>
                <w:szCs w:val="21"/>
                <w:highlight w:val="none"/>
              </w:rPr>
              <w:t>注释：</w:t>
            </w:r>
            <w:r>
              <w:rPr>
                <w:rFonts w:ascii="宋体" w:hAnsi="宋体"/>
                <w:szCs w:val="21"/>
                <w:highlight w:val="none"/>
              </w:rPr>
              <w:t>本格式条款仅作为双方签订合同的参考，为阐明各方的权利和义务，经协商可增加新的条款、修改相关条款，但不得与</w:t>
            </w:r>
            <w:r>
              <w:rPr>
                <w:rFonts w:hint="eastAsia" w:ascii="宋体" w:hAnsi="宋体"/>
                <w:szCs w:val="21"/>
                <w:highlight w:val="none"/>
              </w:rPr>
              <w:t>招标文件</w:t>
            </w:r>
            <w:r>
              <w:rPr>
                <w:rFonts w:ascii="宋体" w:hAnsi="宋体"/>
                <w:szCs w:val="21"/>
                <w:highlight w:val="none"/>
              </w:rPr>
              <w:t>、</w:t>
            </w:r>
            <w:r>
              <w:rPr>
                <w:rFonts w:hint="eastAsia" w:ascii="宋体" w:hAnsi="宋体"/>
                <w:szCs w:val="21"/>
                <w:highlight w:val="none"/>
              </w:rPr>
              <w:t>投标文件</w:t>
            </w:r>
            <w:r>
              <w:rPr>
                <w:rFonts w:ascii="宋体" w:hAnsi="宋体"/>
                <w:szCs w:val="21"/>
                <w:highlight w:val="none"/>
              </w:rPr>
              <w:t>的实质性内容相背离。</w:t>
            </w:r>
          </w:p>
        </w:tc>
      </w:tr>
    </w:tbl>
    <w:p w14:paraId="2742F4F3">
      <w:pPr>
        <w:pStyle w:val="9"/>
        <w:keepNext/>
        <w:keepLines w:val="0"/>
        <w:pageBreakBefore w:val="0"/>
        <w:widowControl w:val="0"/>
        <w:kinsoku/>
        <w:wordWrap/>
        <w:overflowPunct/>
        <w:topLinePunct w:val="0"/>
        <w:autoSpaceDE/>
        <w:autoSpaceDN/>
        <w:bidi w:val="0"/>
        <w:adjustRightInd/>
        <w:snapToGrid/>
        <w:spacing w:line="360" w:lineRule="auto"/>
        <w:ind w:right="420"/>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合同编号：</w:t>
      </w:r>
    </w:p>
    <w:p w14:paraId="673A59B8">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64D3942A">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甲方：                                       </w:t>
      </w:r>
    </w:p>
    <w:p w14:paraId="73B633A5">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法定代表人：                                 </w:t>
      </w:r>
    </w:p>
    <w:p w14:paraId="50E96F8C">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地址：                                       </w:t>
      </w:r>
    </w:p>
    <w:p w14:paraId="30865D91">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乙方：                                       </w:t>
      </w:r>
    </w:p>
    <w:p w14:paraId="5E4DBBB7">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法定代表人：                                 </w:t>
      </w:r>
    </w:p>
    <w:p w14:paraId="776686DB">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住所地：                                     </w:t>
      </w:r>
    </w:p>
    <w:p w14:paraId="412171D9">
      <w:pPr>
        <w:adjustRightInd w:val="0"/>
        <w:snapToGrid w:val="0"/>
        <w:spacing w:line="360" w:lineRule="auto"/>
        <w:ind w:firstLine="627"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甲方为</w:t>
      </w:r>
      <w:r>
        <w:rPr>
          <w:rFonts w:hint="eastAsia" w:ascii="仿宋" w:hAnsi="仿宋" w:eastAsia="仿宋" w:cs="仿宋"/>
          <w:b/>
          <w:color w:val="000000" w:themeColor="text1"/>
          <w:sz w:val="32"/>
          <w:szCs w:val="32"/>
          <w:highlight w:val="none"/>
          <w:u w:val="single"/>
          <w:lang w:eastAsia="zh-CN"/>
          <w14:textFill>
            <w14:solidFill>
              <w14:schemeClr w14:val="tx1"/>
            </w14:solidFill>
          </w14:textFill>
        </w:rPr>
        <w:t>泉州国贸天琴樾</w:t>
      </w:r>
      <w:r>
        <w:rPr>
          <w:rFonts w:hint="eastAsia" w:ascii="仿宋" w:hAnsi="仿宋" w:eastAsia="仿宋" w:cs="仿宋"/>
          <w:color w:val="000000" w:themeColor="text1"/>
          <w:sz w:val="32"/>
          <w:szCs w:val="32"/>
          <w:highlight w:val="none"/>
          <w14:textFill>
            <w14:solidFill>
              <w14:schemeClr w14:val="tx1"/>
            </w14:solidFill>
          </w14:textFill>
        </w:rPr>
        <w:t>项目（下称“本项目”）的物业服务企业，乙方为建筑装修垃圾清运服务专业机构，经甲、乙双方友好协商，在平等自愿的原则下，就乙方承包本项目建筑装修垃圾清运服务（下称“垃圾清运服务”）达成一致，特签订本合同，以资共同信守。</w:t>
      </w:r>
    </w:p>
    <w:p w14:paraId="39FFCA2A">
      <w:pPr>
        <w:adjustRightInd w:val="0"/>
        <w:snapToGrid w:val="0"/>
        <w:spacing w:line="360" w:lineRule="auto"/>
        <w:ind w:firstLine="630"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第一条 项目地址：</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p>
    <w:p w14:paraId="39C105E8">
      <w:pPr>
        <w:adjustRightInd w:val="0"/>
        <w:snapToGrid w:val="0"/>
        <w:spacing w:line="360" w:lineRule="auto"/>
        <w:ind w:firstLine="630"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第二条 承包方</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式</w:t>
      </w:r>
      <w:r>
        <w:rPr>
          <w:rFonts w:hint="eastAsia" w:ascii="仿宋" w:hAnsi="仿宋" w:eastAsia="仿宋" w:cs="仿宋"/>
          <w:b/>
          <w:color w:val="000000" w:themeColor="text1"/>
          <w:sz w:val="32"/>
          <w:szCs w:val="32"/>
          <w:highlight w:val="none"/>
          <w14:textFill>
            <w14:solidFill>
              <w14:schemeClr w14:val="tx1"/>
            </w14:solidFill>
          </w14:textFill>
        </w:rPr>
        <w:t>及质量要求：</w:t>
      </w:r>
      <w:r>
        <w:rPr>
          <w:rFonts w:hint="eastAsia" w:ascii="仿宋" w:hAnsi="仿宋" w:eastAsia="仿宋" w:cs="仿宋"/>
          <w:color w:val="000000" w:themeColor="text1"/>
          <w:sz w:val="32"/>
          <w:szCs w:val="32"/>
          <w:highlight w:val="none"/>
          <w:u w:val="single"/>
          <w14:textFill>
            <w14:solidFill>
              <w14:schemeClr w14:val="tx1"/>
            </w14:solidFill>
          </w14:textFill>
        </w:rPr>
        <w:t>包工、包料(含清运材料、工具、机械、设备等)、包税、包安全、保质量</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的全包方式</w:t>
      </w:r>
      <w:r>
        <w:rPr>
          <w:rFonts w:hint="eastAsia" w:ascii="仿宋" w:hAnsi="仿宋" w:eastAsia="仿宋" w:cs="仿宋"/>
          <w:color w:val="000000" w:themeColor="text1"/>
          <w:sz w:val="32"/>
          <w:szCs w:val="32"/>
          <w:highlight w:val="none"/>
          <w14:textFill>
            <w14:solidFill>
              <w14:schemeClr w14:val="tx1"/>
            </w14:solidFill>
          </w14:textFill>
        </w:rPr>
        <w:t>。</w:t>
      </w:r>
    </w:p>
    <w:p w14:paraId="7700D297">
      <w:pPr>
        <w:pStyle w:val="9"/>
        <w:adjustRightInd w:val="0"/>
        <w:snapToGrid w:val="0"/>
        <w:spacing w:line="360" w:lineRule="auto"/>
        <w:ind w:firstLine="630" w:firstLineChars="196"/>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第三条 服务期限</w:t>
      </w:r>
    </w:p>
    <w:p w14:paraId="13E06092">
      <w:pPr>
        <w:pStyle w:val="9"/>
        <w:adjustRightInd w:val="0"/>
        <w:snapToGrid w:val="0"/>
        <w:spacing w:line="360" w:lineRule="auto"/>
        <w:ind w:left="239" w:leftChars="114"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本合同项下建筑垃圾清运服务期限自</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日起至</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日止。服务期内，若甲方终止本项目的物业管理服务，则本协议同日自动终止，双方互不承担责任。</w:t>
      </w:r>
    </w:p>
    <w:p w14:paraId="67E870C3">
      <w:pPr>
        <w:pStyle w:val="9"/>
        <w:adjustRightInd w:val="0"/>
        <w:snapToGrid w:val="0"/>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第四条 服务范围及内容</w:t>
      </w:r>
    </w:p>
    <w:p w14:paraId="16FB3E6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1、本合同项下建筑垃圾清运服务范围为：甲方实施物业管理服务的</w:t>
      </w:r>
      <w:r>
        <w:rPr>
          <w:rFonts w:hint="eastAsia" w:ascii="仿宋" w:hAnsi="仿宋" w:eastAsia="仿宋" w:cs="仿宋"/>
          <w:color w:val="000000" w:themeColor="text1"/>
          <w:sz w:val="32"/>
          <w:szCs w:val="32"/>
          <w:highlight w:val="none"/>
          <w:u w:val="none"/>
          <w14:textFill>
            <w14:solidFill>
              <w14:schemeClr w14:val="tx1"/>
            </w14:solidFill>
          </w14:textFill>
        </w:rPr>
        <w:t>本</w:t>
      </w:r>
      <w:r>
        <w:rPr>
          <w:rFonts w:hint="eastAsia" w:ascii="仿宋" w:hAnsi="仿宋" w:eastAsia="仿宋" w:cs="仿宋"/>
          <w:color w:val="000000" w:themeColor="text1"/>
          <w:sz w:val="32"/>
          <w:szCs w:val="32"/>
          <w:highlight w:val="none"/>
          <w14:textFill>
            <w14:solidFill>
              <w14:schemeClr w14:val="tx1"/>
            </w14:solidFill>
          </w14:textFill>
        </w:rPr>
        <w:t>项目业主在二次装修时所产生的建筑垃圾（不包含园林绿化垃圾、生活垃圾的清运）。</w:t>
      </w:r>
    </w:p>
    <w:p w14:paraId="39BD97C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2、本合同项下建筑垃圾清运服务的内容为：</w:t>
      </w:r>
    </w:p>
    <w:p w14:paraId="5F7DB1F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1）本项目服务范围内所有建筑垃圾的清理、清运；</w:t>
      </w:r>
    </w:p>
    <w:p w14:paraId="727048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2）负责在甲方指定的堆放点修建围栏设施，以免造成区域污染（硬隔断、墙面、柱角、地面保护等）。</w:t>
      </w:r>
    </w:p>
    <w:p w14:paraId="3E40752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24384B4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3、根据《</w:t>
      </w:r>
      <w:r>
        <w:rPr>
          <w:rFonts w:hint="eastAsia" w:ascii="仿宋" w:hAnsi="仿宋" w:eastAsia="仿宋" w:cs="仿宋"/>
          <w:color w:val="000000" w:themeColor="text1"/>
          <w:sz w:val="32"/>
          <w:szCs w:val="32"/>
          <w:highlight w:val="none"/>
          <w:lang w:eastAsia="zh-CN"/>
          <w14:textFill>
            <w14:solidFill>
              <w14:schemeClr w14:val="tx1"/>
            </w14:solidFill>
          </w14:textFill>
        </w:rPr>
        <w:t>丰泽</w:t>
      </w:r>
      <w:r>
        <w:rPr>
          <w:rFonts w:hint="eastAsia" w:ascii="仿宋" w:hAnsi="仿宋" w:eastAsia="仿宋" w:cs="仿宋"/>
          <w:color w:val="000000" w:themeColor="text1"/>
          <w:sz w:val="32"/>
          <w:szCs w:val="32"/>
          <w:highlight w:val="none"/>
          <w14:textFill>
            <w14:solidFill>
              <w14:schemeClr w14:val="tx1"/>
            </w14:solidFill>
          </w14:textFill>
        </w:rPr>
        <w:t>区城市建筑垃圾专项整治实施方案》要求配合并落实。</w:t>
      </w:r>
    </w:p>
    <w:p w14:paraId="0C4A6ED7">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第五条 保证金</w:t>
      </w:r>
    </w:p>
    <w:p w14:paraId="30C5430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1、乙方应在本合同签署后3日内，向甲方缴纳人民币</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万</w:t>
      </w:r>
      <w:r>
        <w:rPr>
          <w:rFonts w:hint="eastAsia" w:ascii="仿宋" w:hAnsi="仿宋" w:eastAsia="仿宋" w:cs="仿宋"/>
          <w:color w:val="000000" w:themeColor="text1"/>
          <w:sz w:val="32"/>
          <w:szCs w:val="32"/>
          <w:highlight w:val="none"/>
          <w14:textFill>
            <w14:solidFill>
              <w14:schemeClr w14:val="tx1"/>
            </w14:solidFill>
          </w14:textFill>
        </w:rPr>
        <w:t>元整的履约保证金（以下称“保证金”），上述保证金作为乙方履行本合同义务的担保。</w:t>
      </w:r>
    </w:p>
    <w:p w14:paraId="58AAABA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2、如乙方发生违约，甲方有权从中扣除乙方应承担的赔偿金或违约金，该等扣除金额将视为乙方向甲方支付的赔偿金或违约金，乙方应在甲方扣款后3个工作日内补足保证金。</w:t>
      </w:r>
    </w:p>
    <w:p w14:paraId="3A7571C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3、服务期限届满后15日内，甲方无息退还保证金剩余部分（如有）。乙方应同时退还甲方保证金收据原件。</w:t>
      </w:r>
    </w:p>
    <w:p w14:paraId="33143E96">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第六条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垃圾清运费</w:t>
      </w:r>
      <w:r>
        <w:rPr>
          <w:rFonts w:hint="eastAsia" w:ascii="仿宋" w:hAnsi="仿宋" w:eastAsia="仿宋" w:cs="仿宋"/>
          <w:b/>
          <w:color w:val="000000" w:themeColor="text1"/>
          <w:sz w:val="32"/>
          <w:szCs w:val="32"/>
          <w:highlight w:val="none"/>
          <w14:textFill>
            <w14:solidFill>
              <w14:schemeClr w14:val="tx1"/>
            </w14:solidFill>
          </w14:textFill>
        </w:rPr>
        <w:t>及支付</w:t>
      </w:r>
    </w:p>
    <w:p w14:paraId="42470FB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1、本合同项下</w:t>
      </w:r>
      <w:r>
        <w:rPr>
          <w:rFonts w:hint="eastAsia" w:ascii="仿宋" w:hAnsi="仿宋" w:eastAsia="仿宋" w:cs="仿宋"/>
          <w:color w:val="000000" w:themeColor="text1"/>
          <w:sz w:val="32"/>
          <w:szCs w:val="32"/>
          <w:highlight w:val="none"/>
          <w:lang w:val="en-US" w:eastAsia="zh-CN"/>
          <w14:textFill>
            <w14:solidFill>
              <w14:schemeClr w14:val="tx1"/>
            </w14:solidFill>
          </w14:textFill>
        </w:rPr>
        <w:t>的垃圾</w:t>
      </w:r>
      <w:r>
        <w:rPr>
          <w:rFonts w:hint="eastAsia" w:ascii="仿宋" w:hAnsi="仿宋" w:eastAsia="仿宋" w:cs="仿宋"/>
          <w:color w:val="000000" w:themeColor="text1"/>
          <w:sz w:val="32"/>
          <w:szCs w:val="32"/>
          <w:highlight w:val="none"/>
          <w14:textFill>
            <w14:solidFill>
              <w14:schemeClr w14:val="tx1"/>
            </w14:solidFill>
          </w14:textFill>
        </w:rPr>
        <w:t>清运费</w:t>
      </w:r>
      <w:r>
        <w:rPr>
          <w:rFonts w:hint="eastAsia" w:ascii="仿宋" w:hAnsi="仿宋" w:eastAsia="仿宋" w:cs="仿宋"/>
          <w:color w:val="000000" w:themeColor="text1"/>
          <w:sz w:val="32"/>
          <w:szCs w:val="32"/>
          <w:highlight w:val="none"/>
          <w:lang w:val="en-US" w:eastAsia="zh-CN"/>
          <w14:textFill>
            <w14:solidFill>
              <w14:schemeClr w14:val="tx1"/>
            </w14:solidFill>
          </w14:textFill>
        </w:rPr>
        <w:t>根据</w:t>
      </w:r>
      <w:r>
        <w:rPr>
          <w:rFonts w:hint="eastAsia" w:ascii="仿宋" w:hAnsi="仿宋" w:eastAsia="仿宋" w:cs="仿宋"/>
          <w:color w:val="000000" w:themeColor="text1"/>
          <w:sz w:val="32"/>
          <w:szCs w:val="32"/>
          <w:highlight w:val="none"/>
          <w14:textFill>
            <w14:solidFill>
              <w14:schemeClr w14:val="tx1"/>
            </w14:solidFill>
          </w14:textFill>
        </w:rPr>
        <w:t>住宅和商铺产权面积按人民币</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元整</w:t>
      </w:r>
      <w:r>
        <w:rPr>
          <w:rFonts w:hint="eastAsia" w:ascii="仿宋" w:hAnsi="仿宋" w:eastAsia="仿宋" w:cs="仿宋"/>
          <w:color w:val="000000" w:themeColor="text1"/>
          <w:sz w:val="32"/>
          <w:szCs w:val="32"/>
          <w:highlight w:val="none"/>
          <w:lang w:val="en-US" w:eastAsia="zh-CN"/>
          <w14:textFill>
            <w14:solidFill>
              <w14:schemeClr w14:val="tx1"/>
            </w14:solidFill>
          </w14:textFill>
        </w:rPr>
        <w:t>/m²的标准</w:t>
      </w:r>
      <w:r>
        <w:rPr>
          <w:rFonts w:hint="eastAsia" w:ascii="仿宋" w:hAnsi="仿宋" w:eastAsia="仿宋" w:cs="仿宋"/>
          <w:color w:val="000000" w:themeColor="text1"/>
          <w:sz w:val="32"/>
          <w:szCs w:val="32"/>
          <w:highlight w:val="none"/>
          <w14:textFill>
            <w14:solidFill>
              <w14:schemeClr w14:val="tx1"/>
            </w14:solidFill>
          </w14:textFill>
        </w:rPr>
        <w:t>结算。</w:t>
      </w:r>
    </w:p>
    <w:p w14:paraId="6F8BAE3F">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14:paraId="52F4298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垃圾</w:t>
      </w:r>
      <w:r>
        <w:rPr>
          <w:rFonts w:hint="eastAsia" w:ascii="仿宋" w:hAnsi="仿宋" w:eastAsia="仿宋" w:cs="仿宋"/>
          <w:color w:val="000000" w:themeColor="text1"/>
          <w:sz w:val="32"/>
          <w:szCs w:val="32"/>
          <w:highlight w:val="none"/>
          <w14:textFill>
            <w14:solidFill>
              <w14:schemeClr w14:val="tx1"/>
            </w14:solidFill>
          </w14:textFill>
        </w:rPr>
        <w:t>清运费分</w:t>
      </w:r>
      <w:r>
        <w:rPr>
          <w:rFonts w:hint="eastAsia" w:ascii="仿宋" w:hAnsi="仿宋" w:eastAsia="仿宋" w:cs="仿宋"/>
          <w:color w:val="000000" w:themeColor="text1"/>
          <w:sz w:val="32"/>
          <w:szCs w:val="32"/>
          <w:highlight w:val="none"/>
          <w:lang w:val="en-US" w:eastAsia="zh-CN"/>
          <w14:textFill>
            <w14:solidFill>
              <w14:schemeClr w14:val="tx1"/>
            </w14:solidFill>
          </w14:textFill>
        </w:rPr>
        <w:t>期</w:t>
      </w:r>
      <w:r>
        <w:rPr>
          <w:rFonts w:hint="eastAsia" w:ascii="仿宋" w:hAnsi="仿宋" w:eastAsia="仿宋" w:cs="仿宋"/>
          <w:color w:val="000000" w:themeColor="text1"/>
          <w:sz w:val="32"/>
          <w:szCs w:val="32"/>
          <w:highlight w:val="none"/>
          <w14:textFill>
            <w14:solidFill>
              <w14:schemeClr w14:val="tx1"/>
            </w14:solidFill>
          </w14:textFill>
        </w:rPr>
        <w:t>结算：</w:t>
      </w:r>
    </w:p>
    <w:p w14:paraId="28865388">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第一季度不付款；</w:t>
      </w:r>
    </w:p>
    <w:p w14:paraId="6F26AF2E">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（2）第二季度支付第一季度已办理装修申请装修垃圾清运费的50%；</w:t>
      </w:r>
    </w:p>
    <w:p w14:paraId="115806E1">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（3）第三季度支付第二季度已办理装修申请的垃圾清运费的50%以及第一季度装修查验完工的装修垃圾清运费的50%；</w:t>
      </w:r>
    </w:p>
    <w:p w14:paraId="433F9C05">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（4）第四季度支付第三季度已办理装修申请的装修垃圾清运费的50%以及第二季度装修查验完工的装修垃圾清运费的50%。</w:t>
      </w:r>
    </w:p>
    <w:p w14:paraId="033DE57B">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）垃圾清运费每季度结算一次，</w:t>
      </w:r>
      <w:r>
        <w:rPr>
          <w:rFonts w:hint="eastAsia" w:ascii="仿宋" w:hAnsi="仿宋" w:eastAsia="仿宋" w:cs="仿宋"/>
          <w:bCs/>
          <w:color w:val="000000" w:themeColor="text1"/>
          <w:sz w:val="32"/>
          <w:szCs w:val="32"/>
          <w:highlight w:val="none"/>
          <w14:textFill>
            <w14:solidFill>
              <w14:schemeClr w14:val="tx1"/>
            </w14:solidFill>
          </w14:textFill>
        </w:rPr>
        <w:t>甲方提供</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本项目实际装修业主的装修进度</w:t>
      </w:r>
      <w:r>
        <w:rPr>
          <w:rFonts w:hint="eastAsia" w:ascii="仿宋" w:hAnsi="仿宋" w:eastAsia="仿宋" w:cs="仿宋"/>
          <w:bCs/>
          <w:color w:val="000000" w:themeColor="text1"/>
          <w:sz w:val="32"/>
          <w:szCs w:val="32"/>
          <w:highlight w:val="none"/>
          <w14:textFill>
            <w14:solidFill>
              <w14:schemeClr w14:val="tx1"/>
            </w14:solidFill>
          </w14:textFill>
        </w:rPr>
        <w:t>情况及</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应</w:t>
      </w:r>
      <w:r>
        <w:rPr>
          <w:rFonts w:hint="eastAsia" w:ascii="仿宋" w:hAnsi="仿宋" w:eastAsia="仿宋" w:cs="仿宋"/>
          <w:bCs/>
          <w:color w:val="000000" w:themeColor="text1"/>
          <w:sz w:val="32"/>
          <w:szCs w:val="32"/>
          <w:highlight w:val="none"/>
          <w14:textFill>
            <w14:solidFill>
              <w14:schemeClr w14:val="tx1"/>
            </w14:solidFill>
          </w14:textFill>
        </w:rPr>
        <w:t>付款</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项并</w:t>
      </w:r>
      <w:r>
        <w:rPr>
          <w:rFonts w:hint="eastAsia" w:ascii="仿宋" w:hAnsi="仿宋" w:eastAsia="仿宋" w:cs="仿宋"/>
          <w:bCs/>
          <w:color w:val="000000" w:themeColor="text1"/>
          <w:sz w:val="32"/>
          <w:szCs w:val="32"/>
          <w:highlight w:val="none"/>
          <w14:textFill>
            <w14:solidFill>
              <w14:schemeClr w14:val="tx1"/>
            </w14:solidFill>
          </w14:textFill>
        </w:rPr>
        <w:t>由双方共同确认</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t>确认完成后由</w:t>
      </w:r>
      <w:r>
        <w:rPr>
          <w:rFonts w:hint="eastAsia" w:ascii="仿宋" w:hAnsi="仿宋" w:eastAsia="仿宋" w:cs="仿宋"/>
          <w:bCs/>
          <w:color w:val="000000" w:themeColor="text1"/>
          <w:sz w:val="32"/>
          <w:szCs w:val="32"/>
          <w:highlight w:val="none"/>
          <w:lang w:eastAsia="zh-CN"/>
          <w14:textFill>
            <w14:solidFill>
              <w14:schemeClr w14:val="tx1"/>
            </w14:solidFill>
          </w14:textFill>
        </w:rPr>
        <w:t>乙方</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向甲方</w:t>
      </w:r>
      <w:r>
        <w:rPr>
          <w:rFonts w:hint="eastAsia" w:ascii="仿宋" w:hAnsi="仿宋" w:eastAsia="仿宋" w:cs="仿宋"/>
          <w:bCs/>
          <w:color w:val="000000" w:themeColor="text1"/>
          <w:sz w:val="32"/>
          <w:szCs w:val="32"/>
          <w:highlight w:val="none"/>
          <w14:textFill>
            <w14:solidFill>
              <w14:schemeClr w14:val="tx1"/>
            </w14:solidFill>
          </w14:textFill>
        </w:rPr>
        <w:t>开具</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bCs/>
          <w:color w:val="000000" w:themeColor="text1"/>
          <w:sz w:val="32"/>
          <w:szCs w:val="32"/>
          <w:highlight w:val="none"/>
          <w14:textFill>
            <w14:solidFill>
              <w14:schemeClr w14:val="tx1"/>
            </w14:solidFill>
          </w14:textFill>
        </w:rPr>
        <w:t>额</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合法有效</w:t>
      </w:r>
      <w:r>
        <w:rPr>
          <w:rFonts w:hint="eastAsia" w:ascii="仿宋" w:hAnsi="仿宋" w:eastAsia="仿宋" w:cs="仿宋"/>
          <w:bCs/>
          <w:color w:val="000000" w:themeColor="text1"/>
          <w:sz w:val="32"/>
          <w:szCs w:val="32"/>
          <w:highlight w:val="none"/>
          <w14:textFill>
            <w14:solidFill>
              <w14:schemeClr w14:val="tx1"/>
            </w14:solidFill>
          </w14:textFill>
        </w:rPr>
        <w:t>的增值税专用发票，</w:t>
      </w:r>
      <w:r>
        <w:rPr>
          <w:rFonts w:hint="eastAsia" w:ascii="仿宋" w:hAnsi="仿宋" w:eastAsia="仿宋" w:cs="仿宋"/>
          <w:bCs/>
          <w:color w:val="000000" w:themeColor="text1"/>
          <w:sz w:val="32"/>
          <w:szCs w:val="32"/>
          <w:highlight w:val="none"/>
          <w:lang w:eastAsia="zh-CN"/>
          <w14:textFill>
            <w14:solidFill>
              <w14:schemeClr w14:val="tx1"/>
            </w14:solidFill>
          </w14:textFill>
        </w:rPr>
        <w:t>甲方在收到乙方开具的发票之日起15个工作日内以银行转账的方式支付(遇节假日顺延)。</w:t>
      </w:r>
      <w:r>
        <w:rPr>
          <w:rFonts w:hint="eastAsia" w:ascii="仿宋" w:hAnsi="仿宋" w:eastAsia="仿宋" w:cs="仿宋"/>
          <w:bCs/>
          <w:color w:val="000000" w:themeColor="text1"/>
          <w:sz w:val="32"/>
          <w:szCs w:val="32"/>
          <w:highlight w:val="none"/>
          <w14:textFill>
            <w14:solidFill>
              <w14:schemeClr w14:val="tx1"/>
            </w14:solidFill>
          </w14:textFill>
        </w:rPr>
        <w:tab/>
      </w:r>
    </w:p>
    <w:p w14:paraId="4112220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4、本合同价格为含税价格，乙方应在甲方每次付款前，向甲方开具足额合法发票，否则甲方有权顺延付款，且不承担违约责任。</w:t>
      </w:r>
    </w:p>
    <w:p w14:paraId="3F50A60D">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乙方收款账户信息如下：</w:t>
      </w:r>
    </w:p>
    <w:p w14:paraId="1956B5AE">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乙方户名：</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4E9DAD65">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纳税人识别号：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2FD9D2ED">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银行账号：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79550069">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开户银行：</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5047249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乙方如需改变上述账户，应提前15日以书面形式通知甲方。如乙方未按本合同规定通知而遭受损失的自行承担，若使甲方遭受损失的，应赔偿相应损失并承担当期付款金额20%的违约金。</w:t>
      </w:r>
    </w:p>
    <w:p w14:paraId="78D50641">
      <w:pPr>
        <w:spacing w:line="360" w:lineRule="auto"/>
        <w:ind w:firstLine="565"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第七条 甲方权利和义务</w:t>
      </w:r>
    </w:p>
    <w:p w14:paraId="3DA5A8FA">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1、甲方根据产生的建筑垃圾量指定垃圾堆放点及制定清运时间。</w:t>
      </w:r>
    </w:p>
    <w:p w14:paraId="4A0E3D0F">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2、甲方有权指定专人指导、检查乙方工作质量，发现问题及时通知乙方，要求乙方限期整改。</w:t>
      </w:r>
    </w:p>
    <w:p w14:paraId="63CEC9E2">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3、甲方有权制定相应的管理措施，监督标准等，以保证乙方按照合同及其它双方议定的要求运作。</w:t>
      </w:r>
    </w:p>
    <w:p w14:paraId="5AB0867B">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4、监督乙方遵守项目的相关规定。</w:t>
      </w:r>
    </w:p>
    <w:p w14:paraId="4FEA89F4">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5、制止乙方在建筑垃圾清运过程中扰民破坏行为。</w:t>
      </w:r>
    </w:p>
    <w:p w14:paraId="46AB3831">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6、指引业主按照规定将建筑垃圾堆放在指定的堆放点。</w:t>
      </w:r>
    </w:p>
    <w:p w14:paraId="27FF072A">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7、按本合同约定及时向乙方支付建筑垃圾清运费用。</w:t>
      </w:r>
    </w:p>
    <w:p w14:paraId="40D615AC">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8、乙方作业过程中，如造成本项目公共部位或公共财物等损坏的，应负责修复或赔偿，否则甲方有权依据被损坏部分、物品等的实际价值或维修所需费用，扣除乙方相应的保证金，不足部分由乙方补齐。</w:t>
      </w:r>
    </w:p>
    <w:p w14:paraId="07B12508">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第八条 乙方权利和义务</w:t>
      </w:r>
    </w:p>
    <w:p w14:paraId="411B59D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需自备建筑垃圾清运车并自行承担所有费用(包括但不限于燃油费、保险费、维修费等)。乙方应负责建筑垃圾装卸点场地清理、场地围挡及地面保护方案实施(方案须经本项目物服中心审批)、清运通道开辟(包括与周边村落、街道等相关村委、社区进行协商、公关等)及后期拆除等责任。</w:t>
      </w:r>
    </w:p>
    <w:p w14:paraId="1C90F67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2、乙方垃圾清运车辆应封闭良好，清运垃圾时应自装自卸，清运途中严禁滴、洒、漏现象，不得造成小区二次污染。</w:t>
      </w:r>
    </w:p>
    <w:p w14:paraId="778BEB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3、乙方应在甲方通知的时间内及时清运垃圾，不得以任何理由拖延清运时间。</w:t>
      </w:r>
    </w:p>
    <w:p w14:paraId="1749BD7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 乙方不得在清运过程中损坏小区内设备设施以及园林绿化，否则按价赔偿，若因甲方的原因造成的损失与乙方无关。</w:t>
      </w:r>
    </w:p>
    <w:p w14:paraId="179F40F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5、乙方在清运过程中应遵守相关法律、法规，守法经营，否则由此产生的一切责任由乙方自行承担。清运过程中，若需办理有关手续或被有关部门罚款，由乙方负责处理并承担相关责任和费用。</w:t>
      </w:r>
    </w:p>
    <w:p w14:paraId="2C4BB53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6、确保做到建筑垃圾及时运出小区，如未按照甲方要求按时清运时，甲方有权请人代运，所发生费用从乙方的结算款中予以扣除，乙方不得有异议。累计三次未按时清运，甲方有权无条件单方面解除合同。</w:t>
      </w:r>
    </w:p>
    <w:p w14:paraId="593F6E1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7、清运每车建筑垃圾都需到甲方指定地点进行确认、登记。</w:t>
      </w:r>
    </w:p>
    <w:p w14:paraId="789866F7">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8、如遇紧急情况(如政府或开发商有大型活动，环卫部门卫生检查等)应配合甲方要求，及时清运。</w:t>
      </w:r>
    </w:p>
    <w:p w14:paraId="6BB9C63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10、若建筑垃圾堆放点需要移动，乙方应无条件配合，确保清运工作正常开展。</w:t>
      </w:r>
    </w:p>
    <w:p w14:paraId="22F8C07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11、乙方保证自己具备提供本合同约定服务的合法资格，否则因此受到政府部门的处罚，乙方应承担全部责任。服务期限内，乙方应确保上述资格的持续有效性，否则甲方有权立即解除本合同。</w:t>
      </w:r>
    </w:p>
    <w:p w14:paraId="76C8FE2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12、乙方应依法与其员工建立劳动合同关系，缴交医社保，并保证该劳动合同关系在本合同履行期间合法存续。甲方不承担乙方与其员工劳动合同项下的责任，乙方处理与其员工的劳动纠纷不得影响本合同正常履行。</w:t>
      </w:r>
    </w:p>
    <w:p w14:paraId="276B7B1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为现场负责人，联系电话：。</w:t>
      </w:r>
    </w:p>
    <w:p w14:paraId="1B90B87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14、乙方应确保现场作业安全规范，作业过程中应在作业区设有警示标志、安全防护及隔离措施。乙方因实施本合同项下的清运服务造成事故或其他人身、财产损害的，其责任和费用概由乙方承担，若因此导致甲方损失的，乙方应予以赔偿。</w:t>
      </w:r>
    </w:p>
    <w:p w14:paraId="044EE8F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15、协议签订后，乙方使用甲方地库车位作为建渣堆放点，</w:t>
      </w:r>
      <w:r>
        <w:rPr>
          <w:rFonts w:hint="eastAsia" w:ascii="仿宋" w:hAnsi="仿宋" w:eastAsia="仿宋" w:cs="仿宋"/>
          <w:color w:val="000000" w:themeColor="text1"/>
          <w:sz w:val="32"/>
          <w:szCs w:val="32"/>
          <w:highlight w:val="none"/>
          <w:lang w:val="en-US" w:eastAsia="zh-CN"/>
          <w14:textFill>
            <w14:solidFill>
              <w14:schemeClr w14:val="tx1"/>
            </w14:solidFill>
          </w14:textFill>
        </w:rPr>
        <w:t>服务期满或提前终止后7日</w:t>
      </w:r>
      <w:r>
        <w:rPr>
          <w:rFonts w:hint="eastAsia" w:ascii="仿宋" w:hAnsi="仿宋" w:eastAsia="仿宋" w:cs="仿宋"/>
          <w:color w:val="000000" w:themeColor="text1"/>
          <w:sz w:val="32"/>
          <w:szCs w:val="32"/>
          <w:highlight w:val="none"/>
          <w14:textFill>
            <w14:solidFill>
              <w14:schemeClr w14:val="tx1"/>
            </w14:solidFill>
          </w14:textFill>
        </w:rPr>
        <w:t>内，乙方需按照甲方车位使用前的装修标准无偿恢复原样归还甲方。若乙方拒不配合的，甲方有权扣除乙方保证金进行修缮。</w:t>
      </w:r>
    </w:p>
    <w:p w14:paraId="1E15C927">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第九条 违约责任</w:t>
      </w:r>
    </w:p>
    <w:p w14:paraId="056F80C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1、乙方未能按照双方约定的垃圾清运时间清运建筑垃圾，造成垃圾堆积，第一次甲方将予以书面警告，如再次发生则按 500 元/次扣除清运费其有权要求乙方限期整改。</w:t>
      </w:r>
    </w:p>
    <w:p w14:paraId="7E98A2C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2、发生如下情况之一，视为乙方严重违约，甲方有权立即解除合同：</w:t>
      </w:r>
    </w:p>
    <w:p w14:paraId="12EEBEF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（1）在经甲方连续三次发出书面整改通知后，仍不能按时整改的。</w:t>
      </w:r>
    </w:p>
    <w:p w14:paraId="06C14A3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（2）乙方垃圾清运工作存在瑕疵，导致甲方或甲方关联公司被相关政府主管部门处罚。</w:t>
      </w:r>
    </w:p>
    <w:p w14:paraId="25BFB69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（3）未经甲方事先书面允许，乙方将本合同建筑垃圾清运工作全部或部分转包给第三方。</w:t>
      </w:r>
    </w:p>
    <w:p w14:paraId="35776B7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（4）乙方作业过程中，因乙方过错导致人员伤亡、严重财产损害（≥人民币3万元）。</w:t>
      </w:r>
    </w:p>
    <w:p w14:paraId="6A7B073D">
      <w:pPr>
        <w:spacing w:line="360" w:lineRule="auto"/>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（5）非经甲方许可，乙方在本项目内经营与本合同无关的业务（包含但不限于经营水泥、沙土等装修配套材料）。</w:t>
      </w:r>
    </w:p>
    <w:p w14:paraId="38F91AE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3、除本协议约定外，本合同因一方违约导致提前终止（包括守约方行使合同解除权的情况），违约方除按照相关约定承担违约责任外，还应向另一方支付人民币5000元违约金。</w:t>
      </w:r>
    </w:p>
    <w:p w14:paraId="27EEB8A2">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4、在乙方违约的情况下，如果乙方支付的违约金不足以补偿甲方因乙方违约行为而遭受的损失，则甲方有权要求乙方就差额部分予以赔偿。</w:t>
      </w:r>
    </w:p>
    <w:p w14:paraId="408ADA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5、无论任何原因导致本合同终止，乙方均应按甲方要求限期撤走全部人员和设备，否则每逾期一日，乙方应向甲方支付人民币500元滞留违约金。</w:t>
      </w:r>
    </w:p>
    <w:p w14:paraId="0BD61F1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6、本合同内乙方应承担的违约金或赔偿金，甲方有权从应付乙方的任何一笔款项及乙方履约保证金中直接扣除。</w:t>
      </w:r>
    </w:p>
    <w:p w14:paraId="2FF7CFE0">
      <w:pPr>
        <w:spacing w:line="360" w:lineRule="auto"/>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7、服务期内，若甲方提前终止本协议，则应提前三十日（自甲方通知书发出之日起算）以书面形式通知乙方，本情形不在违约责任范围内，甲方不承担违约责任。</w:t>
      </w:r>
    </w:p>
    <w:p w14:paraId="4500BCB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8、违约方的损失赔偿范围包括守约方的直接损失和间接损失，包括但不限于守约方向第三方承担的赔偿责任、诉讼费、仲裁费、律师费、鉴定费等费用支出。</w:t>
      </w:r>
    </w:p>
    <w:p w14:paraId="5DA58674">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第十条 禁止商业贿赂</w:t>
      </w:r>
    </w:p>
    <w:p w14:paraId="50A73FD3">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1、甲、乙双方应严格遵守《中华人民共和国反不正当竞争法》等相关法律法规关于禁止商业贿赂行为的规定，坚决拒绝商业贿赂、行贿及其他不正当之商业行为。</w:t>
      </w:r>
    </w:p>
    <w:p w14:paraId="354CDF1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04F269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3、若甲方或其工作人员要求乙方或其工作人员给予任何形式的不正当利益，乙方应向甲方相关监察部门提供相关证据，甲方查实后将及时公正处理，并为乙方严格保密。</w:t>
      </w:r>
    </w:p>
    <w:p w14:paraId="722144F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0FE7985">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第十一条 争议解决方式</w:t>
      </w:r>
    </w:p>
    <w:p w14:paraId="327BF6DE">
      <w:pPr>
        <w:spacing w:line="46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甲、</w:t>
      </w:r>
      <w:r>
        <w:rPr>
          <w:rFonts w:hint="eastAsia" w:ascii="仿宋" w:hAnsi="仿宋" w:eastAsia="仿宋" w:cs="仿宋"/>
          <w:color w:val="000000" w:themeColor="text1"/>
          <w:sz w:val="32"/>
          <w:szCs w:val="32"/>
          <w:highlight w:val="none"/>
          <w:u w:val="none"/>
          <w:lang w:val="zh-CN"/>
          <w14:textFill>
            <w14:solidFill>
              <w14:schemeClr w14:val="tx1"/>
            </w14:solidFill>
          </w14:textFill>
        </w:rPr>
        <w:t>乙</w:t>
      </w:r>
      <w:r>
        <w:rPr>
          <w:rFonts w:hint="eastAsia" w:ascii="仿宋" w:hAnsi="仿宋" w:eastAsia="仿宋" w:cs="仿宋"/>
          <w:color w:val="000000" w:themeColor="text1"/>
          <w:sz w:val="32"/>
          <w:szCs w:val="32"/>
          <w:highlight w:val="none"/>
          <w:u w:val="none"/>
          <w14:textFill>
            <w14:solidFill>
              <w14:schemeClr w14:val="tx1"/>
            </w14:solidFill>
          </w14:textFill>
        </w:rPr>
        <w:t>双方在履行本合同中如有争议，双方应优先协商解决，协商不成的，任意一方均可向甲方所在地的人民法院提起诉讼。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31A6AFA8">
      <w:pPr>
        <w:numPr>
          <w:ilvl w:val="0"/>
          <w:numId w:val="4"/>
        </w:numPr>
        <w:spacing w:line="460" w:lineRule="exact"/>
        <w:ind w:firstLine="643" w:firstLineChars="200"/>
        <w:rPr>
          <w:rFonts w:hint="eastAsia" w:ascii="仿宋" w:hAnsi="仿宋" w:eastAsia="仿宋" w:cs="仿宋"/>
          <w:b/>
          <w:color w:val="000000" w:themeColor="text1"/>
          <w:sz w:val="32"/>
          <w:szCs w:val="32"/>
          <w:highlight w:val="none"/>
          <w:u w:val="none"/>
          <w:lang w:val="zh-CN"/>
          <w14:textFill>
            <w14:solidFill>
              <w14:schemeClr w14:val="tx1"/>
            </w14:solidFill>
          </w14:textFill>
        </w:rPr>
      </w:pPr>
      <w:r>
        <w:rPr>
          <w:rFonts w:hint="eastAsia" w:ascii="仿宋" w:hAnsi="仿宋" w:eastAsia="仿宋" w:cs="仿宋"/>
          <w:b/>
          <w:color w:val="000000" w:themeColor="text1"/>
          <w:sz w:val="32"/>
          <w:szCs w:val="32"/>
          <w:highlight w:val="none"/>
          <w:u w:val="none"/>
          <w:lang w:val="zh-CN"/>
          <w14:textFill>
            <w14:solidFill>
              <w14:schemeClr w14:val="tx1"/>
            </w14:solidFill>
          </w14:textFill>
        </w:rPr>
        <w:t>通知</w:t>
      </w:r>
    </w:p>
    <w:p w14:paraId="0D2E5AAD">
      <w:p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763BBB97">
      <w:pPr>
        <w:numPr>
          <w:ilvl w:val="0"/>
          <w:numId w:val="5"/>
        </w:numPr>
        <w:spacing w:line="460" w:lineRule="exact"/>
        <w:ind w:firstLine="643" w:firstLineChars="200"/>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其他</w:t>
      </w:r>
    </w:p>
    <w:p w14:paraId="4E4F535E">
      <w:pPr>
        <w:numPr>
          <w:ilvl w:val="0"/>
          <w:numId w:val="6"/>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除本合同另有约定外，乙方就本项目</w:t>
      </w:r>
      <w:r>
        <w:rPr>
          <w:rFonts w:hint="eastAsia" w:ascii="仿宋" w:hAnsi="仿宋" w:eastAsia="仿宋" w:cs="仿宋"/>
          <w:color w:val="000000" w:themeColor="text1"/>
          <w:sz w:val="32"/>
          <w:szCs w:val="32"/>
          <w:highlight w:val="none"/>
          <w:u w:val="none"/>
          <w14:textFill>
            <w14:solidFill>
              <w14:schemeClr w14:val="tx1"/>
            </w14:solidFill>
          </w14:textFill>
        </w:rPr>
        <w:t>建筑</w:t>
      </w:r>
      <w:r>
        <w:rPr>
          <w:rFonts w:hint="eastAsia" w:ascii="仿宋" w:hAnsi="仿宋" w:eastAsia="仿宋" w:cs="仿宋"/>
          <w:color w:val="000000" w:themeColor="text1"/>
          <w:sz w:val="32"/>
          <w:szCs w:val="32"/>
          <w:highlight w:val="none"/>
          <w:u w:val="none"/>
          <w:lang w:val="zh-CN"/>
          <w14:textFill>
            <w14:solidFill>
              <w14:schemeClr w14:val="tx1"/>
            </w14:solidFill>
          </w14:textFill>
        </w:rPr>
        <w:t>垃圾清运服务向甲方提供的全部文件资料，均应视为乙方向甲方做出的单方承诺。如若该等文件资料内容与本合同约定不一致，或旨在减轻或免除乙方合同责任时，应以本合同约定为准。</w:t>
      </w:r>
    </w:p>
    <w:p w14:paraId="01FA3420">
      <w:pPr>
        <w:numPr>
          <w:ilvl w:val="0"/>
          <w:numId w:val="7"/>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本合同的签署不产生甲、乙双方之间任何代理关系，乙方履行本合同过程中对第三方产生的任何责任均由乙方自行承担。</w:t>
      </w:r>
    </w:p>
    <w:p w14:paraId="0D51D04F">
      <w:pPr>
        <w:numPr>
          <w:ilvl w:val="0"/>
          <w:numId w:val="8"/>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本合同未尽事宜，经甲乙双方协商一致，可另行签订补充协议。补充协议经双方签章后生效，与本合同具同等法律效力。</w:t>
      </w:r>
    </w:p>
    <w:p w14:paraId="2F75AD8A">
      <w:p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4、本合同经甲、乙双方签字盖章后生效；一式肆份，甲乙双方各执贰份，具有同等法律效力。</w:t>
      </w:r>
    </w:p>
    <w:p w14:paraId="1BB4AF07">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39DA9DCE">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甲方：                              乙方：</w:t>
      </w:r>
    </w:p>
    <w:p w14:paraId="0CFFFBDF">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联系人：                            联系人： </w:t>
      </w:r>
    </w:p>
    <w:p w14:paraId="779BD209">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联系方式：                          联系方式：  </w:t>
      </w:r>
    </w:p>
    <w:p w14:paraId="30C51950">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日期：                              日期：  </w:t>
      </w:r>
    </w:p>
    <w:p w14:paraId="51080907">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0F1390CF">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195A2688">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62E6EA13">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6B5EEF71">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297C9B54">
      <w:pPr>
        <w:rPr>
          <w:rFonts w:hint="eastAsia" w:ascii="仿宋" w:hAnsi="仿宋" w:eastAsia="仿宋" w:cs="仿宋"/>
          <w:b/>
          <w:color w:val="000000" w:themeColor="text1"/>
          <w:sz w:val="32"/>
          <w:szCs w:val="32"/>
          <w:highlight w:val="none"/>
          <w14:textFill>
            <w14:solidFill>
              <w14:schemeClr w14:val="tx1"/>
            </w14:solidFill>
          </w14:textFill>
        </w:rPr>
      </w:pPr>
    </w:p>
    <w:p w14:paraId="3703C4E3">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71903528">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34D2F66D">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11B40A11">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6B47AC3F">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1F8CC647">
      <w:pPr>
        <w:jc w:val="both"/>
        <w:rPr>
          <w:rFonts w:hint="eastAsia" w:ascii="仿宋" w:hAnsi="仿宋" w:eastAsia="仿宋" w:cs="仿宋"/>
          <w:b/>
          <w:color w:val="000000" w:themeColor="text1"/>
          <w:sz w:val="28"/>
          <w:szCs w:val="28"/>
          <w:highlight w:val="none"/>
          <w14:textFill>
            <w14:solidFill>
              <w14:schemeClr w14:val="tx1"/>
            </w14:solidFill>
          </w14:textFill>
        </w:rPr>
      </w:pPr>
    </w:p>
    <w:p w14:paraId="3B13E0F5">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供应商廉洁诚信承诺书</w:t>
      </w:r>
    </w:p>
    <w:p w14:paraId="4F166455">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33C526FA">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p>
    <w:p w14:paraId="1A8C507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6E004AF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652875B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425E077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0AEA500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BE1730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五、承诺方禁止提供仿冒品（包括但不限于如贴牌、参杂参假，以次充好，以旧冒新、以不合格冒充合格）或不符合贵司所需规格之商品提供贵司使用。</w:t>
      </w:r>
    </w:p>
    <w:p w14:paraId="2137551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2D43F85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4CFFC07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八、违约责任</w:t>
      </w:r>
    </w:p>
    <w:p w14:paraId="5455668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0E6E17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九、自觉接受监督。</w:t>
      </w:r>
    </w:p>
    <w:p w14:paraId="4EA189A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42133AD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AA2F6A0">
      <w:pPr>
        <w:spacing w:line="360" w:lineRule="auto"/>
        <w:ind w:firstLine="3780" w:firstLineChars="1350"/>
        <w:rPr>
          <w:rFonts w:hint="eastAsia" w:ascii="仿宋" w:hAnsi="仿宋" w:eastAsia="仿宋" w:cs="仿宋"/>
          <w:color w:val="000000" w:themeColor="text1"/>
          <w:sz w:val="28"/>
          <w:szCs w:val="28"/>
          <w:highlight w:val="none"/>
          <w14:textFill>
            <w14:solidFill>
              <w14:schemeClr w14:val="tx1"/>
            </w14:solidFill>
          </w14:textFill>
        </w:rPr>
      </w:pPr>
    </w:p>
    <w:p w14:paraId="096F6FF3">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承诺人名称（盖章）：</w:t>
      </w:r>
    </w:p>
    <w:p w14:paraId="5A9F2E3A">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法定代表人（或授权代表）：</w:t>
      </w:r>
    </w:p>
    <w:p w14:paraId="2CEE0192">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14:paraId="237557EF">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0476BDB4">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1F0567C8">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甲方：                                  乙方：</w:t>
      </w:r>
    </w:p>
    <w:p w14:paraId="40A96811">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授权代表：                              授权代表：</w:t>
      </w:r>
    </w:p>
    <w:p w14:paraId="738C36AE">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                              联系方式：</w:t>
      </w:r>
    </w:p>
    <w:p w14:paraId="4A41074E">
      <w:pPr>
        <w:spacing w:line="360" w:lineRule="auto"/>
        <w:ind w:left="-141" w:leftChars="-67" w:firstLine="135" w:firstLineChars="48"/>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日期：                                  日期：</w:t>
      </w:r>
    </w:p>
    <w:p w14:paraId="7E8834B7">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4298CC4F">
      <w:pPr>
        <w:spacing w:line="360" w:lineRule="auto"/>
        <w:ind w:left="-141" w:leftChars="-67" w:firstLine="135" w:firstLineChars="48"/>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附件：施工安全责任书</w:t>
      </w:r>
    </w:p>
    <w:p w14:paraId="760D642B">
      <w:pPr>
        <w:spacing w:line="360"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37078D54">
      <w:pPr>
        <w:spacing w:line="360" w:lineRule="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r>
        <w:rPr>
          <w:rFonts w:hint="eastAsia" w:ascii="仿宋" w:hAnsi="仿宋" w:eastAsia="仿宋" w:cs="仿宋"/>
          <w:b/>
          <w:bCs/>
          <w:color w:val="000000" w:themeColor="text1"/>
          <w:sz w:val="28"/>
          <w:szCs w:val="28"/>
          <w:highlight w:val="none"/>
          <w14:textFill>
            <w14:solidFill>
              <w14:schemeClr w14:val="tx1"/>
            </w14:solidFill>
          </w14:textFill>
        </w:rPr>
        <w:t>厦门国贸物业服务有限公司</w:t>
      </w:r>
    </w:p>
    <w:p w14:paraId="45317F42">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乙方：</w:t>
      </w:r>
    </w:p>
    <w:p w14:paraId="55068AA5">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为确保在建筑垃圾清运期间安全达标，并督促乙方负责人认真贯彻落实《建设工程安全生产管理条例》的要求，管理好建筑清运现场，顺利完成该工程，特签订本责任书：</w:t>
      </w:r>
    </w:p>
    <w:p w14:paraId="4685743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1、乙方必须严格执行甲方公司的各项规章制度，认真履行安全生产责任，配合甲方项目人员的工作安排，确保安全生产管理目标。</w:t>
      </w:r>
    </w:p>
    <w:p w14:paraId="7BB35E0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2、乙方须在清运包干区域内作业，在清运过程中应保护好现场环境，如有破坏本项目原有建筑物品，乙方应负责修复或赔偿；如果有破坏或损坏项目现有植物和道路，乙方应及时恢复原状。</w:t>
      </w:r>
    </w:p>
    <w:p w14:paraId="52657A0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3、乙方清运人员须持证上岗并遵守交通规则，驾驶车辆之前认真检查车辆的各项性能，严格按照规程操作，预防事故发生，清运</w:t>
      </w:r>
      <w:r>
        <w:rPr>
          <w:rFonts w:hint="eastAsia" w:ascii="仿宋" w:hAnsi="仿宋" w:eastAsia="仿宋" w:cs="仿宋"/>
          <w:color w:val="000000" w:themeColor="text1"/>
          <w:sz w:val="28"/>
          <w:szCs w:val="28"/>
          <w:highlight w:val="none"/>
          <w14:textFill>
            <w14:solidFill>
              <w14:schemeClr w14:val="tx1"/>
            </w14:solidFill>
          </w14:textFill>
        </w:rPr>
        <w:t>过程中造成乙方操作人员及其他人员人身或财产损坏损害的，由乙方承担全部责任</w:t>
      </w:r>
      <w:r>
        <w:rPr>
          <w:rFonts w:hint="eastAsia" w:ascii="仿宋" w:hAnsi="仿宋" w:eastAsia="仿宋" w:cs="仿宋"/>
          <w:bCs/>
          <w:color w:val="000000" w:themeColor="text1"/>
          <w:sz w:val="28"/>
          <w:szCs w:val="28"/>
          <w:highlight w:val="none"/>
          <w14:textFill>
            <w14:solidFill>
              <w14:schemeClr w14:val="tx1"/>
            </w14:solidFill>
          </w14:textFill>
        </w:rPr>
        <w:t>。</w:t>
      </w:r>
    </w:p>
    <w:p w14:paraId="25B93C28">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4、乙方须严格贯彻执行国家安全法规，确保工人人身安全及设备正常运转。</w:t>
      </w:r>
    </w:p>
    <w:p w14:paraId="6CA58148">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292F68AB">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以上各项如有违反，甲方将追究乙方责任，情节严重者要追究其法律责任。</w:t>
      </w:r>
    </w:p>
    <w:p w14:paraId="50092096">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572D7CBE">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0FBDD5FA">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r>
        <w:rPr>
          <w:rFonts w:hint="eastAsia" w:ascii="仿宋" w:hAnsi="仿宋" w:eastAsia="仿宋" w:cs="仿宋"/>
          <w:b/>
          <w:bCs/>
          <w:color w:val="000000" w:themeColor="text1"/>
          <w:sz w:val="28"/>
          <w:szCs w:val="28"/>
          <w:highlight w:val="none"/>
          <w14:textFill>
            <w14:solidFill>
              <w14:schemeClr w14:val="tx1"/>
            </w14:solidFill>
          </w14:textFill>
        </w:rPr>
        <w:t xml:space="preserve">厦门国贸物业服务有限公司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乙方：</w:t>
      </w:r>
    </w:p>
    <w:p w14:paraId="4945BC22">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代表人：                                  代表人：</w:t>
      </w:r>
    </w:p>
    <w:p w14:paraId="12D01D5D">
      <w:pPr>
        <w:tabs>
          <w:tab w:val="left" w:pos="3600"/>
          <w:tab w:val="left" w:pos="3780"/>
        </w:tabs>
        <w:spacing w:line="360" w:lineRule="auto"/>
        <w:ind w:left="-178" w:leftChars="-85" w:firstLine="207" w:firstLineChars="74"/>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日期：     年   月   日                  </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日期：      年   月   日</w:t>
      </w:r>
    </w:p>
    <w:sectPr>
      <w:headerReference r:id="rId6" w:type="first"/>
      <w:headerReference r:id="rId5" w:type="default"/>
      <w:footerReference r:id="rId7" w:type="default"/>
      <w:pgSz w:w="11906" w:h="16838"/>
      <w:pgMar w:top="1418" w:right="1418" w:bottom="127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14:paraId="13F6D543">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D19ABE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0D836436">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2CC5DE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E279">
    <w:pPr>
      <w:pStyle w:val="28"/>
    </w:pPr>
    <w:r>
      <w:rPr>
        <w:rFonts w:hint="eastAsia"/>
      </w:rPr>
      <w:t xml:space="preserve">                                    第</w:t>
    </w:r>
    <w:r>
      <w:fldChar w:fldCharType="begin"/>
    </w:r>
    <w:r>
      <w:rPr>
        <w:rStyle w:val="20"/>
      </w:rPr>
      <w:instrText xml:space="preserve"> PAGE </w:instrText>
    </w:r>
    <w:r>
      <w:fldChar w:fldCharType="separate"/>
    </w:r>
    <w:r>
      <w:rPr>
        <w:rStyle w:val="20"/>
      </w:rPr>
      <w:t>53</w:t>
    </w:r>
    <w:r>
      <w:fldChar w:fldCharType="end"/>
    </w:r>
    <w:r>
      <w:rPr>
        <w:rFonts w:hint="eastAsia"/>
      </w:rPr>
      <w:t>页，共</w:t>
    </w:r>
    <w:r>
      <w:fldChar w:fldCharType="begin"/>
    </w:r>
    <w:r>
      <w:rPr>
        <w:rStyle w:val="20"/>
      </w:rPr>
      <w:instrText xml:space="preserve"> NUMPAGES </w:instrText>
    </w:r>
    <w:r>
      <w:fldChar w:fldCharType="separate"/>
    </w:r>
    <w:r>
      <w:rPr>
        <w:rStyle w:val="20"/>
      </w:rPr>
      <w:t>53</w:t>
    </w:r>
    <w:r>
      <w:fldChar w:fldCharType="end"/>
    </w:r>
    <w:r>
      <w:rPr>
        <w:rFonts w:hint="eastAsia"/>
      </w:rPr>
      <w:t>页</w:t>
    </w:r>
  </w:p>
  <w:p w14:paraId="2D1CD4D5">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EA7F">
    <w:pPr>
      <w:pStyle w:val="12"/>
      <w:pBdr>
        <w:bottom w:val="none" w:color="auto" w:sz="0" w:space="1"/>
      </w:pBdr>
      <w:jc w:val="both"/>
      <w:rPr>
        <w:rFonts w:ascii="宋体" w:hAnsi="宋体"/>
        <w:sz w:val="24"/>
        <w:szCs w:val="24"/>
      </w:rPr>
    </w:pPr>
  </w:p>
  <w:p w14:paraId="25D0A324">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7AD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9B80"/>
    <w:multiLevelType w:val="singleLevel"/>
    <w:tmpl w:val="9CAD9B80"/>
    <w:lvl w:ilvl="0" w:tentative="0">
      <w:start w:val="3"/>
      <w:numFmt w:val="decimal"/>
      <w:suff w:val="nothing"/>
      <w:lvlText w:val="%1、"/>
      <w:lvlJc w:val="left"/>
    </w:lvl>
  </w:abstractNum>
  <w:abstractNum w:abstractNumId="1">
    <w:nsid w:val="C164CAFD"/>
    <w:multiLevelType w:val="singleLevel"/>
    <w:tmpl w:val="C164CAFD"/>
    <w:lvl w:ilvl="0" w:tentative="0">
      <w:start w:val="4"/>
      <w:numFmt w:val="chineseCounting"/>
      <w:suff w:val="nothing"/>
      <w:lvlText w:val="%1、"/>
      <w:lvlJc w:val="left"/>
      <w:rPr>
        <w:rFonts w:hint="eastAsia"/>
      </w:rPr>
    </w:lvl>
  </w:abstractNum>
  <w:abstractNum w:abstractNumId="2">
    <w:nsid w:val="DFBE8A68"/>
    <w:multiLevelType w:val="singleLevel"/>
    <w:tmpl w:val="DFBE8A68"/>
    <w:lvl w:ilvl="0" w:tentative="0">
      <w:start w:val="1"/>
      <w:numFmt w:val="decimal"/>
      <w:suff w:val="nothing"/>
      <w:lvlText w:val="（%1）"/>
      <w:lvlJc w:val="left"/>
      <w:rPr>
        <w:rFonts w:hint="default"/>
        <w:highlight w:val="none"/>
      </w:rPr>
    </w:lvl>
  </w:abstractNum>
  <w:abstractNum w:abstractNumId="3">
    <w:nsid w:val="EBE548EF"/>
    <w:multiLevelType w:val="singleLevel"/>
    <w:tmpl w:val="EBE548EF"/>
    <w:lvl w:ilvl="0" w:tentative="0">
      <w:start w:val="13"/>
      <w:numFmt w:val="chineseCounting"/>
      <w:suff w:val="space"/>
      <w:lvlText w:val="第%1条"/>
      <w:lvlJc w:val="left"/>
      <w:rPr>
        <w:rFonts w:hint="eastAsia"/>
      </w:rPr>
    </w:lvl>
  </w:abstractNum>
  <w:abstractNum w:abstractNumId="4">
    <w:nsid w:val="326A1100"/>
    <w:multiLevelType w:val="singleLevel"/>
    <w:tmpl w:val="326A1100"/>
    <w:lvl w:ilvl="0" w:tentative="0">
      <w:start w:val="2"/>
      <w:numFmt w:val="decimal"/>
      <w:suff w:val="nothing"/>
      <w:lvlText w:val="%1、"/>
      <w:lvlJc w:val="left"/>
    </w:lvl>
  </w:abstractNum>
  <w:abstractNum w:abstractNumId="5">
    <w:nsid w:val="3C99A7DA"/>
    <w:multiLevelType w:val="singleLevel"/>
    <w:tmpl w:val="3C99A7DA"/>
    <w:lvl w:ilvl="0" w:tentative="0">
      <w:start w:val="1"/>
      <w:numFmt w:val="decimal"/>
      <w:suff w:val="nothing"/>
      <w:lvlText w:val="（%1）"/>
      <w:lvlJc w:val="left"/>
    </w:lvl>
  </w:abstractNum>
  <w:abstractNum w:abstractNumId="6">
    <w:nsid w:val="54F91E88"/>
    <w:multiLevelType w:val="singleLevel"/>
    <w:tmpl w:val="54F91E88"/>
    <w:lvl w:ilvl="0" w:tentative="0">
      <w:start w:val="12"/>
      <w:numFmt w:val="chineseCounting"/>
      <w:suff w:val="space"/>
      <w:lvlText w:val="第%1条"/>
      <w:lvlJc w:val="left"/>
      <w:rPr>
        <w:rFonts w:hint="eastAsia"/>
      </w:rPr>
    </w:lvl>
  </w:abstractNum>
  <w:abstractNum w:abstractNumId="7">
    <w:nsid w:val="7CCDB542"/>
    <w:multiLevelType w:val="singleLevel"/>
    <w:tmpl w:val="7CCDB542"/>
    <w:lvl w:ilvl="0" w:tentative="0">
      <w:start w:val="1"/>
      <w:numFmt w:val="decimal"/>
      <w:suff w:val="nothing"/>
      <w:lvlText w:val="%1、"/>
      <w:lvlJc w:val="left"/>
    </w:lvl>
  </w:abstractNum>
  <w:num w:numId="1">
    <w:abstractNumId w:val="5"/>
  </w:num>
  <w:num w:numId="2">
    <w:abstractNumId w:val="1"/>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VjMWE2YjYwZTc5ZjNiOWZlYTJjZWRmYmNiZGEifQ=="/>
  </w:docVars>
  <w:rsids>
    <w:rsidRoot w:val="5A9E4E10"/>
    <w:rsid w:val="00006ED0"/>
    <w:rsid w:val="000269DC"/>
    <w:rsid w:val="00067947"/>
    <w:rsid w:val="000722C4"/>
    <w:rsid w:val="0007691E"/>
    <w:rsid w:val="000A081C"/>
    <w:rsid w:val="000A1DFD"/>
    <w:rsid w:val="000C4905"/>
    <w:rsid w:val="000C51D2"/>
    <w:rsid w:val="000D1D4F"/>
    <w:rsid w:val="000D5633"/>
    <w:rsid w:val="000F0169"/>
    <w:rsid w:val="00125BDA"/>
    <w:rsid w:val="00134337"/>
    <w:rsid w:val="00147651"/>
    <w:rsid w:val="00156484"/>
    <w:rsid w:val="00164460"/>
    <w:rsid w:val="001730E5"/>
    <w:rsid w:val="00173918"/>
    <w:rsid w:val="00192AE5"/>
    <w:rsid w:val="001F2C44"/>
    <w:rsid w:val="00285735"/>
    <w:rsid w:val="002868F2"/>
    <w:rsid w:val="002D30A0"/>
    <w:rsid w:val="003073E5"/>
    <w:rsid w:val="00307A95"/>
    <w:rsid w:val="00321667"/>
    <w:rsid w:val="0035262A"/>
    <w:rsid w:val="0035267A"/>
    <w:rsid w:val="00372A2E"/>
    <w:rsid w:val="00381116"/>
    <w:rsid w:val="00384929"/>
    <w:rsid w:val="0039571C"/>
    <w:rsid w:val="003B5930"/>
    <w:rsid w:val="00426DB4"/>
    <w:rsid w:val="004420E8"/>
    <w:rsid w:val="0045070B"/>
    <w:rsid w:val="004D7D2D"/>
    <w:rsid w:val="00500657"/>
    <w:rsid w:val="005247AB"/>
    <w:rsid w:val="005373C7"/>
    <w:rsid w:val="00555F44"/>
    <w:rsid w:val="005668A0"/>
    <w:rsid w:val="00571798"/>
    <w:rsid w:val="00580ABD"/>
    <w:rsid w:val="005B5B9F"/>
    <w:rsid w:val="005B6662"/>
    <w:rsid w:val="005C4914"/>
    <w:rsid w:val="005D28A5"/>
    <w:rsid w:val="006323B2"/>
    <w:rsid w:val="006611C3"/>
    <w:rsid w:val="00665A76"/>
    <w:rsid w:val="006930A4"/>
    <w:rsid w:val="006B22A6"/>
    <w:rsid w:val="0071024F"/>
    <w:rsid w:val="007156CB"/>
    <w:rsid w:val="00731DAA"/>
    <w:rsid w:val="007431DA"/>
    <w:rsid w:val="00747F57"/>
    <w:rsid w:val="00773163"/>
    <w:rsid w:val="007734FB"/>
    <w:rsid w:val="00776E2B"/>
    <w:rsid w:val="00794A84"/>
    <w:rsid w:val="007A3956"/>
    <w:rsid w:val="007F6B4D"/>
    <w:rsid w:val="00820AC2"/>
    <w:rsid w:val="008379E7"/>
    <w:rsid w:val="00840755"/>
    <w:rsid w:val="008563B9"/>
    <w:rsid w:val="0086070F"/>
    <w:rsid w:val="00862A09"/>
    <w:rsid w:val="008633EE"/>
    <w:rsid w:val="008877FD"/>
    <w:rsid w:val="008A0FA8"/>
    <w:rsid w:val="008B7F18"/>
    <w:rsid w:val="008C1878"/>
    <w:rsid w:val="008E035C"/>
    <w:rsid w:val="0090029B"/>
    <w:rsid w:val="00902EA6"/>
    <w:rsid w:val="00903E08"/>
    <w:rsid w:val="00905ED4"/>
    <w:rsid w:val="00920291"/>
    <w:rsid w:val="009212E9"/>
    <w:rsid w:val="00934EFC"/>
    <w:rsid w:val="00945270"/>
    <w:rsid w:val="00951486"/>
    <w:rsid w:val="0099046A"/>
    <w:rsid w:val="009D5321"/>
    <w:rsid w:val="009D7D8F"/>
    <w:rsid w:val="00A05766"/>
    <w:rsid w:val="00A126F7"/>
    <w:rsid w:val="00A23A4C"/>
    <w:rsid w:val="00A27A1C"/>
    <w:rsid w:val="00A43C42"/>
    <w:rsid w:val="00A55097"/>
    <w:rsid w:val="00A741DC"/>
    <w:rsid w:val="00A76545"/>
    <w:rsid w:val="00A92F32"/>
    <w:rsid w:val="00A95EFE"/>
    <w:rsid w:val="00AA1152"/>
    <w:rsid w:val="00AC45B2"/>
    <w:rsid w:val="00AD0969"/>
    <w:rsid w:val="00B17484"/>
    <w:rsid w:val="00B43B9F"/>
    <w:rsid w:val="00B43C50"/>
    <w:rsid w:val="00B569C7"/>
    <w:rsid w:val="00B65A0A"/>
    <w:rsid w:val="00C02E7A"/>
    <w:rsid w:val="00C45161"/>
    <w:rsid w:val="00C5549D"/>
    <w:rsid w:val="00C77B40"/>
    <w:rsid w:val="00C81570"/>
    <w:rsid w:val="00CD3D14"/>
    <w:rsid w:val="00CE0861"/>
    <w:rsid w:val="00CF10A7"/>
    <w:rsid w:val="00CF2CEB"/>
    <w:rsid w:val="00CF68A9"/>
    <w:rsid w:val="00CF7EFB"/>
    <w:rsid w:val="00D02025"/>
    <w:rsid w:val="00D142A9"/>
    <w:rsid w:val="00D27B60"/>
    <w:rsid w:val="00D3062C"/>
    <w:rsid w:val="00D42842"/>
    <w:rsid w:val="00D47018"/>
    <w:rsid w:val="00D5527E"/>
    <w:rsid w:val="00D77AB2"/>
    <w:rsid w:val="00DA2196"/>
    <w:rsid w:val="00DA58EB"/>
    <w:rsid w:val="00DD3390"/>
    <w:rsid w:val="00DD5D79"/>
    <w:rsid w:val="00DE39D2"/>
    <w:rsid w:val="00DE78CB"/>
    <w:rsid w:val="00DF1020"/>
    <w:rsid w:val="00E47D8E"/>
    <w:rsid w:val="00E5041B"/>
    <w:rsid w:val="00E51591"/>
    <w:rsid w:val="00E5277E"/>
    <w:rsid w:val="00E5596B"/>
    <w:rsid w:val="00E721AB"/>
    <w:rsid w:val="00EA6231"/>
    <w:rsid w:val="00EA7525"/>
    <w:rsid w:val="00EA7544"/>
    <w:rsid w:val="00EB518C"/>
    <w:rsid w:val="00EC5F6A"/>
    <w:rsid w:val="00ED331A"/>
    <w:rsid w:val="00EF2E6B"/>
    <w:rsid w:val="00F37B3D"/>
    <w:rsid w:val="00F46AD6"/>
    <w:rsid w:val="00F61F10"/>
    <w:rsid w:val="00F668AA"/>
    <w:rsid w:val="00F80AFF"/>
    <w:rsid w:val="00F97650"/>
    <w:rsid w:val="00FB66CB"/>
    <w:rsid w:val="00FE5D17"/>
    <w:rsid w:val="00FF50AC"/>
    <w:rsid w:val="0108563F"/>
    <w:rsid w:val="016F46A3"/>
    <w:rsid w:val="01901AF8"/>
    <w:rsid w:val="01AC5842"/>
    <w:rsid w:val="01AF0FFE"/>
    <w:rsid w:val="0220198C"/>
    <w:rsid w:val="02311FB1"/>
    <w:rsid w:val="02921C15"/>
    <w:rsid w:val="029B60C9"/>
    <w:rsid w:val="02BE246F"/>
    <w:rsid w:val="02F01839"/>
    <w:rsid w:val="03377B47"/>
    <w:rsid w:val="03771E7F"/>
    <w:rsid w:val="03E3093B"/>
    <w:rsid w:val="03FB660C"/>
    <w:rsid w:val="04001E75"/>
    <w:rsid w:val="041D47D5"/>
    <w:rsid w:val="041D6583"/>
    <w:rsid w:val="04B24457"/>
    <w:rsid w:val="04D2240A"/>
    <w:rsid w:val="04E23328"/>
    <w:rsid w:val="060522E0"/>
    <w:rsid w:val="06061CE1"/>
    <w:rsid w:val="060E425E"/>
    <w:rsid w:val="06100C8A"/>
    <w:rsid w:val="0634306A"/>
    <w:rsid w:val="06380495"/>
    <w:rsid w:val="063D0AC0"/>
    <w:rsid w:val="0640211D"/>
    <w:rsid w:val="06804355"/>
    <w:rsid w:val="08D06779"/>
    <w:rsid w:val="08EE635C"/>
    <w:rsid w:val="094225B3"/>
    <w:rsid w:val="0973382D"/>
    <w:rsid w:val="09860C2A"/>
    <w:rsid w:val="099042ED"/>
    <w:rsid w:val="0A60541B"/>
    <w:rsid w:val="0A694264"/>
    <w:rsid w:val="0AA572D2"/>
    <w:rsid w:val="0BA77C3D"/>
    <w:rsid w:val="0BDDCE63"/>
    <w:rsid w:val="0C7B03FD"/>
    <w:rsid w:val="0CA912FB"/>
    <w:rsid w:val="0CD21ED4"/>
    <w:rsid w:val="0D24377E"/>
    <w:rsid w:val="0D5D3E94"/>
    <w:rsid w:val="0E180CD0"/>
    <w:rsid w:val="0E1B7FD7"/>
    <w:rsid w:val="0E455347"/>
    <w:rsid w:val="0E5536F4"/>
    <w:rsid w:val="0E9A62D7"/>
    <w:rsid w:val="0EA92008"/>
    <w:rsid w:val="0F9831F9"/>
    <w:rsid w:val="10034348"/>
    <w:rsid w:val="10046849"/>
    <w:rsid w:val="105A46BB"/>
    <w:rsid w:val="10BA0C23"/>
    <w:rsid w:val="1107081D"/>
    <w:rsid w:val="11183EA5"/>
    <w:rsid w:val="11511927"/>
    <w:rsid w:val="119B5DEE"/>
    <w:rsid w:val="11DF30C9"/>
    <w:rsid w:val="11F34710"/>
    <w:rsid w:val="12574721"/>
    <w:rsid w:val="12613F1F"/>
    <w:rsid w:val="12E85F57"/>
    <w:rsid w:val="13241410"/>
    <w:rsid w:val="1342463D"/>
    <w:rsid w:val="1354060D"/>
    <w:rsid w:val="137776CA"/>
    <w:rsid w:val="140674A9"/>
    <w:rsid w:val="14151024"/>
    <w:rsid w:val="142F7A55"/>
    <w:rsid w:val="14483686"/>
    <w:rsid w:val="14BA5965"/>
    <w:rsid w:val="151246AA"/>
    <w:rsid w:val="15922045"/>
    <w:rsid w:val="16850F59"/>
    <w:rsid w:val="169326D4"/>
    <w:rsid w:val="16DB518D"/>
    <w:rsid w:val="172F63F8"/>
    <w:rsid w:val="1763654B"/>
    <w:rsid w:val="17AA01A4"/>
    <w:rsid w:val="17B46DA6"/>
    <w:rsid w:val="17D52411"/>
    <w:rsid w:val="19A277FE"/>
    <w:rsid w:val="1A8770D7"/>
    <w:rsid w:val="1AA650CC"/>
    <w:rsid w:val="1AD03EF7"/>
    <w:rsid w:val="1B60171F"/>
    <w:rsid w:val="1B633B7D"/>
    <w:rsid w:val="1BC12009"/>
    <w:rsid w:val="1C892D31"/>
    <w:rsid w:val="1CEA3737"/>
    <w:rsid w:val="1D61352C"/>
    <w:rsid w:val="1E4F7829"/>
    <w:rsid w:val="1E5170FD"/>
    <w:rsid w:val="1E761259"/>
    <w:rsid w:val="1EBB6C6C"/>
    <w:rsid w:val="1F56363B"/>
    <w:rsid w:val="1F9F2A83"/>
    <w:rsid w:val="1FFA1F85"/>
    <w:rsid w:val="202E7AA4"/>
    <w:rsid w:val="20FB4647"/>
    <w:rsid w:val="214C62A1"/>
    <w:rsid w:val="21607597"/>
    <w:rsid w:val="216A24B1"/>
    <w:rsid w:val="21B52099"/>
    <w:rsid w:val="21C11AD4"/>
    <w:rsid w:val="2221772E"/>
    <w:rsid w:val="228351DE"/>
    <w:rsid w:val="22A342B4"/>
    <w:rsid w:val="22B6058D"/>
    <w:rsid w:val="22E93FC0"/>
    <w:rsid w:val="236C21A8"/>
    <w:rsid w:val="23A931DE"/>
    <w:rsid w:val="23F86DAF"/>
    <w:rsid w:val="24285550"/>
    <w:rsid w:val="244D325D"/>
    <w:rsid w:val="26926505"/>
    <w:rsid w:val="269D52BC"/>
    <w:rsid w:val="27055676"/>
    <w:rsid w:val="27106038"/>
    <w:rsid w:val="27DF5779"/>
    <w:rsid w:val="280B656E"/>
    <w:rsid w:val="282F4953"/>
    <w:rsid w:val="283C5022"/>
    <w:rsid w:val="28814EFD"/>
    <w:rsid w:val="28FA6586"/>
    <w:rsid w:val="29883376"/>
    <w:rsid w:val="29BD1AEA"/>
    <w:rsid w:val="2A625DED"/>
    <w:rsid w:val="2A6A596D"/>
    <w:rsid w:val="2A790107"/>
    <w:rsid w:val="2A831D7B"/>
    <w:rsid w:val="2AF7061B"/>
    <w:rsid w:val="2B204A27"/>
    <w:rsid w:val="2B6A3EF4"/>
    <w:rsid w:val="2BDB6BA0"/>
    <w:rsid w:val="2BE43C9B"/>
    <w:rsid w:val="2BE60D87"/>
    <w:rsid w:val="2C2661CB"/>
    <w:rsid w:val="2CF61AA4"/>
    <w:rsid w:val="2D081C69"/>
    <w:rsid w:val="2D762250"/>
    <w:rsid w:val="2E8004EB"/>
    <w:rsid w:val="2EC64B2F"/>
    <w:rsid w:val="2ED973C6"/>
    <w:rsid w:val="2F6B0D8A"/>
    <w:rsid w:val="2F754550"/>
    <w:rsid w:val="2FC8648C"/>
    <w:rsid w:val="30B579BF"/>
    <w:rsid w:val="30C23E8A"/>
    <w:rsid w:val="30C929B7"/>
    <w:rsid w:val="30CC096E"/>
    <w:rsid w:val="312A72A4"/>
    <w:rsid w:val="313751DD"/>
    <w:rsid w:val="317604F9"/>
    <w:rsid w:val="318B6A9E"/>
    <w:rsid w:val="31CF2D03"/>
    <w:rsid w:val="321D581C"/>
    <w:rsid w:val="32655415"/>
    <w:rsid w:val="329046CD"/>
    <w:rsid w:val="329B2BE5"/>
    <w:rsid w:val="32DD31FD"/>
    <w:rsid w:val="33467419"/>
    <w:rsid w:val="33484CBE"/>
    <w:rsid w:val="33744EEC"/>
    <w:rsid w:val="337E7BF7"/>
    <w:rsid w:val="33C82E1F"/>
    <w:rsid w:val="344057F2"/>
    <w:rsid w:val="34CB0AD9"/>
    <w:rsid w:val="34EE2A68"/>
    <w:rsid w:val="35D850E1"/>
    <w:rsid w:val="363C215E"/>
    <w:rsid w:val="366F23BE"/>
    <w:rsid w:val="368876BA"/>
    <w:rsid w:val="370945C1"/>
    <w:rsid w:val="37B87D95"/>
    <w:rsid w:val="382976F4"/>
    <w:rsid w:val="382F7AF7"/>
    <w:rsid w:val="38456C7E"/>
    <w:rsid w:val="388E38AC"/>
    <w:rsid w:val="38C0567C"/>
    <w:rsid w:val="38D30B68"/>
    <w:rsid w:val="392226CA"/>
    <w:rsid w:val="393F42CA"/>
    <w:rsid w:val="3A041FFC"/>
    <w:rsid w:val="3A7111FD"/>
    <w:rsid w:val="3B0C1A3A"/>
    <w:rsid w:val="3B722FCC"/>
    <w:rsid w:val="3BA90120"/>
    <w:rsid w:val="3C2209DE"/>
    <w:rsid w:val="3C6329C5"/>
    <w:rsid w:val="3C814BF9"/>
    <w:rsid w:val="3D2F43B1"/>
    <w:rsid w:val="3D54230E"/>
    <w:rsid w:val="3D995F73"/>
    <w:rsid w:val="3DF2319B"/>
    <w:rsid w:val="3E012496"/>
    <w:rsid w:val="3E175815"/>
    <w:rsid w:val="3E2F0080"/>
    <w:rsid w:val="400420F0"/>
    <w:rsid w:val="401D5B35"/>
    <w:rsid w:val="410C52E4"/>
    <w:rsid w:val="41295F60"/>
    <w:rsid w:val="41306564"/>
    <w:rsid w:val="416B7C26"/>
    <w:rsid w:val="41744D2D"/>
    <w:rsid w:val="41CC6917"/>
    <w:rsid w:val="421E7386"/>
    <w:rsid w:val="42674891"/>
    <w:rsid w:val="429A6A15"/>
    <w:rsid w:val="42B577AE"/>
    <w:rsid w:val="4326474D"/>
    <w:rsid w:val="433B303D"/>
    <w:rsid w:val="435420A9"/>
    <w:rsid w:val="43F21A19"/>
    <w:rsid w:val="44131322"/>
    <w:rsid w:val="44635FD1"/>
    <w:rsid w:val="44902472"/>
    <w:rsid w:val="44FF0DB1"/>
    <w:rsid w:val="44FF3C0C"/>
    <w:rsid w:val="458254C2"/>
    <w:rsid w:val="461A09A6"/>
    <w:rsid w:val="461B7E6D"/>
    <w:rsid w:val="466E61EE"/>
    <w:rsid w:val="46C66AC8"/>
    <w:rsid w:val="473059B7"/>
    <w:rsid w:val="480C64C1"/>
    <w:rsid w:val="48C322BD"/>
    <w:rsid w:val="491D5CAA"/>
    <w:rsid w:val="494F15B9"/>
    <w:rsid w:val="49ED2641"/>
    <w:rsid w:val="4A116F4C"/>
    <w:rsid w:val="4A7D7620"/>
    <w:rsid w:val="4AF40C8C"/>
    <w:rsid w:val="4AF65591"/>
    <w:rsid w:val="4AF84C20"/>
    <w:rsid w:val="4B7F49FA"/>
    <w:rsid w:val="4BC4790A"/>
    <w:rsid w:val="4BCD689E"/>
    <w:rsid w:val="4C3F297F"/>
    <w:rsid w:val="4C881B8F"/>
    <w:rsid w:val="4D0F1DAD"/>
    <w:rsid w:val="4D335E3E"/>
    <w:rsid w:val="4D50664E"/>
    <w:rsid w:val="4DA35314"/>
    <w:rsid w:val="4DB150DA"/>
    <w:rsid w:val="4DDA74A5"/>
    <w:rsid w:val="4DF416CF"/>
    <w:rsid w:val="4E162E45"/>
    <w:rsid w:val="4E307B29"/>
    <w:rsid w:val="4E355844"/>
    <w:rsid w:val="4E597784"/>
    <w:rsid w:val="4ECC66F7"/>
    <w:rsid w:val="4F0516BA"/>
    <w:rsid w:val="4F740341"/>
    <w:rsid w:val="4FA113E3"/>
    <w:rsid w:val="4FA709C3"/>
    <w:rsid w:val="50285660"/>
    <w:rsid w:val="50395ABF"/>
    <w:rsid w:val="5055041F"/>
    <w:rsid w:val="50707007"/>
    <w:rsid w:val="50A52E83"/>
    <w:rsid w:val="50AA42C7"/>
    <w:rsid w:val="50C64B1D"/>
    <w:rsid w:val="50FD71AE"/>
    <w:rsid w:val="51355CD6"/>
    <w:rsid w:val="5184720E"/>
    <w:rsid w:val="51A2208A"/>
    <w:rsid w:val="51AF5FE6"/>
    <w:rsid w:val="51F46E3D"/>
    <w:rsid w:val="5223678D"/>
    <w:rsid w:val="52642DBB"/>
    <w:rsid w:val="5282350E"/>
    <w:rsid w:val="52EB172B"/>
    <w:rsid w:val="5346487B"/>
    <w:rsid w:val="53AF22A4"/>
    <w:rsid w:val="54015E71"/>
    <w:rsid w:val="54256BC5"/>
    <w:rsid w:val="54501350"/>
    <w:rsid w:val="545836AA"/>
    <w:rsid w:val="547F1F0F"/>
    <w:rsid w:val="548C7568"/>
    <w:rsid w:val="553F399A"/>
    <w:rsid w:val="55D43B94"/>
    <w:rsid w:val="56203258"/>
    <w:rsid w:val="564B432E"/>
    <w:rsid w:val="56D525E1"/>
    <w:rsid w:val="570C2F90"/>
    <w:rsid w:val="57296E56"/>
    <w:rsid w:val="572E6EEC"/>
    <w:rsid w:val="57430FD4"/>
    <w:rsid w:val="57BD5228"/>
    <w:rsid w:val="57C27A4A"/>
    <w:rsid w:val="58056164"/>
    <w:rsid w:val="580A21FF"/>
    <w:rsid w:val="58726012"/>
    <w:rsid w:val="58752412"/>
    <w:rsid w:val="58833E4B"/>
    <w:rsid w:val="58867311"/>
    <w:rsid w:val="58CD4FF7"/>
    <w:rsid w:val="590B5B1F"/>
    <w:rsid w:val="59303932"/>
    <w:rsid w:val="59736B7E"/>
    <w:rsid w:val="59AE1A09"/>
    <w:rsid w:val="5A03440C"/>
    <w:rsid w:val="5A0A77FE"/>
    <w:rsid w:val="5A2C24C6"/>
    <w:rsid w:val="5A9E4E10"/>
    <w:rsid w:val="5AC82371"/>
    <w:rsid w:val="5B1C6DFA"/>
    <w:rsid w:val="5B1D730F"/>
    <w:rsid w:val="5BEF2193"/>
    <w:rsid w:val="5BF34294"/>
    <w:rsid w:val="5C0244DB"/>
    <w:rsid w:val="5C83637D"/>
    <w:rsid w:val="5E062D59"/>
    <w:rsid w:val="5E451AD3"/>
    <w:rsid w:val="5E5D6E1D"/>
    <w:rsid w:val="5EE13CC4"/>
    <w:rsid w:val="5F10533B"/>
    <w:rsid w:val="5F2F20E9"/>
    <w:rsid w:val="5F3C4566"/>
    <w:rsid w:val="5F5A15AE"/>
    <w:rsid w:val="5FFD464A"/>
    <w:rsid w:val="60D56F48"/>
    <w:rsid w:val="60F872D1"/>
    <w:rsid w:val="60FB46CB"/>
    <w:rsid w:val="618940DF"/>
    <w:rsid w:val="62EB0199"/>
    <w:rsid w:val="63890851"/>
    <w:rsid w:val="63A20F31"/>
    <w:rsid w:val="63AE60D5"/>
    <w:rsid w:val="63BC769D"/>
    <w:rsid w:val="63D97984"/>
    <w:rsid w:val="64340620"/>
    <w:rsid w:val="64586496"/>
    <w:rsid w:val="64AB72EA"/>
    <w:rsid w:val="64C71494"/>
    <w:rsid w:val="65076790"/>
    <w:rsid w:val="65284DF0"/>
    <w:rsid w:val="65AA4F63"/>
    <w:rsid w:val="65B3370B"/>
    <w:rsid w:val="65D2499B"/>
    <w:rsid w:val="65E6594A"/>
    <w:rsid w:val="65EA16D1"/>
    <w:rsid w:val="660415AB"/>
    <w:rsid w:val="66417DCF"/>
    <w:rsid w:val="66507267"/>
    <w:rsid w:val="66680A54"/>
    <w:rsid w:val="667C005C"/>
    <w:rsid w:val="66B52E3A"/>
    <w:rsid w:val="66BE0674"/>
    <w:rsid w:val="67647DA2"/>
    <w:rsid w:val="67C038AA"/>
    <w:rsid w:val="67ED7463"/>
    <w:rsid w:val="68B431C5"/>
    <w:rsid w:val="691D5B26"/>
    <w:rsid w:val="69F71A14"/>
    <w:rsid w:val="6A464D1D"/>
    <w:rsid w:val="6B771F7C"/>
    <w:rsid w:val="6B9419A4"/>
    <w:rsid w:val="6BFE0558"/>
    <w:rsid w:val="6C384A25"/>
    <w:rsid w:val="6C553E42"/>
    <w:rsid w:val="6C7F5EB7"/>
    <w:rsid w:val="6CC75D41"/>
    <w:rsid w:val="6D814F49"/>
    <w:rsid w:val="6DCF6FD0"/>
    <w:rsid w:val="6DFB3F5C"/>
    <w:rsid w:val="6E095813"/>
    <w:rsid w:val="6E1D2942"/>
    <w:rsid w:val="6E475A5B"/>
    <w:rsid w:val="6E79720E"/>
    <w:rsid w:val="6E7F6AD7"/>
    <w:rsid w:val="6F0A567D"/>
    <w:rsid w:val="6F1F61B5"/>
    <w:rsid w:val="707D67E2"/>
    <w:rsid w:val="714F4CEB"/>
    <w:rsid w:val="715147A9"/>
    <w:rsid w:val="71FB5360"/>
    <w:rsid w:val="722E4900"/>
    <w:rsid w:val="733C2E6B"/>
    <w:rsid w:val="736B4E23"/>
    <w:rsid w:val="73734B1F"/>
    <w:rsid w:val="738B18DE"/>
    <w:rsid w:val="73A24C66"/>
    <w:rsid w:val="740C15B0"/>
    <w:rsid w:val="74315BCE"/>
    <w:rsid w:val="749A26CC"/>
    <w:rsid w:val="74AC63DE"/>
    <w:rsid w:val="756D3991"/>
    <w:rsid w:val="76136FBE"/>
    <w:rsid w:val="7667680C"/>
    <w:rsid w:val="77615B70"/>
    <w:rsid w:val="77820934"/>
    <w:rsid w:val="7785794E"/>
    <w:rsid w:val="77B0775C"/>
    <w:rsid w:val="79404C23"/>
    <w:rsid w:val="797F3C93"/>
    <w:rsid w:val="79B60BF1"/>
    <w:rsid w:val="79CC5889"/>
    <w:rsid w:val="7A2D744C"/>
    <w:rsid w:val="7A5E1AFB"/>
    <w:rsid w:val="7B0703E4"/>
    <w:rsid w:val="7B1B4A21"/>
    <w:rsid w:val="7B7E5268"/>
    <w:rsid w:val="7B9C6D7F"/>
    <w:rsid w:val="7BEC1388"/>
    <w:rsid w:val="7BFC6F19"/>
    <w:rsid w:val="7C366A8D"/>
    <w:rsid w:val="7C687FE8"/>
    <w:rsid w:val="7CDF5EE5"/>
    <w:rsid w:val="7DC54034"/>
    <w:rsid w:val="7E216DFF"/>
    <w:rsid w:val="7E2206FA"/>
    <w:rsid w:val="7E4B353D"/>
    <w:rsid w:val="7E5020A2"/>
    <w:rsid w:val="7E6802F1"/>
    <w:rsid w:val="7E6F3E87"/>
    <w:rsid w:val="7EFE6D04"/>
    <w:rsid w:val="7FA51F7A"/>
    <w:rsid w:val="7FF325C8"/>
    <w:rsid w:val="FFABA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left="425"/>
      <w:jc w:val="left"/>
    </w:pPr>
    <w:rPr>
      <w:kern w:val="0"/>
      <w:sz w:val="20"/>
      <w:szCs w:val="20"/>
      <w:lang w:eastAsia="en-US"/>
    </w:rPr>
  </w:style>
  <w:style w:type="paragraph" w:styleId="6">
    <w:name w:val="annotation text"/>
    <w:basedOn w:val="1"/>
    <w:qFormat/>
    <w:uiPriority w:val="0"/>
    <w:pPr>
      <w:jc w:val="left"/>
    </w:pPr>
  </w:style>
  <w:style w:type="paragraph" w:styleId="7">
    <w:name w:val="Body Text"/>
    <w:basedOn w:val="1"/>
    <w:qFormat/>
    <w:uiPriority w:val="0"/>
    <w:rPr>
      <w:color w:val="FF0000"/>
    </w:rPr>
  </w:style>
  <w:style w:type="paragraph" w:styleId="8">
    <w:name w:val="toc 3"/>
    <w:basedOn w:val="1"/>
    <w:next w:val="1"/>
    <w:qFormat/>
    <w:uiPriority w:val="39"/>
    <w:pPr>
      <w:spacing w:line="360" w:lineRule="auto"/>
      <w:ind w:left="420"/>
      <w:jc w:val="left"/>
    </w:pPr>
    <w:rPr>
      <w:iCs/>
      <w:sz w:val="24"/>
      <w:szCs w:val="20"/>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jc w:val="left"/>
    </w:pPr>
    <w:rPr>
      <w:b/>
      <w:bCs/>
      <w:caps/>
      <w:sz w:val="24"/>
      <w:szCs w:val="20"/>
    </w:rPr>
  </w:style>
  <w:style w:type="paragraph" w:styleId="14">
    <w:name w:val="toc 2"/>
    <w:basedOn w:val="1"/>
    <w:next w:val="1"/>
    <w:qFormat/>
    <w:uiPriority w:val="39"/>
    <w:pPr>
      <w:spacing w:line="360" w:lineRule="auto"/>
      <w:ind w:left="210"/>
      <w:jc w:val="left"/>
    </w:pPr>
    <w:rPr>
      <w:smallCaps/>
      <w:sz w:val="24"/>
      <w:szCs w:val="20"/>
    </w:rPr>
  </w:style>
  <w:style w:type="paragraph" w:styleId="15">
    <w:name w:val="Normal (Web)"/>
    <w:basedOn w:val="1"/>
    <w:qFormat/>
    <w:uiPriority w:val="99"/>
    <w:pPr>
      <w:spacing w:line="300" w:lineRule="auto"/>
    </w:pPr>
    <w:rPr>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firstLineChars="200"/>
    </w:pPr>
  </w:style>
  <w:style w:type="paragraph" w:customStyle="1" w:styleId="24">
    <w:name w:val="表头文本"/>
    <w:basedOn w:val="1"/>
    <w:qFormat/>
    <w:uiPriority w:val="0"/>
    <w:pPr>
      <w:autoSpaceDE w:val="0"/>
      <w:autoSpaceDN w:val="0"/>
      <w:adjustRightInd w:val="0"/>
      <w:jc w:val="center"/>
    </w:pPr>
    <w:rPr>
      <w:b/>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样式3"/>
    <w:basedOn w:val="9"/>
    <w:qFormat/>
    <w:uiPriority w:val="0"/>
    <w:pPr>
      <w:spacing w:line="0" w:lineRule="atLeast"/>
      <w:outlineLvl w:val="0"/>
    </w:pPr>
    <w:rPr>
      <w:rFonts w:cs="Times New Roman"/>
      <w:sz w:val="28"/>
      <w:szCs w:val="20"/>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样式2"/>
    <w:basedOn w:val="11"/>
    <w:qFormat/>
    <w:uiPriority w:val="0"/>
    <w:pPr>
      <w:ind w:right="360"/>
    </w:pPr>
    <w:rPr>
      <w:rFonts w:ascii="宋体" w:hAnsi="宋体"/>
      <w:sz w:val="21"/>
      <w:szCs w:val="21"/>
    </w:rPr>
  </w:style>
  <w:style w:type="character" w:customStyle="1" w:styleId="29">
    <w:name w:val="批注框文本 Char"/>
    <w:basedOn w:val="18"/>
    <w:link w:val="10"/>
    <w:qFormat/>
    <w:uiPriority w:val="0"/>
    <w:rPr>
      <w:rFonts w:ascii="Times New Roman" w:hAnsi="Times New Roman"/>
      <w:kern w:val="2"/>
      <w:sz w:val="18"/>
      <w:szCs w:val="18"/>
    </w:rPr>
  </w:style>
  <w:style w:type="character" w:customStyle="1" w:styleId="30">
    <w:name w:val="页眉 Char"/>
    <w:basedOn w:val="18"/>
    <w:link w:val="12"/>
    <w:qFormat/>
    <w:uiPriority w:val="0"/>
    <w:rPr>
      <w:rFonts w:ascii="Times New Roman" w:hAnsi="Times New Roman"/>
      <w:kern w:val="2"/>
      <w:sz w:val="18"/>
      <w:szCs w:val="18"/>
    </w:rPr>
  </w:style>
  <w:style w:type="paragraph" w:customStyle="1" w:styleId="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269262FF-2EC5-42EE-B7BB-AFDB2C627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23769</Words>
  <Characters>24670</Characters>
  <Lines>204</Lines>
  <Paragraphs>57</Paragraphs>
  <TotalTime>21</TotalTime>
  <ScaleCrop>false</ScaleCrop>
  <LinksUpToDate>false</LinksUpToDate>
  <CharactersWithSpaces>26091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2025-08-31T21:15:00Z</dcterms:created>
  <dc:creator>国贸物业招标办</dc:creator>
  <cp:lastModifiedBy>慢動作小姐</cp:lastModifiedBy>
  <dcterms:modified xsi:type="dcterms:W3CDTF">2026-01-19T01:23:21Z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A3B125710BC54CECBB9A5B1534DB4F85_13</vt:lpwstr>
  </property>
  <property fmtid="{D5CDD505-2E9C-101B-9397-08002B2CF9AE}" pid="4" name="KSOTemplateDocerSaveRecord">
    <vt:lpwstr>eyJoZGlkIjoiZjZmMmVkZTQ1Y2E5NmFjNDhjNjQ4YmNiMzlmNjM3MTgiLCJ1c2VySWQiOiI0NjA1NzEyMzUifQ==</vt:lpwstr>
  </property>
</Properties>
</file>