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FB47">
      <w:pPr>
        <w:spacing w:line="276" w:lineRule="auto"/>
        <w:jc w:val="left"/>
        <w:rPr>
          <w:rFonts w:ascii="宋体"/>
          <w:color w:val="000000" w:themeColor="text1"/>
          <w:sz w:val="24"/>
          <w14:textFill>
            <w14:solidFill>
              <w14:schemeClr w14:val="tx1"/>
            </w14:solidFill>
          </w14:textFill>
        </w:rPr>
      </w:pPr>
      <w:bookmarkStart w:id="0" w:name="_Toc165385343"/>
      <w:bookmarkStart w:id="1" w:name="_Toc163364646"/>
      <w:bookmarkStart w:id="2" w:name="_Toc157418557"/>
      <w:bookmarkStart w:id="3" w:name="_Toc178674763"/>
      <w:bookmarkStart w:id="4" w:name="_Toc157418350"/>
      <w:bookmarkStart w:id="5" w:name="_Toc32815540"/>
      <w:bookmarkStart w:id="6" w:name="_Toc125129292"/>
    </w:p>
    <w:p w14:paraId="73DF3235">
      <w:pPr>
        <w:spacing w:line="276" w:lineRule="auto"/>
        <w:jc w:val="left"/>
        <w:rPr>
          <w:rFonts w:ascii="宋体"/>
          <w:color w:val="000000" w:themeColor="text1"/>
          <w:sz w:val="24"/>
          <w14:textFill>
            <w14:solidFill>
              <w14:schemeClr w14:val="tx1"/>
            </w14:solidFill>
          </w14:textFill>
        </w:rPr>
      </w:pPr>
    </w:p>
    <w:p w14:paraId="4841DBCD">
      <w:pPr>
        <w:spacing w:line="276" w:lineRule="auto"/>
        <w:jc w:val="left"/>
        <w:rPr>
          <w:rFonts w:ascii="宋体"/>
          <w:color w:val="000000" w:themeColor="text1"/>
          <w:sz w:val="24"/>
          <w14:textFill>
            <w14:solidFill>
              <w14:schemeClr w14:val="tx1"/>
            </w14:solidFill>
          </w14:textFill>
        </w:rPr>
      </w:pPr>
    </w:p>
    <w:p w14:paraId="563BEFA2">
      <w:pPr>
        <w:spacing w:line="276" w:lineRule="auto"/>
        <w:jc w:val="center"/>
        <w:rPr>
          <w:rFonts w:ascii="仿宋" w:hAnsi="仿宋" w:eastAsia="仿宋"/>
          <w:b/>
          <w:bCs/>
          <w:color w:val="000000" w:themeColor="text1"/>
          <w:sz w:val="84"/>
          <w:szCs w:val="84"/>
          <w:lang w:val="zh-CN"/>
          <w14:textFill>
            <w14:solidFill>
              <w14:schemeClr w14:val="tx1"/>
            </w14:solidFill>
          </w14:textFill>
        </w:rPr>
      </w:pPr>
      <w:r>
        <w:rPr>
          <w:rFonts w:hint="eastAsia" w:ascii="仿宋" w:hAnsi="仿宋" w:eastAsia="仿宋" w:cs="仿宋"/>
          <w:b/>
          <w:bCs/>
          <w:color w:val="000000" w:themeColor="text1"/>
          <w:sz w:val="84"/>
          <w:szCs w:val="84"/>
          <w:lang w:val="zh-CN"/>
          <w14:textFill>
            <w14:solidFill>
              <w14:schemeClr w14:val="tx1"/>
            </w14:solidFill>
          </w14:textFill>
        </w:rPr>
        <w:t>招标文件</w:t>
      </w:r>
    </w:p>
    <w:p w14:paraId="00263161">
      <w:pPr>
        <w:spacing w:line="276" w:lineRule="auto"/>
        <w:jc w:val="center"/>
        <w:rPr>
          <w:rFonts w:ascii="宋体"/>
          <w:color w:val="000000" w:themeColor="text1"/>
          <w:sz w:val="36"/>
          <w:szCs w:val="36"/>
          <w14:textFill>
            <w14:solidFill>
              <w14:schemeClr w14:val="tx1"/>
            </w14:solidFill>
          </w14:textFill>
        </w:rPr>
      </w:pPr>
      <w:bookmarkStart w:id="7" w:name="_Toc342899794"/>
    </w:p>
    <w:p w14:paraId="42195ECB">
      <w:pPr>
        <w:spacing w:line="276" w:lineRule="auto"/>
        <w:jc w:val="center"/>
        <w:rPr>
          <w:rFonts w:ascii="宋体"/>
          <w:color w:val="000000" w:themeColor="text1"/>
          <w:sz w:val="36"/>
          <w:szCs w:val="36"/>
          <w14:textFill>
            <w14:solidFill>
              <w14:schemeClr w14:val="tx1"/>
            </w14:solidFill>
          </w14:textFill>
        </w:rPr>
      </w:pPr>
    </w:p>
    <w:p w14:paraId="7D4B026E">
      <w:pPr>
        <w:spacing w:line="276" w:lineRule="auto"/>
        <w:ind w:firstLine="708" w:firstLineChars="196"/>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zh-CN"/>
          <w14:textFill>
            <w14:solidFill>
              <w14:schemeClr w14:val="tx1"/>
            </w14:solidFill>
          </w14:textFill>
        </w:rPr>
        <w:t>项目名称</w:t>
      </w:r>
      <w:bookmarkEnd w:id="7"/>
      <w:r>
        <w:rPr>
          <w:rFonts w:hint="eastAsia" w:ascii="仿宋" w:hAnsi="仿宋" w:eastAsia="仿宋" w:cs="仿宋"/>
          <w:b/>
          <w:bCs/>
          <w:color w:val="000000" w:themeColor="text1"/>
          <w:sz w:val="36"/>
          <w:szCs w:val="36"/>
          <w:lang w:val="zh-CN"/>
          <w14:textFill>
            <w14:solidFill>
              <w14:schemeClr w14:val="tx1"/>
            </w14:solidFill>
          </w14:textFill>
        </w:rPr>
        <w:t>：</w:t>
      </w:r>
      <w:r>
        <w:rPr>
          <w:rFonts w:hint="eastAsia" w:ascii="仿宋" w:hAnsi="仿宋" w:eastAsia="仿宋" w:cs="仿宋"/>
          <w:b/>
          <w:bCs/>
          <w:color w:val="000000" w:themeColor="text1"/>
          <w:sz w:val="36"/>
          <w:szCs w:val="36"/>
          <w14:textFill>
            <w14:solidFill>
              <w14:schemeClr w14:val="tx1"/>
            </w14:solidFill>
          </w14:textFill>
        </w:rPr>
        <w:t>泉州国贸江南璟上建筑垃圾清运服务</w:t>
      </w:r>
      <w:bookmarkStart w:id="516" w:name="_GoBack"/>
      <w:bookmarkEnd w:id="516"/>
    </w:p>
    <w:p w14:paraId="7A6A73CA">
      <w:pPr>
        <w:spacing w:line="276" w:lineRule="auto"/>
        <w:ind w:firstLine="2515" w:firstLineChars="696"/>
        <w:rPr>
          <w:rFonts w:hint="default" w:ascii="仿宋" w:hAnsi="仿宋" w:eastAsia="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eastAsia="zh-CN"/>
          <w14:textFill>
            <w14:solidFill>
              <w14:schemeClr w14:val="tx1"/>
            </w14:solidFill>
          </w14:textFill>
        </w:rPr>
        <w:t>（</w:t>
      </w:r>
      <w:r>
        <w:rPr>
          <w:rFonts w:hint="eastAsia" w:ascii="仿宋" w:hAnsi="仿宋" w:eastAsia="仿宋" w:cs="仿宋"/>
          <w:b/>
          <w:bCs/>
          <w:color w:val="000000" w:themeColor="text1"/>
          <w:sz w:val="36"/>
          <w:szCs w:val="36"/>
          <w:lang w:val="en-US" w:eastAsia="zh-CN"/>
          <w14:textFill>
            <w14:solidFill>
              <w14:schemeClr w14:val="tx1"/>
            </w14:solidFill>
          </w14:textFill>
        </w:rPr>
        <w:t>第二次）</w:t>
      </w:r>
    </w:p>
    <w:p w14:paraId="1638C45D">
      <w:pPr>
        <w:pStyle w:val="9"/>
        <w:spacing w:line="360" w:lineRule="auto"/>
        <w:rPr>
          <w:rFonts w:ascii="仿宋" w:hAnsi="仿宋" w:eastAsia="仿宋" w:cs="Times New Roman"/>
          <w:b/>
          <w:bCs/>
          <w:color w:val="000000" w:themeColor="text1"/>
          <w:sz w:val="36"/>
          <w:szCs w:val="36"/>
          <w14:textFill>
            <w14:solidFill>
              <w14:schemeClr w14:val="tx1"/>
            </w14:solidFill>
          </w14:textFill>
        </w:rPr>
      </w:pPr>
    </w:p>
    <w:p w14:paraId="0038A1A5">
      <w:pPr>
        <w:spacing w:line="276" w:lineRule="auto"/>
        <w:ind w:firstLine="708" w:firstLineChars="196"/>
        <w:rPr>
          <w:rFonts w:ascii="仿宋" w:hAnsi="仿宋" w:eastAsia="仿宋" w:cs="宋体"/>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zh-CN"/>
          <w14:textFill>
            <w14:solidFill>
              <w14:schemeClr w14:val="tx1"/>
            </w14:solidFill>
          </w14:textFill>
        </w:rPr>
        <w:t>项目编号：</w:t>
      </w:r>
      <w:r>
        <w:rPr>
          <w:rFonts w:hint="eastAsia" w:ascii="仿宋" w:hAnsi="仿宋" w:eastAsia="仿宋" w:cs="仿宋"/>
          <w:b/>
          <w:bCs/>
          <w:color w:val="000000" w:themeColor="text1"/>
          <w:sz w:val="36"/>
          <w:szCs w:val="36"/>
          <w14:textFill>
            <w14:solidFill>
              <w14:schemeClr w14:val="tx1"/>
            </w14:solidFill>
          </w14:textFill>
        </w:rPr>
        <w:t>GM</w:t>
      </w:r>
      <w:r>
        <w:rPr>
          <w:rFonts w:hint="eastAsia" w:ascii="仿宋" w:hAnsi="仿宋" w:eastAsia="仿宋" w:cs="仿宋"/>
          <w:b/>
          <w:bCs/>
          <w:color w:val="000000" w:themeColor="text1"/>
          <w:sz w:val="36"/>
          <w:szCs w:val="36"/>
          <w:lang w:val="en-US" w:eastAsia="zh-CN"/>
          <w14:textFill>
            <w14:solidFill>
              <w14:schemeClr w14:val="tx1"/>
            </w14:solidFill>
          </w14:textFill>
        </w:rPr>
        <w:t>WY</w:t>
      </w:r>
      <w:r>
        <w:rPr>
          <w:rFonts w:hint="eastAsia" w:ascii="仿宋" w:hAnsi="仿宋" w:eastAsia="仿宋" w:cs="仿宋"/>
          <w:b/>
          <w:bCs/>
          <w:color w:val="000000" w:themeColor="text1"/>
          <w:sz w:val="36"/>
          <w:szCs w:val="36"/>
          <w14:textFill>
            <w14:solidFill>
              <w14:schemeClr w14:val="tx1"/>
            </w14:solidFill>
          </w14:textFill>
        </w:rPr>
        <w:t>-202</w:t>
      </w:r>
      <w:r>
        <w:rPr>
          <w:rFonts w:hint="eastAsia" w:ascii="仿宋" w:hAnsi="仿宋" w:eastAsia="仿宋" w:cs="仿宋"/>
          <w:b/>
          <w:bCs/>
          <w:color w:val="000000" w:themeColor="text1"/>
          <w:sz w:val="36"/>
          <w:szCs w:val="36"/>
          <w:lang w:val="en-US" w:eastAsia="zh-CN"/>
          <w14:textFill>
            <w14:solidFill>
              <w14:schemeClr w14:val="tx1"/>
            </w14:solidFill>
          </w14:textFill>
        </w:rPr>
        <w:t>5</w:t>
      </w:r>
      <w:r>
        <w:rPr>
          <w:rFonts w:hint="eastAsia" w:ascii="仿宋" w:hAnsi="仿宋" w:eastAsia="仿宋" w:cs="仿宋"/>
          <w:b/>
          <w:bCs/>
          <w:color w:val="000000" w:themeColor="text1"/>
          <w:sz w:val="36"/>
          <w:szCs w:val="36"/>
          <w14:textFill>
            <w14:solidFill>
              <w14:schemeClr w14:val="tx1"/>
            </w14:solidFill>
          </w14:textFill>
        </w:rPr>
        <w:t>-</w:t>
      </w:r>
      <w:r>
        <w:rPr>
          <w:rFonts w:hint="eastAsia" w:ascii="仿宋" w:hAnsi="仿宋" w:eastAsia="仿宋" w:cs="仿宋"/>
          <w:b/>
          <w:bCs/>
          <w:color w:val="000000" w:themeColor="text1"/>
          <w:sz w:val="36"/>
          <w:szCs w:val="36"/>
          <w:lang w:val="en-US" w:eastAsia="zh-CN"/>
          <w14:textFill>
            <w14:solidFill>
              <w14:schemeClr w14:val="tx1"/>
            </w14:solidFill>
          </w14:textFill>
        </w:rPr>
        <w:t>02</w:t>
      </w:r>
    </w:p>
    <w:p w14:paraId="759EA0D5">
      <w:pPr>
        <w:pStyle w:val="9"/>
        <w:spacing w:line="360" w:lineRule="auto"/>
        <w:ind w:firstLine="708" w:firstLineChars="196"/>
        <w:rPr>
          <w:rFonts w:ascii="仿宋" w:hAnsi="仿宋" w:eastAsia="仿宋" w:cs="仿宋"/>
          <w:b/>
          <w:bCs/>
          <w:color w:val="000000" w:themeColor="text1"/>
          <w:sz w:val="36"/>
          <w:szCs w:val="36"/>
          <w:lang w:val="zh-CN"/>
          <w14:textFill>
            <w14:solidFill>
              <w14:schemeClr w14:val="tx1"/>
            </w14:solidFill>
          </w14:textFill>
        </w:rPr>
      </w:pPr>
    </w:p>
    <w:p w14:paraId="696FCCCB">
      <w:pPr>
        <w:pStyle w:val="9"/>
        <w:spacing w:line="360" w:lineRule="auto"/>
        <w:ind w:firstLine="708" w:firstLineChars="196"/>
        <w:rPr>
          <w:rFonts w:ascii="仿宋" w:hAnsi="仿宋" w:eastAsia="仿宋"/>
          <w:b/>
          <w:bCs/>
          <w:color w:val="000000" w:themeColor="text1"/>
          <w:sz w:val="36"/>
          <w:szCs w:val="36"/>
          <w:lang w:val="zh-CN"/>
          <w14:textFill>
            <w14:solidFill>
              <w14:schemeClr w14:val="tx1"/>
            </w14:solidFill>
          </w14:textFill>
        </w:rPr>
      </w:pPr>
      <w:r>
        <w:rPr>
          <w:rFonts w:hint="eastAsia" w:ascii="仿宋" w:hAnsi="仿宋" w:eastAsia="仿宋" w:cs="仿宋"/>
          <w:b/>
          <w:bCs/>
          <w:color w:val="000000" w:themeColor="text1"/>
          <w:sz w:val="36"/>
          <w:szCs w:val="36"/>
          <w:lang w:val="zh-CN"/>
          <w14:textFill>
            <w14:solidFill>
              <w14:schemeClr w14:val="tx1"/>
            </w14:solidFill>
          </w14:textFill>
        </w:rPr>
        <w:t>招标人：</w:t>
      </w:r>
      <w:r>
        <w:rPr>
          <w:rFonts w:hint="eastAsia" w:ascii="仿宋" w:hAnsi="仿宋" w:eastAsia="仿宋"/>
          <w:b/>
          <w:bCs/>
          <w:color w:val="000000" w:themeColor="text1"/>
          <w:sz w:val="36"/>
          <w:szCs w:val="36"/>
          <w14:textFill>
            <w14:solidFill>
              <w14:schemeClr w14:val="tx1"/>
            </w14:solidFill>
          </w14:textFill>
        </w:rPr>
        <w:t>厦门国贸物业服务有限公司</w:t>
      </w:r>
    </w:p>
    <w:p w14:paraId="378F7A8E">
      <w:pPr>
        <w:spacing w:line="276" w:lineRule="auto"/>
        <w:jc w:val="center"/>
        <w:rPr>
          <w:rFonts w:ascii="宋体"/>
          <w:color w:val="000000" w:themeColor="text1"/>
          <w:sz w:val="36"/>
          <w:szCs w:val="36"/>
          <w14:textFill>
            <w14:solidFill>
              <w14:schemeClr w14:val="tx1"/>
            </w14:solidFill>
          </w14:textFill>
        </w:rPr>
      </w:pPr>
    </w:p>
    <w:p w14:paraId="0AEA8356">
      <w:pPr>
        <w:spacing w:line="276" w:lineRule="auto"/>
        <w:jc w:val="center"/>
        <w:rPr>
          <w:rFonts w:ascii="宋体"/>
          <w:color w:val="000000" w:themeColor="text1"/>
          <w:sz w:val="36"/>
          <w:szCs w:val="36"/>
          <w14:textFill>
            <w14:solidFill>
              <w14:schemeClr w14:val="tx1"/>
            </w14:solidFill>
          </w14:textFill>
        </w:rPr>
      </w:pPr>
    </w:p>
    <w:p w14:paraId="38B8C3AD">
      <w:pPr>
        <w:spacing w:line="276" w:lineRule="auto"/>
        <w:jc w:val="center"/>
        <w:rPr>
          <w:rFonts w:ascii="宋体"/>
          <w:color w:val="000000" w:themeColor="text1"/>
          <w:sz w:val="36"/>
          <w:szCs w:val="36"/>
          <w14:textFill>
            <w14:solidFill>
              <w14:schemeClr w14:val="tx1"/>
            </w14:solidFill>
          </w14:textFill>
        </w:rPr>
      </w:pPr>
    </w:p>
    <w:p w14:paraId="061E99F7">
      <w:pPr>
        <w:spacing w:line="276" w:lineRule="auto"/>
        <w:jc w:val="center"/>
        <w:rPr>
          <w:rFonts w:ascii="宋体"/>
          <w:color w:val="000000" w:themeColor="text1"/>
          <w:sz w:val="36"/>
          <w:szCs w:val="36"/>
          <w14:textFill>
            <w14:solidFill>
              <w14:schemeClr w14:val="tx1"/>
            </w14:solidFill>
          </w14:textFill>
        </w:rPr>
      </w:pPr>
    </w:p>
    <w:p w14:paraId="3EF8712E">
      <w:pPr>
        <w:spacing w:line="276" w:lineRule="auto"/>
        <w:jc w:val="center"/>
        <w:rPr>
          <w:rFonts w:ascii="宋体"/>
          <w:color w:val="000000" w:themeColor="text1"/>
          <w:sz w:val="36"/>
          <w:szCs w:val="36"/>
          <w14:textFill>
            <w14:solidFill>
              <w14:schemeClr w14:val="tx1"/>
            </w14:solidFill>
          </w14:textFill>
        </w:rPr>
      </w:pPr>
    </w:p>
    <w:p w14:paraId="10B74832">
      <w:pPr>
        <w:spacing w:line="276" w:lineRule="auto"/>
        <w:jc w:val="center"/>
        <w:rPr>
          <w:rFonts w:ascii="宋体"/>
          <w:color w:val="000000" w:themeColor="text1"/>
          <w:sz w:val="36"/>
          <w:szCs w:val="36"/>
          <w14:textFill>
            <w14:solidFill>
              <w14:schemeClr w14:val="tx1"/>
            </w14:solidFill>
          </w14:textFill>
        </w:rPr>
      </w:pPr>
    </w:p>
    <w:p w14:paraId="6CC1E5E0">
      <w:pPr>
        <w:spacing w:line="276" w:lineRule="auto"/>
        <w:jc w:val="center"/>
        <w:rPr>
          <w:rFonts w:ascii="宋体"/>
          <w:color w:val="000000" w:themeColor="text1"/>
          <w:sz w:val="36"/>
          <w:szCs w:val="36"/>
          <w14:textFill>
            <w14:solidFill>
              <w14:schemeClr w14:val="tx1"/>
            </w14:solidFill>
          </w14:textFill>
        </w:rPr>
      </w:pPr>
    </w:p>
    <w:p w14:paraId="509B41C9">
      <w:pPr>
        <w:spacing w:line="276" w:lineRule="auto"/>
        <w:rPr>
          <w:rFonts w:ascii="宋体"/>
          <w:color w:val="000000" w:themeColor="text1"/>
          <w:sz w:val="36"/>
          <w:szCs w:val="36"/>
          <w14:textFill>
            <w14:solidFill>
              <w14:schemeClr w14:val="tx1"/>
            </w14:solidFill>
          </w14:textFill>
        </w:rPr>
      </w:pPr>
    </w:p>
    <w:p w14:paraId="4A7B5815">
      <w:pPr>
        <w:spacing w:line="276" w:lineRule="auto"/>
        <w:jc w:val="center"/>
        <w:rPr>
          <w:rFonts w:ascii="宋体"/>
          <w:color w:val="000000" w:themeColor="text1"/>
          <w:sz w:val="36"/>
          <w:szCs w:val="36"/>
          <w14:textFill>
            <w14:solidFill>
              <w14:schemeClr w14:val="tx1"/>
            </w14:solidFill>
          </w14:textFill>
        </w:rPr>
      </w:pPr>
    </w:p>
    <w:p w14:paraId="0AB341CE">
      <w:pPr>
        <w:spacing w:line="276" w:lineRule="auto"/>
        <w:ind w:firstLine="0" w:firstLineChars="0"/>
        <w:jc w:val="center"/>
        <w:rPr>
          <w:rFonts w:ascii="仿宋" w:hAnsi="仿宋" w:eastAsia="仿宋"/>
          <w:b/>
          <w:bCs/>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厦门国贸物业服务有限公司</w:t>
      </w:r>
    </w:p>
    <w:p w14:paraId="150027F2">
      <w:pPr>
        <w:spacing w:line="276" w:lineRule="auto"/>
        <w:ind w:firstLine="0" w:firstLineChars="0"/>
        <w:jc w:val="center"/>
        <w:rPr>
          <w:rFonts w:ascii="仿宋" w:hAnsi="仿宋" w:eastAsia="仿宋" w:cs="宋体"/>
          <w:b/>
          <w:bCs/>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2025年</w:t>
      </w:r>
      <w:r>
        <w:rPr>
          <w:rFonts w:hint="eastAsia" w:ascii="仿宋" w:hAnsi="仿宋" w:eastAsia="仿宋"/>
          <w:b/>
          <w:color w:val="000000" w:themeColor="text1"/>
          <w:sz w:val="36"/>
          <w:szCs w:val="36"/>
          <w:lang w:val="en-US" w:eastAsia="zh-CN"/>
          <w14:textFill>
            <w14:solidFill>
              <w14:schemeClr w14:val="tx1"/>
            </w14:solidFill>
          </w14:textFill>
        </w:rPr>
        <w:t>10</w:t>
      </w:r>
      <w:r>
        <w:rPr>
          <w:rFonts w:hint="eastAsia" w:ascii="仿宋" w:hAnsi="仿宋" w:eastAsia="仿宋"/>
          <w:b/>
          <w:color w:val="000000" w:themeColor="text1"/>
          <w:sz w:val="36"/>
          <w:szCs w:val="36"/>
          <w14:textFill>
            <w14:solidFill>
              <w14:schemeClr w14:val="tx1"/>
            </w14:solidFill>
          </w14:textFill>
        </w:rPr>
        <w:t>月</w:t>
      </w:r>
    </w:p>
    <w:p w14:paraId="2FB5D7BB">
      <w:pPr>
        <w:pStyle w:val="9"/>
        <w:spacing w:line="360" w:lineRule="auto"/>
        <w:jc w:val="both"/>
        <w:rPr>
          <w:rFonts w:ascii="仿宋" w:hAnsi="仿宋" w:eastAsia="仿宋" w:cs="仿宋"/>
          <w:b/>
          <w:bCs/>
          <w:color w:val="000000" w:themeColor="text1"/>
          <w:sz w:val="44"/>
          <w:szCs w:val="44"/>
          <w14:textFill>
            <w14:solidFill>
              <w14:schemeClr w14:val="tx1"/>
            </w14:solidFill>
          </w14:textFill>
        </w:rPr>
      </w:pPr>
    </w:p>
    <w:p w14:paraId="58BCBB86">
      <w:pPr>
        <w:pStyle w:val="9"/>
        <w:spacing w:line="360" w:lineRule="auto"/>
        <w:jc w:val="center"/>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目    录</w:t>
      </w:r>
      <w:bookmarkEnd w:id="0"/>
      <w:bookmarkEnd w:id="1"/>
      <w:bookmarkEnd w:id="2"/>
      <w:bookmarkEnd w:id="3"/>
      <w:bookmarkEnd w:id="4"/>
    </w:p>
    <w:p w14:paraId="40B0D258">
      <w:pPr>
        <w:pStyle w:val="13"/>
        <w:tabs>
          <w:tab w:val="right" w:leader="dot" w:pos="9071"/>
        </w:tabs>
      </w:pPr>
      <w:r>
        <w:rPr>
          <w:rFonts w:ascii="宋体" w:hAnsi="宋体"/>
          <w:color w:val="000000" w:themeColor="text1"/>
          <w:sz w:val="36"/>
          <w:szCs w:val="36"/>
          <w14:textFill>
            <w14:solidFill>
              <w14:schemeClr w14:val="tx1"/>
            </w14:solidFill>
          </w14:textFill>
        </w:rPr>
        <w:fldChar w:fldCharType="begin"/>
      </w:r>
      <w:r>
        <w:rPr>
          <w:rFonts w:ascii="宋体" w:hAnsi="宋体"/>
          <w:color w:val="000000" w:themeColor="text1"/>
          <w:sz w:val="36"/>
          <w:szCs w:val="36"/>
          <w14:textFill>
            <w14:solidFill>
              <w14:schemeClr w14:val="tx1"/>
            </w14:solidFill>
          </w14:textFill>
        </w:rPr>
        <w:instrText xml:space="preserve"> TOC \o "1-3" \h \z \u </w:instrText>
      </w:r>
      <w:r>
        <w:rPr>
          <w:rFonts w:ascii="宋体" w:hAnsi="宋体"/>
          <w:color w:val="000000" w:themeColor="text1"/>
          <w:sz w:val="36"/>
          <w:szCs w:val="36"/>
          <w14:textFill>
            <w14:solidFill>
              <w14:schemeClr w14:val="tx1"/>
            </w14:solidFill>
          </w14:textFill>
        </w:rPr>
        <w:fldChar w:fldCharType="separate"/>
      </w: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_Toc14876 </w:instrText>
      </w:r>
      <w:r>
        <w:rPr>
          <w:rFonts w:ascii="宋体" w:hAnsi="宋体"/>
          <w:szCs w:val="36"/>
        </w:rPr>
        <w:fldChar w:fldCharType="separate"/>
      </w:r>
      <w:r>
        <w:rPr>
          <w:rFonts w:hint="eastAsia" w:ascii="仿宋" w:hAnsi="仿宋" w:eastAsia="仿宋" w:cs="仿宋"/>
          <w:bCs w:val="0"/>
          <w:kern w:val="0"/>
          <w:szCs w:val="32"/>
        </w:rPr>
        <w:t>第一章　招标公告</w:t>
      </w:r>
      <w:r>
        <w:tab/>
      </w:r>
      <w:r>
        <w:fldChar w:fldCharType="begin"/>
      </w:r>
      <w:r>
        <w:instrText xml:space="preserve"> PAGEREF _Toc14876 \h </w:instrText>
      </w:r>
      <w:r>
        <w:fldChar w:fldCharType="separate"/>
      </w:r>
      <w:r>
        <w:t>4</w:t>
      </w:r>
      <w:r>
        <w:fldChar w:fldCharType="end"/>
      </w:r>
      <w:r>
        <w:rPr>
          <w:rFonts w:ascii="宋体" w:hAnsi="宋体"/>
          <w:color w:val="000000" w:themeColor="text1"/>
          <w:szCs w:val="36"/>
          <w14:textFill>
            <w14:solidFill>
              <w14:schemeClr w14:val="tx1"/>
            </w14:solidFill>
          </w14:textFill>
        </w:rPr>
        <w:fldChar w:fldCharType="end"/>
      </w:r>
    </w:p>
    <w:p w14:paraId="04DB61D2">
      <w:pPr>
        <w:pStyle w:val="13"/>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_Toc27168 </w:instrText>
      </w:r>
      <w:r>
        <w:rPr>
          <w:rFonts w:ascii="宋体" w:hAnsi="宋体"/>
          <w:szCs w:val="36"/>
        </w:rPr>
        <w:fldChar w:fldCharType="separate"/>
      </w:r>
      <w:r>
        <w:rPr>
          <w:rFonts w:hint="eastAsia" w:ascii="仿宋" w:hAnsi="仿宋" w:eastAsia="仿宋"/>
        </w:rPr>
        <w:t>附：招标项目一览表</w:t>
      </w:r>
      <w:r>
        <w:tab/>
      </w:r>
      <w:r>
        <w:fldChar w:fldCharType="begin"/>
      </w:r>
      <w:r>
        <w:instrText xml:space="preserve"> PAGEREF _Toc27168 \h </w:instrText>
      </w:r>
      <w:r>
        <w:fldChar w:fldCharType="separate"/>
      </w:r>
      <w:r>
        <w:t>5</w:t>
      </w:r>
      <w:r>
        <w:fldChar w:fldCharType="end"/>
      </w:r>
      <w:r>
        <w:rPr>
          <w:rFonts w:ascii="宋体" w:hAnsi="宋体"/>
          <w:color w:val="000000" w:themeColor="text1"/>
          <w:szCs w:val="36"/>
          <w14:textFill>
            <w14:solidFill>
              <w14:schemeClr w14:val="tx1"/>
            </w14:solidFill>
          </w14:textFill>
        </w:rPr>
        <w:fldChar w:fldCharType="end"/>
      </w:r>
    </w:p>
    <w:p w14:paraId="04D810A1">
      <w:pPr>
        <w:pStyle w:val="13"/>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_Toc29677 </w:instrText>
      </w:r>
      <w:r>
        <w:rPr>
          <w:rFonts w:ascii="宋体" w:hAnsi="宋体"/>
          <w:szCs w:val="36"/>
        </w:rPr>
        <w:fldChar w:fldCharType="separate"/>
      </w:r>
      <w:r>
        <w:rPr>
          <w:rFonts w:hint="eastAsia" w:ascii="仿宋" w:hAnsi="仿宋" w:eastAsia="仿宋" w:cs="仿宋"/>
          <w:kern w:val="0"/>
          <w:szCs w:val="32"/>
        </w:rPr>
        <w:t>第二章　投标人须知</w:t>
      </w:r>
      <w:r>
        <w:tab/>
      </w:r>
      <w:r>
        <w:fldChar w:fldCharType="begin"/>
      </w:r>
      <w:r>
        <w:instrText xml:space="preserve"> PAGEREF _Toc29677 \h </w:instrText>
      </w:r>
      <w:r>
        <w:fldChar w:fldCharType="separate"/>
      </w:r>
      <w:r>
        <w:t>6</w:t>
      </w:r>
      <w:r>
        <w:fldChar w:fldCharType="end"/>
      </w:r>
      <w:r>
        <w:rPr>
          <w:rFonts w:ascii="宋体" w:hAnsi="宋体"/>
          <w:color w:val="000000" w:themeColor="text1"/>
          <w:szCs w:val="36"/>
          <w14:textFill>
            <w14:solidFill>
              <w14:schemeClr w14:val="tx1"/>
            </w14:solidFill>
          </w14:textFill>
        </w:rPr>
        <w:fldChar w:fldCharType="end"/>
      </w:r>
    </w:p>
    <w:p w14:paraId="0534B787">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_Toc168 </w:instrText>
      </w:r>
      <w:r>
        <w:rPr>
          <w:rFonts w:ascii="宋体" w:hAnsi="宋体"/>
          <w:szCs w:val="36"/>
        </w:rPr>
        <w:fldChar w:fldCharType="separate"/>
      </w:r>
      <w:r>
        <w:rPr>
          <w:rFonts w:hint="eastAsia" w:ascii="仿宋" w:hAnsi="仿宋" w:eastAsia="仿宋"/>
        </w:rPr>
        <w:t>第一节  说  明</w:t>
      </w:r>
      <w:r>
        <w:tab/>
      </w:r>
      <w:r>
        <w:fldChar w:fldCharType="begin"/>
      </w:r>
      <w:r>
        <w:instrText xml:space="preserve"> PAGEREF _Toc168 \h </w:instrText>
      </w:r>
      <w:r>
        <w:fldChar w:fldCharType="separate"/>
      </w:r>
      <w:r>
        <w:t>8</w:t>
      </w:r>
      <w:r>
        <w:fldChar w:fldCharType="end"/>
      </w:r>
      <w:r>
        <w:rPr>
          <w:rFonts w:ascii="宋体" w:hAnsi="宋体"/>
          <w:color w:val="000000" w:themeColor="text1"/>
          <w:szCs w:val="36"/>
          <w14:textFill>
            <w14:solidFill>
              <w14:schemeClr w14:val="tx1"/>
            </w14:solidFill>
          </w14:textFill>
        </w:rPr>
        <w:fldChar w:fldCharType="end"/>
      </w:r>
    </w:p>
    <w:p w14:paraId="1B1AD76E">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_Toc13570 </w:instrText>
      </w:r>
      <w:r>
        <w:rPr>
          <w:rFonts w:ascii="宋体" w:hAnsi="宋体"/>
          <w:szCs w:val="36"/>
        </w:rPr>
        <w:fldChar w:fldCharType="separate"/>
      </w:r>
      <w:r>
        <w:rPr>
          <w:rFonts w:ascii="仿宋" w:hAnsi="仿宋" w:eastAsia="仿宋"/>
        </w:rPr>
        <w:t xml:space="preserve">1. </w:t>
      </w:r>
      <w:r>
        <w:rPr>
          <w:rFonts w:hint="eastAsia" w:ascii="仿宋" w:hAnsi="仿宋" w:eastAsia="仿宋"/>
        </w:rPr>
        <w:t>适用范围</w:t>
      </w:r>
      <w:r>
        <w:tab/>
      </w:r>
      <w:r>
        <w:fldChar w:fldCharType="begin"/>
      </w:r>
      <w:r>
        <w:instrText xml:space="preserve"> PAGEREF _Toc13570 \h </w:instrText>
      </w:r>
      <w:r>
        <w:fldChar w:fldCharType="separate"/>
      </w:r>
      <w:r>
        <w:t>8</w:t>
      </w:r>
      <w:r>
        <w:fldChar w:fldCharType="end"/>
      </w:r>
      <w:r>
        <w:rPr>
          <w:rFonts w:ascii="宋体" w:hAnsi="宋体"/>
          <w:color w:val="000000" w:themeColor="text1"/>
          <w:szCs w:val="36"/>
          <w14:textFill>
            <w14:solidFill>
              <w14:schemeClr w14:val="tx1"/>
            </w14:solidFill>
          </w14:textFill>
        </w:rPr>
        <w:fldChar w:fldCharType="end"/>
      </w:r>
    </w:p>
    <w:p w14:paraId="3C2FBE8B">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_Toc15746 </w:instrText>
      </w:r>
      <w:r>
        <w:rPr>
          <w:rFonts w:ascii="宋体" w:hAnsi="宋体"/>
          <w:szCs w:val="36"/>
        </w:rPr>
        <w:fldChar w:fldCharType="separate"/>
      </w:r>
      <w:r>
        <w:rPr>
          <w:rFonts w:ascii="仿宋" w:hAnsi="仿宋" w:eastAsia="仿宋"/>
          <w:szCs w:val="32"/>
        </w:rPr>
        <w:t xml:space="preserve">2. </w:t>
      </w:r>
      <w:r>
        <w:rPr>
          <w:rFonts w:hint="default" w:ascii="仿宋" w:hAnsi="仿宋" w:eastAsia="仿宋"/>
          <w:szCs w:val="32"/>
        </w:rPr>
        <w:t>定义</w:t>
      </w:r>
      <w:r>
        <w:tab/>
      </w:r>
      <w:r>
        <w:fldChar w:fldCharType="begin"/>
      </w:r>
      <w:r>
        <w:instrText xml:space="preserve"> PAGEREF _Toc15746 \h </w:instrText>
      </w:r>
      <w:r>
        <w:fldChar w:fldCharType="separate"/>
      </w:r>
      <w:r>
        <w:t>8</w:t>
      </w:r>
      <w:r>
        <w:fldChar w:fldCharType="end"/>
      </w:r>
      <w:r>
        <w:rPr>
          <w:rFonts w:ascii="宋体" w:hAnsi="宋体"/>
          <w:color w:val="000000" w:themeColor="text1"/>
          <w:szCs w:val="36"/>
          <w14:textFill>
            <w14:solidFill>
              <w14:schemeClr w14:val="tx1"/>
            </w14:solidFill>
          </w14:textFill>
        </w:rPr>
        <w:fldChar w:fldCharType="end"/>
      </w:r>
    </w:p>
    <w:p w14:paraId="45BB9C38">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_Toc21451 </w:instrText>
      </w:r>
      <w:r>
        <w:rPr>
          <w:rFonts w:ascii="宋体" w:hAnsi="宋体"/>
          <w:szCs w:val="36"/>
        </w:rPr>
        <w:fldChar w:fldCharType="separate"/>
      </w:r>
      <w:r>
        <w:rPr>
          <w:rFonts w:ascii="仿宋" w:hAnsi="仿宋" w:eastAsia="仿宋"/>
        </w:rPr>
        <w:t xml:space="preserve">3. </w:t>
      </w:r>
      <w:r>
        <w:rPr>
          <w:rFonts w:hint="eastAsia" w:ascii="仿宋" w:hAnsi="仿宋" w:eastAsia="仿宋"/>
        </w:rPr>
        <w:t>合格的投标人</w:t>
      </w:r>
      <w:r>
        <w:tab/>
      </w:r>
      <w:r>
        <w:fldChar w:fldCharType="begin"/>
      </w:r>
      <w:r>
        <w:instrText xml:space="preserve"> PAGEREF _Toc21451 \h </w:instrText>
      </w:r>
      <w:r>
        <w:fldChar w:fldCharType="separate"/>
      </w:r>
      <w:r>
        <w:t>8</w:t>
      </w:r>
      <w:r>
        <w:fldChar w:fldCharType="end"/>
      </w:r>
      <w:r>
        <w:rPr>
          <w:rFonts w:ascii="宋体" w:hAnsi="宋体"/>
          <w:color w:val="000000" w:themeColor="text1"/>
          <w:szCs w:val="36"/>
          <w14:textFill>
            <w14:solidFill>
              <w14:schemeClr w14:val="tx1"/>
            </w14:solidFill>
          </w14:textFill>
        </w:rPr>
        <w:fldChar w:fldCharType="end"/>
      </w:r>
    </w:p>
    <w:p w14:paraId="2600E65F">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_Toc24648 </w:instrText>
      </w:r>
      <w:r>
        <w:rPr>
          <w:rFonts w:ascii="宋体" w:hAnsi="宋体"/>
          <w:szCs w:val="36"/>
        </w:rPr>
        <w:fldChar w:fldCharType="separate"/>
      </w:r>
      <w:r>
        <w:rPr>
          <w:rFonts w:hint="eastAsia" w:ascii="仿宋" w:hAnsi="仿宋" w:eastAsia="仿宋"/>
        </w:rPr>
        <w:t>4</w:t>
      </w:r>
      <w:r>
        <w:rPr>
          <w:rFonts w:ascii="仿宋" w:hAnsi="仿宋" w:eastAsia="仿宋"/>
        </w:rPr>
        <w:t>.</w:t>
      </w:r>
      <w:r>
        <w:rPr>
          <w:rFonts w:hint="eastAsia" w:ascii="仿宋" w:hAnsi="仿宋" w:eastAsia="仿宋"/>
        </w:rPr>
        <w:t xml:space="preserve"> 投标费用</w:t>
      </w:r>
      <w:r>
        <w:tab/>
      </w:r>
      <w:r>
        <w:fldChar w:fldCharType="begin"/>
      </w:r>
      <w:r>
        <w:instrText xml:space="preserve"> PAGEREF _Toc24648 \h </w:instrText>
      </w:r>
      <w:r>
        <w:fldChar w:fldCharType="separate"/>
      </w:r>
      <w:r>
        <w:t>9</w:t>
      </w:r>
      <w:r>
        <w:fldChar w:fldCharType="end"/>
      </w:r>
      <w:r>
        <w:rPr>
          <w:rFonts w:ascii="宋体" w:hAnsi="宋体"/>
          <w:color w:val="000000" w:themeColor="text1"/>
          <w:szCs w:val="36"/>
          <w14:textFill>
            <w14:solidFill>
              <w14:schemeClr w14:val="tx1"/>
            </w14:solidFill>
          </w14:textFill>
        </w:rPr>
        <w:fldChar w:fldCharType="end"/>
      </w:r>
    </w:p>
    <w:p w14:paraId="20F69F7D">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_Toc28856 </w:instrText>
      </w:r>
      <w:r>
        <w:rPr>
          <w:rFonts w:ascii="宋体" w:hAnsi="宋体"/>
          <w:szCs w:val="36"/>
        </w:rPr>
        <w:fldChar w:fldCharType="separate"/>
      </w:r>
      <w:r>
        <w:rPr>
          <w:rFonts w:hint="eastAsia" w:ascii="仿宋" w:hAnsi="仿宋" w:eastAsia="仿宋"/>
        </w:rPr>
        <w:t>第二节  招标文件说明</w:t>
      </w:r>
      <w:r>
        <w:tab/>
      </w:r>
      <w:r>
        <w:fldChar w:fldCharType="begin"/>
      </w:r>
      <w:r>
        <w:instrText xml:space="preserve"> PAGEREF _Toc28856 \h </w:instrText>
      </w:r>
      <w:r>
        <w:fldChar w:fldCharType="separate"/>
      </w:r>
      <w:r>
        <w:t>9</w:t>
      </w:r>
      <w:r>
        <w:fldChar w:fldCharType="end"/>
      </w:r>
      <w:r>
        <w:rPr>
          <w:rFonts w:ascii="宋体" w:hAnsi="宋体"/>
          <w:color w:val="000000" w:themeColor="text1"/>
          <w:szCs w:val="36"/>
          <w14:textFill>
            <w14:solidFill>
              <w14:schemeClr w14:val="tx1"/>
            </w14:solidFill>
          </w14:textFill>
        </w:rPr>
        <w:fldChar w:fldCharType="end"/>
      </w:r>
    </w:p>
    <w:p w14:paraId="5B13D5E3">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_Toc29152 </w:instrText>
      </w:r>
      <w:r>
        <w:rPr>
          <w:rFonts w:ascii="宋体" w:hAnsi="宋体"/>
          <w:szCs w:val="36"/>
        </w:rPr>
        <w:fldChar w:fldCharType="separate"/>
      </w:r>
      <w:r>
        <w:rPr>
          <w:rFonts w:hint="eastAsia" w:ascii="仿宋" w:hAnsi="仿宋" w:eastAsia="仿宋"/>
        </w:rPr>
        <w:t>5</w:t>
      </w:r>
      <w:r>
        <w:rPr>
          <w:rFonts w:ascii="仿宋" w:hAnsi="仿宋" w:eastAsia="仿宋"/>
        </w:rPr>
        <w:t xml:space="preserve">. </w:t>
      </w:r>
      <w:r>
        <w:rPr>
          <w:rFonts w:hint="eastAsia" w:ascii="仿宋" w:hAnsi="仿宋" w:eastAsia="仿宋"/>
        </w:rPr>
        <w:t>招标文件的组成</w:t>
      </w:r>
      <w:r>
        <w:tab/>
      </w:r>
      <w:r>
        <w:fldChar w:fldCharType="begin"/>
      </w:r>
      <w:r>
        <w:instrText xml:space="preserve"> PAGEREF _Toc29152 \h </w:instrText>
      </w:r>
      <w:r>
        <w:fldChar w:fldCharType="separate"/>
      </w:r>
      <w:r>
        <w:t>9</w:t>
      </w:r>
      <w:r>
        <w:fldChar w:fldCharType="end"/>
      </w:r>
      <w:r>
        <w:rPr>
          <w:rFonts w:ascii="宋体" w:hAnsi="宋体"/>
          <w:color w:val="000000" w:themeColor="text1"/>
          <w:szCs w:val="36"/>
          <w14:textFill>
            <w14:solidFill>
              <w14:schemeClr w14:val="tx1"/>
            </w14:solidFill>
          </w14:textFill>
        </w:rPr>
        <w:fldChar w:fldCharType="end"/>
      </w:r>
    </w:p>
    <w:p w14:paraId="7424F862">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_Toc6762 </w:instrText>
      </w:r>
      <w:r>
        <w:rPr>
          <w:rFonts w:ascii="宋体" w:hAnsi="宋体"/>
          <w:szCs w:val="36"/>
        </w:rPr>
        <w:fldChar w:fldCharType="separate"/>
      </w:r>
      <w:r>
        <w:rPr>
          <w:rFonts w:ascii="仿宋" w:hAnsi="仿宋" w:eastAsia="仿宋"/>
        </w:rPr>
        <w:t>6. 招标文件的澄清</w:t>
      </w:r>
      <w:r>
        <w:tab/>
      </w:r>
      <w:r>
        <w:fldChar w:fldCharType="begin"/>
      </w:r>
      <w:r>
        <w:instrText xml:space="preserve"> PAGEREF _Toc6762 \h </w:instrText>
      </w:r>
      <w:r>
        <w:fldChar w:fldCharType="separate"/>
      </w:r>
      <w:r>
        <w:t>9</w:t>
      </w:r>
      <w:r>
        <w:fldChar w:fldCharType="end"/>
      </w:r>
      <w:r>
        <w:rPr>
          <w:rFonts w:ascii="宋体" w:hAnsi="宋体"/>
          <w:color w:val="000000" w:themeColor="text1"/>
          <w:szCs w:val="36"/>
          <w14:textFill>
            <w14:solidFill>
              <w14:schemeClr w14:val="tx1"/>
            </w14:solidFill>
          </w14:textFill>
        </w:rPr>
        <w:fldChar w:fldCharType="end"/>
      </w:r>
    </w:p>
    <w:p w14:paraId="3DE419A8">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_Toc4727 </w:instrText>
      </w:r>
      <w:r>
        <w:rPr>
          <w:rFonts w:ascii="宋体" w:hAnsi="宋体"/>
          <w:szCs w:val="36"/>
        </w:rPr>
        <w:fldChar w:fldCharType="separate"/>
      </w:r>
      <w:r>
        <w:rPr>
          <w:rFonts w:ascii="仿宋" w:hAnsi="仿宋" w:eastAsia="仿宋"/>
        </w:rPr>
        <w:t xml:space="preserve">7. </w:t>
      </w:r>
      <w:r>
        <w:rPr>
          <w:rFonts w:hint="eastAsia" w:ascii="仿宋" w:hAnsi="仿宋" w:eastAsia="仿宋"/>
        </w:rPr>
        <w:t>招标文件的修改</w:t>
      </w:r>
      <w:r>
        <w:tab/>
      </w:r>
      <w:r>
        <w:fldChar w:fldCharType="begin"/>
      </w:r>
      <w:r>
        <w:instrText xml:space="preserve"> PAGEREF _Toc4727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451A4006">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_Toc13376 </w:instrText>
      </w:r>
      <w:r>
        <w:rPr>
          <w:rFonts w:ascii="宋体" w:hAnsi="宋体"/>
          <w:szCs w:val="36"/>
        </w:rPr>
        <w:fldChar w:fldCharType="separate"/>
      </w:r>
      <w:r>
        <w:rPr>
          <w:rFonts w:hint="eastAsia" w:ascii="仿宋" w:hAnsi="仿宋" w:eastAsia="仿宋"/>
        </w:rPr>
        <w:t>第三节  投标文件的编写</w:t>
      </w:r>
      <w:r>
        <w:tab/>
      </w:r>
      <w:r>
        <w:fldChar w:fldCharType="begin"/>
      </w:r>
      <w:r>
        <w:instrText xml:space="preserve"> PAGEREF _Toc13376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23C74A45">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_Toc21576 </w:instrText>
      </w:r>
      <w:r>
        <w:rPr>
          <w:rFonts w:ascii="宋体" w:hAnsi="宋体"/>
          <w:szCs w:val="36"/>
        </w:rPr>
        <w:fldChar w:fldCharType="separate"/>
      </w:r>
      <w:r>
        <w:rPr>
          <w:rFonts w:hint="eastAsia" w:ascii="仿宋" w:hAnsi="仿宋" w:eastAsia="仿宋"/>
        </w:rPr>
        <w:t>8</w:t>
      </w:r>
      <w:r>
        <w:rPr>
          <w:rFonts w:ascii="仿宋" w:hAnsi="仿宋" w:eastAsia="仿宋"/>
        </w:rPr>
        <w:t xml:space="preserve">. </w:t>
      </w:r>
      <w:r>
        <w:rPr>
          <w:rFonts w:hint="eastAsia" w:ascii="仿宋" w:hAnsi="仿宋" w:eastAsia="仿宋"/>
        </w:rPr>
        <w:t>要求</w:t>
      </w:r>
      <w:r>
        <w:tab/>
      </w:r>
      <w:r>
        <w:fldChar w:fldCharType="begin"/>
      </w:r>
      <w:r>
        <w:instrText xml:space="preserve"> PAGEREF _Toc21576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37354DF2">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_Toc14967 </w:instrText>
      </w:r>
      <w:r>
        <w:rPr>
          <w:rFonts w:ascii="宋体" w:hAnsi="宋体"/>
          <w:szCs w:val="36"/>
        </w:rPr>
        <w:fldChar w:fldCharType="separate"/>
      </w:r>
      <w:r>
        <w:rPr>
          <w:rFonts w:hint="eastAsia" w:ascii="仿宋" w:hAnsi="仿宋" w:eastAsia="仿宋"/>
        </w:rPr>
        <w:t>9</w:t>
      </w:r>
      <w:r>
        <w:rPr>
          <w:rFonts w:ascii="仿宋" w:hAnsi="仿宋" w:eastAsia="仿宋"/>
        </w:rPr>
        <w:t xml:space="preserve">. </w:t>
      </w:r>
      <w:r>
        <w:rPr>
          <w:rFonts w:hint="eastAsia" w:ascii="仿宋" w:hAnsi="仿宋" w:eastAsia="仿宋"/>
        </w:rPr>
        <w:t>投标文件语言</w:t>
      </w:r>
      <w:r>
        <w:tab/>
      </w:r>
      <w:r>
        <w:fldChar w:fldCharType="begin"/>
      </w:r>
      <w:r>
        <w:instrText xml:space="preserve"> PAGEREF _Toc14967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462A0B10">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_Toc29124 </w:instrText>
      </w:r>
      <w:r>
        <w:rPr>
          <w:rFonts w:ascii="宋体" w:hAnsi="宋体"/>
          <w:szCs w:val="36"/>
        </w:rPr>
        <w:fldChar w:fldCharType="separate"/>
      </w:r>
      <w:r>
        <w:rPr>
          <w:rFonts w:hint="eastAsia" w:ascii="仿宋" w:hAnsi="仿宋" w:eastAsia="仿宋"/>
        </w:rPr>
        <w:t>10</w:t>
      </w:r>
      <w:r>
        <w:rPr>
          <w:rFonts w:ascii="仿宋" w:hAnsi="仿宋" w:eastAsia="仿宋"/>
        </w:rPr>
        <w:t xml:space="preserve">. </w:t>
      </w:r>
      <w:r>
        <w:rPr>
          <w:rFonts w:hint="eastAsia" w:ascii="仿宋" w:hAnsi="仿宋" w:eastAsia="仿宋"/>
        </w:rPr>
        <w:t>投标文件的组成</w:t>
      </w:r>
      <w:r>
        <w:tab/>
      </w:r>
      <w:r>
        <w:fldChar w:fldCharType="begin"/>
      </w:r>
      <w:r>
        <w:instrText xml:space="preserve"> PAGEREF _Toc29124 \h </w:instrText>
      </w:r>
      <w:r>
        <w:fldChar w:fldCharType="separate"/>
      </w:r>
      <w:r>
        <w:t>10</w:t>
      </w:r>
      <w:r>
        <w:fldChar w:fldCharType="end"/>
      </w:r>
      <w:r>
        <w:rPr>
          <w:rFonts w:ascii="宋体" w:hAnsi="宋体"/>
          <w:color w:val="000000" w:themeColor="text1"/>
          <w:szCs w:val="36"/>
          <w14:textFill>
            <w14:solidFill>
              <w14:schemeClr w14:val="tx1"/>
            </w14:solidFill>
          </w14:textFill>
        </w:rPr>
        <w:fldChar w:fldCharType="end"/>
      </w:r>
    </w:p>
    <w:p w14:paraId="4021CCF6">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_Toc6207 </w:instrText>
      </w:r>
      <w:r>
        <w:rPr>
          <w:rFonts w:ascii="宋体" w:hAnsi="宋体"/>
          <w:szCs w:val="36"/>
        </w:rPr>
        <w:fldChar w:fldCharType="separate"/>
      </w:r>
      <w:r>
        <w:rPr>
          <w:rFonts w:hint="eastAsia" w:ascii="仿宋" w:hAnsi="仿宋" w:eastAsia="仿宋"/>
        </w:rPr>
        <w:t>11</w:t>
      </w:r>
      <w:r>
        <w:rPr>
          <w:rFonts w:ascii="仿宋" w:hAnsi="仿宋" w:eastAsia="仿宋"/>
        </w:rPr>
        <w:t xml:space="preserve">. </w:t>
      </w:r>
      <w:r>
        <w:rPr>
          <w:rFonts w:hint="eastAsia" w:ascii="仿宋" w:hAnsi="仿宋" w:eastAsia="仿宋"/>
        </w:rPr>
        <w:t>投标有效期</w:t>
      </w:r>
      <w:r>
        <w:tab/>
      </w:r>
      <w:r>
        <w:fldChar w:fldCharType="begin"/>
      </w:r>
      <w:r>
        <w:instrText xml:space="preserve"> PAGEREF _Toc6207 \h </w:instrText>
      </w:r>
      <w:r>
        <w:fldChar w:fldCharType="separate"/>
      </w:r>
      <w:r>
        <w:t>11</w:t>
      </w:r>
      <w:r>
        <w:fldChar w:fldCharType="end"/>
      </w:r>
      <w:r>
        <w:rPr>
          <w:rFonts w:ascii="宋体" w:hAnsi="宋体"/>
          <w:color w:val="000000" w:themeColor="text1"/>
          <w:szCs w:val="36"/>
          <w14:textFill>
            <w14:solidFill>
              <w14:schemeClr w14:val="tx1"/>
            </w14:solidFill>
          </w14:textFill>
        </w:rPr>
        <w:fldChar w:fldCharType="end"/>
      </w:r>
    </w:p>
    <w:p w14:paraId="446A28C0">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_Toc25046 </w:instrText>
      </w:r>
      <w:r>
        <w:rPr>
          <w:rFonts w:ascii="宋体" w:hAnsi="宋体"/>
          <w:szCs w:val="36"/>
        </w:rPr>
        <w:fldChar w:fldCharType="separate"/>
      </w:r>
      <w:r>
        <w:rPr>
          <w:rFonts w:hint="eastAsia" w:ascii="仿宋" w:hAnsi="仿宋" w:eastAsia="仿宋"/>
        </w:rPr>
        <w:t>12. 投标保证金</w:t>
      </w:r>
      <w:r>
        <w:tab/>
      </w:r>
      <w:r>
        <w:fldChar w:fldCharType="begin"/>
      </w:r>
      <w:r>
        <w:instrText xml:space="preserve"> PAGEREF _Toc25046 \h </w:instrText>
      </w:r>
      <w:r>
        <w:fldChar w:fldCharType="separate"/>
      </w:r>
      <w:r>
        <w:t>11</w:t>
      </w:r>
      <w:r>
        <w:fldChar w:fldCharType="end"/>
      </w:r>
      <w:r>
        <w:rPr>
          <w:rFonts w:ascii="宋体" w:hAnsi="宋体"/>
          <w:color w:val="000000" w:themeColor="text1"/>
          <w:szCs w:val="36"/>
          <w14:textFill>
            <w14:solidFill>
              <w14:schemeClr w14:val="tx1"/>
            </w14:solidFill>
          </w14:textFill>
        </w:rPr>
        <w:fldChar w:fldCharType="end"/>
      </w:r>
    </w:p>
    <w:p w14:paraId="3AAC0A7C">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_Toc10091 </w:instrText>
      </w:r>
      <w:r>
        <w:rPr>
          <w:rFonts w:ascii="宋体" w:hAnsi="宋体"/>
          <w:szCs w:val="36"/>
        </w:rPr>
        <w:fldChar w:fldCharType="separate"/>
      </w:r>
      <w:r>
        <w:rPr>
          <w:rFonts w:hint="eastAsia" w:ascii="仿宋" w:hAnsi="仿宋" w:eastAsia="仿宋"/>
        </w:rPr>
        <w:t>13</w:t>
      </w:r>
      <w:r>
        <w:rPr>
          <w:rFonts w:ascii="仿宋" w:hAnsi="仿宋" w:eastAsia="仿宋"/>
        </w:rPr>
        <w:t xml:space="preserve">. </w:t>
      </w:r>
      <w:r>
        <w:rPr>
          <w:rFonts w:hint="eastAsia" w:ascii="仿宋" w:hAnsi="仿宋" w:eastAsia="仿宋"/>
        </w:rPr>
        <w:t>投标文件的格式</w:t>
      </w:r>
      <w:r>
        <w:tab/>
      </w:r>
      <w:r>
        <w:fldChar w:fldCharType="begin"/>
      </w:r>
      <w:r>
        <w:instrText xml:space="preserve"> PAGEREF _Toc10091 \h </w:instrText>
      </w:r>
      <w:r>
        <w:fldChar w:fldCharType="separate"/>
      </w:r>
      <w:r>
        <w:t>12</w:t>
      </w:r>
      <w:r>
        <w:fldChar w:fldCharType="end"/>
      </w:r>
      <w:r>
        <w:rPr>
          <w:rFonts w:ascii="宋体" w:hAnsi="宋体"/>
          <w:color w:val="000000" w:themeColor="text1"/>
          <w:szCs w:val="36"/>
          <w14:textFill>
            <w14:solidFill>
              <w14:schemeClr w14:val="tx1"/>
            </w14:solidFill>
          </w14:textFill>
        </w:rPr>
        <w:fldChar w:fldCharType="end"/>
      </w:r>
    </w:p>
    <w:p w14:paraId="46343924">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_Toc9039 </w:instrText>
      </w:r>
      <w:r>
        <w:rPr>
          <w:rFonts w:ascii="宋体" w:hAnsi="宋体"/>
          <w:szCs w:val="36"/>
        </w:rPr>
        <w:fldChar w:fldCharType="separate"/>
      </w:r>
      <w:r>
        <w:rPr>
          <w:rFonts w:hint="eastAsia" w:ascii="仿宋" w:hAnsi="仿宋" w:eastAsia="仿宋"/>
        </w:rPr>
        <w:t>第四节  投标文件的提交</w:t>
      </w:r>
      <w:r>
        <w:tab/>
      </w:r>
      <w:r>
        <w:fldChar w:fldCharType="begin"/>
      </w:r>
      <w:r>
        <w:instrText xml:space="preserve"> PAGEREF _Toc9039 \h </w:instrText>
      </w:r>
      <w:r>
        <w:fldChar w:fldCharType="separate"/>
      </w:r>
      <w:r>
        <w:t>13</w:t>
      </w:r>
      <w:r>
        <w:fldChar w:fldCharType="end"/>
      </w:r>
      <w:r>
        <w:rPr>
          <w:rFonts w:ascii="宋体" w:hAnsi="宋体"/>
          <w:color w:val="000000" w:themeColor="text1"/>
          <w:szCs w:val="36"/>
          <w14:textFill>
            <w14:solidFill>
              <w14:schemeClr w14:val="tx1"/>
            </w14:solidFill>
          </w14:textFill>
        </w:rPr>
        <w:fldChar w:fldCharType="end"/>
      </w:r>
    </w:p>
    <w:p w14:paraId="7F9C5E79">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_Toc28326 </w:instrText>
      </w:r>
      <w:r>
        <w:rPr>
          <w:rFonts w:ascii="宋体" w:hAnsi="宋体"/>
          <w:szCs w:val="36"/>
        </w:rPr>
        <w:fldChar w:fldCharType="separate"/>
      </w:r>
      <w:r>
        <w:rPr>
          <w:rFonts w:hint="eastAsia" w:ascii="仿宋" w:hAnsi="仿宋" w:eastAsia="仿宋"/>
        </w:rPr>
        <w:t>14. 投标文件的密封、标记和递交</w:t>
      </w:r>
      <w:r>
        <w:tab/>
      </w:r>
      <w:r>
        <w:fldChar w:fldCharType="begin"/>
      </w:r>
      <w:r>
        <w:instrText xml:space="preserve"> PAGEREF _Toc28326 \h </w:instrText>
      </w:r>
      <w:r>
        <w:fldChar w:fldCharType="separate"/>
      </w:r>
      <w:r>
        <w:t>13</w:t>
      </w:r>
      <w:r>
        <w:fldChar w:fldCharType="end"/>
      </w:r>
      <w:r>
        <w:rPr>
          <w:rFonts w:ascii="宋体" w:hAnsi="宋体"/>
          <w:color w:val="000000" w:themeColor="text1"/>
          <w:szCs w:val="36"/>
          <w14:textFill>
            <w14:solidFill>
              <w14:schemeClr w14:val="tx1"/>
            </w14:solidFill>
          </w14:textFill>
        </w:rPr>
        <w:fldChar w:fldCharType="end"/>
      </w:r>
    </w:p>
    <w:p w14:paraId="15E8E0FD">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_Toc8394 </w:instrText>
      </w:r>
      <w:r>
        <w:rPr>
          <w:rFonts w:ascii="宋体" w:hAnsi="宋体"/>
          <w:szCs w:val="36"/>
        </w:rPr>
        <w:fldChar w:fldCharType="separate"/>
      </w:r>
      <w:r>
        <w:rPr>
          <w:rFonts w:hint="eastAsia" w:ascii="仿宋" w:hAnsi="仿宋" w:eastAsia="仿宋"/>
        </w:rPr>
        <w:t>第五节  投标文件的评估和比较</w:t>
      </w:r>
      <w:r>
        <w:tab/>
      </w:r>
      <w:r>
        <w:fldChar w:fldCharType="begin"/>
      </w:r>
      <w:r>
        <w:instrText xml:space="preserve"> PAGEREF _Toc8394 \h </w:instrText>
      </w:r>
      <w:r>
        <w:fldChar w:fldCharType="separate"/>
      </w:r>
      <w:r>
        <w:t>14</w:t>
      </w:r>
      <w:r>
        <w:fldChar w:fldCharType="end"/>
      </w:r>
      <w:r>
        <w:rPr>
          <w:rFonts w:ascii="宋体" w:hAnsi="宋体"/>
          <w:color w:val="000000" w:themeColor="text1"/>
          <w:szCs w:val="36"/>
          <w14:textFill>
            <w14:solidFill>
              <w14:schemeClr w14:val="tx1"/>
            </w14:solidFill>
          </w14:textFill>
        </w:rPr>
        <w:fldChar w:fldCharType="end"/>
      </w:r>
    </w:p>
    <w:p w14:paraId="7F0ED916">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_Toc6741 </w:instrText>
      </w:r>
      <w:r>
        <w:rPr>
          <w:rFonts w:ascii="宋体" w:hAnsi="宋体"/>
          <w:szCs w:val="36"/>
        </w:rPr>
        <w:fldChar w:fldCharType="separate"/>
      </w:r>
      <w:r>
        <w:rPr>
          <w:rFonts w:hint="eastAsia" w:ascii="仿宋" w:hAnsi="仿宋" w:eastAsia="仿宋"/>
        </w:rPr>
        <w:t>15．开标、评标时间</w:t>
      </w:r>
      <w:r>
        <w:tab/>
      </w:r>
      <w:r>
        <w:fldChar w:fldCharType="begin"/>
      </w:r>
      <w:r>
        <w:instrText xml:space="preserve"> PAGEREF _Toc6741 \h </w:instrText>
      </w:r>
      <w:r>
        <w:fldChar w:fldCharType="separate"/>
      </w:r>
      <w:r>
        <w:t>14</w:t>
      </w:r>
      <w:r>
        <w:fldChar w:fldCharType="end"/>
      </w:r>
      <w:r>
        <w:rPr>
          <w:rFonts w:ascii="宋体" w:hAnsi="宋体"/>
          <w:color w:val="000000" w:themeColor="text1"/>
          <w:szCs w:val="36"/>
          <w14:textFill>
            <w14:solidFill>
              <w14:schemeClr w14:val="tx1"/>
            </w14:solidFill>
          </w14:textFill>
        </w:rPr>
        <w:fldChar w:fldCharType="end"/>
      </w:r>
    </w:p>
    <w:p w14:paraId="32C87203">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_Toc22654 </w:instrText>
      </w:r>
      <w:r>
        <w:rPr>
          <w:rFonts w:ascii="宋体" w:hAnsi="宋体"/>
          <w:szCs w:val="36"/>
        </w:rPr>
        <w:fldChar w:fldCharType="separate"/>
      </w:r>
      <w:r>
        <w:rPr>
          <w:rFonts w:hint="eastAsia" w:ascii="仿宋" w:hAnsi="仿宋" w:eastAsia="仿宋"/>
        </w:rPr>
        <w:t>16．评标委员会</w:t>
      </w:r>
      <w:r>
        <w:tab/>
      </w:r>
      <w:r>
        <w:fldChar w:fldCharType="begin"/>
      </w:r>
      <w:r>
        <w:instrText xml:space="preserve"> PAGEREF _Toc22654 \h </w:instrText>
      </w:r>
      <w:r>
        <w:fldChar w:fldCharType="separate"/>
      </w:r>
      <w:r>
        <w:t>14</w:t>
      </w:r>
      <w:r>
        <w:fldChar w:fldCharType="end"/>
      </w:r>
      <w:r>
        <w:rPr>
          <w:rFonts w:ascii="宋体" w:hAnsi="宋体"/>
          <w:color w:val="000000" w:themeColor="text1"/>
          <w:szCs w:val="36"/>
          <w14:textFill>
            <w14:solidFill>
              <w14:schemeClr w14:val="tx1"/>
            </w14:solidFill>
          </w14:textFill>
        </w:rPr>
        <w:fldChar w:fldCharType="end"/>
      </w:r>
    </w:p>
    <w:p w14:paraId="31C8C973">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_Toc19857 </w:instrText>
      </w:r>
      <w:r>
        <w:rPr>
          <w:rFonts w:ascii="宋体" w:hAnsi="宋体"/>
          <w:szCs w:val="36"/>
        </w:rPr>
        <w:fldChar w:fldCharType="separate"/>
      </w:r>
      <w:r>
        <w:rPr>
          <w:rFonts w:hint="eastAsia" w:ascii="仿宋" w:hAnsi="仿宋" w:eastAsia="仿宋"/>
        </w:rPr>
        <w:t>17</w:t>
      </w:r>
      <w:r>
        <w:rPr>
          <w:rFonts w:ascii="仿宋" w:hAnsi="仿宋" w:eastAsia="仿宋"/>
        </w:rPr>
        <w:t xml:space="preserve">. </w:t>
      </w:r>
      <w:r>
        <w:rPr>
          <w:rFonts w:hint="eastAsia" w:ascii="仿宋" w:hAnsi="仿宋" w:eastAsia="仿宋"/>
        </w:rPr>
        <w:t>投标文件的初审</w:t>
      </w:r>
      <w:r>
        <w:tab/>
      </w:r>
      <w:r>
        <w:fldChar w:fldCharType="begin"/>
      </w:r>
      <w:r>
        <w:instrText xml:space="preserve"> PAGEREF _Toc19857 \h </w:instrText>
      </w:r>
      <w:r>
        <w:fldChar w:fldCharType="separate"/>
      </w:r>
      <w:r>
        <w:t>14</w:t>
      </w:r>
      <w:r>
        <w:fldChar w:fldCharType="end"/>
      </w:r>
      <w:r>
        <w:rPr>
          <w:rFonts w:ascii="宋体" w:hAnsi="宋体"/>
          <w:color w:val="000000" w:themeColor="text1"/>
          <w:szCs w:val="36"/>
          <w14:textFill>
            <w14:solidFill>
              <w14:schemeClr w14:val="tx1"/>
            </w14:solidFill>
          </w14:textFill>
        </w:rPr>
        <w:fldChar w:fldCharType="end"/>
      </w:r>
    </w:p>
    <w:p w14:paraId="20171ED0">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_Toc4061 </w:instrText>
      </w:r>
      <w:r>
        <w:rPr>
          <w:rFonts w:ascii="宋体" w:hAnsi="宋体"/>
          <w:szCs w:val="36"/>
        </w:rPr>
        <w:fldChar w:fldCharType="separate"/>
      </w:r>
      <w:r>
        <w:rPr>
          <w:rFonts w:hint="eastAsia" w:ascii="仿宋" w:hAnsi="仿宋" w:eastAsia="仿宋"/>
        </w:rPr>
        <w:t>18.</w:t>
      </w:r>
      <w:r>
        <w:rPr>
          <w:rFonts w:hint="eastAsia" w:ascii="仿宋" w:hAnsi="仿宋" w:eastAsia="仿宋"/>
          <w:lang w:val="en-US" w:eastAsia="zh-CN"/>
        </w:rPr>
        <w:t xml:space="preserve"> </w:t>
      </w:r>
      <w:r>
        <w:rPr>
          <w:rFonts w:hint="eastAsia" w:ascii="仿宋" w:hAnsi="仿宋" w:eastAsia="仿宋"/>
        </w:rPr>
        <w:t>评标办法</w:t>
      </w:r>
      <w:r>
        <w:tab/>
      </w:r>
      <w:r>
        <w:fldChar w:fldCharType="begin"/>
      </w:r>
      <w:r>
        <w:instrText xml:space="preserve"> PAGEREF _Toc4061 \h </w:instrText>
      </w:r>
      <w:r>
        <w:fldChar w:fldCharType="separate"/>
      </w:r>
      <w:r>
        <w:t>17</w:t>
      </w:r>
      <w:r>
        <w:fldChar w:fldCharType="end"/>
      </w:r>
      <w:r>
        <w:rPr>
          <w:rFonts w:ascii="宋体" w:hAnsi="宋体"/>
          <w:color w:val="000000" w:themeColor="text1"/>
          <w:szCs w:val="36"/>
          <w14:textFill>
            <w14:solidFill>
              <w14:schemeClr w14:val="tx1"/>
            </w14:solidFill>
          </w14:textFill>
        </w:rPr>
        <w:fldChar w:fldCharType="end"/>
      </w:r>
    </w:p>
    <w:p w14:paraId="12A68D38">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_Toc5082 </w:instrText>
      </w:r>
      <w:r>
        <w:rPr>
          <w:rFonts w:ascii="宋体" w:hAnsi="宋体"/>
          <w:szCs w:val="36"/>
        </w:rPr>
        <w:fldChar w:fldCharType="separate"/>
      </w:r>
      <w:r>
        <w:rPr>
          <w:rFonts w:hint="eastAsia" w:ascii="仿宋" w:hAnsi="仿宋" w:eastAsia="仿宋"/>
        </w:rPr>
        <w:t>19. 投标文件的澄清</w:t>
      </w:r>
      <w:r>
        <w:tab/>
      </w:r>
      <w:r>
        <w:fldChar w:fldCharType="begin"/>
      </w:r>
      <w:r>
        <w:instrText xml:space="preserve"> PAGEREF _Toc5082 \h </w:instrText>
      </w:r>
      <w:r>
        <w:fldChar w:fldCharType="separate"/>
      </w:r>
      <w:r>
        <w:t>22</w:t>
      </w:r>
      <w:r>
        <w:fldChar w:fldCharType="end"/>
      </w:r>
      <w:r>
        <w:rPr>
          <w:rFonts w:ascii="宋体" w:hAnsi="宋体"/>
          <w:color w:val="000000" w:themeColor="text1"/>
          <w:szCs w:val="36"/>
          <w14:textFill>
            <w14:solidFill>
              <w14:schemeClr w14:val="tx1"/>
            </w14:solidFill>
          </w14:textFill>
        </w:rPr>
        <w:fldChar w:fldCharType="end"/>
      </w:r>
    </w:p>
    <w:p w14:paraId="43826623">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_Toc22770 </w:instrText>
      </w:r>
      <w:r>
        <w:rPr>
          <w:rFonts w:ascii="宋体" w:hAnsi="宋体"/>
          <w:szCs w:val="36"/>
        </w:rPr>
        <w:fldChar w:fldCharType="separate"/>
      </w:r>
      <w:r>
        <w:rPr>
          <w:rFonts w:hint="eastAsia" w:ascii="仿宋" w:hAnsi="仿宋" w:eastAsia="仿宋"/>
        </w:rPr>
        <w:t>20. 比较与评价</w:t>
      </w:r>
      <w:r>
        <w:tab/>
      </w:r>
      <w:r>
        <w:fldChar w:fldCharType="begin"/>
      </w:r>
      <w:r>
        <w:instrText xml:space="preserve"> PAGEREF _Toc22770 \h </w:instrText>
      </w:r>
      <w:r>
        <w:fldChar w:fldCharType="separate"/>
      </w:r>
      <w:r>
        <w:t>22</w:t>
      </w:r>
      <w:r>
        <w:fldChar w:fldCharType="end"/>
      </w:r>
      <w:r>
        <w:rPr>
          <w:rFonts w:ascii="宋体" w:hAnsi="宋体"/>
          <w:color w:val="000000" w:themeColor="text1"/>
          <w:szCs w:val="36"/>
          <w14:textFill>
            <w14:solidFill>
              <w14:schemeClr w14:val="tx1"/>
            </w14:solidFill>
          </w14:textFill>
        </w:rPr>
        <w:fldChar w:fldCharType="end"/>
      </w:r>
    </w:p>
    <w:p w14:paraId="5B446670">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_Toc16752 </w:instrText>
      </w:r>
      <w:r>
        <w:rPr>
          <w:rFonts w:ascii="宋体" w:hAnsi="宋体"/>
          <w:szCs w:val="36"/>
        </w:rPr>
        <w:fldChar w:fldCharType="separate"/>
      </w:r>
      <w:r>
        <w:rPr>
          <w:rFonts w:hint="eastAsia" w:ascii="仿宋" w:hAnsi="仿宋" w:eastAsia="仿宋"/>
        </w:rPr>
        <w:t>第六节 定标与签订合同</w:t>
      </w:r>
      <w:r>
        <w:tab/>
      </w:r>
      <w:r>
        <w:fldChar w:fldCharType="begin"/>
      </w:r>
      <w:r>
        <w:instrText xml:space="preserve"> PAGEREF _Toc16752 \h </w:instrText>
      </w:r>
      <w:r>
        <w:fldChar w:fldCharType="separate"/>
      </w:r>
      <w:r>
        <w:t>23</w:t>
      </w:r>
      <w:r>
        <w:fldChar w:fldCharType="end"/>
      </w:r>
      <w:r>
        <w:rPr>
          <w:rFonts w:ascii="宋体" w:hAnsi="宋体"/>
          <w:color w:val="000000" w:themeColor="text1"/>
          <w:szCs w:val="36"/>
          <w14:textFill>
            <w14:solidFill>
              <w14:schemeClr w14:val="tx1"/>
            </w14:solidFill>
          </w14:textFill>
        </w:rPr>
        <w:fldChar w:fldCharType="end"/>
      </w:r>
    </w:p>
    <w:p w14:paraId="6188CC78">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_Toc8150 </w:instrText>
      </w:r>
      <w:r>
        <w:rPr>
          <w:rFonts w:ascii="宋体" w:hAnsi="宋体"/>
          <w:szCs w:val="36"/>
        </w:rPr>
        <w:fldChar w:fldCharType="separate"/>
      </w:r>
      <w:r>
        <w:rPr>
          <w:rFonts w:hint="eastAsia" w:ascii="仿宋" w:hAnsi="仿宋" w:eastAsia="仿宋"/>
        </w:rPr>
        <w:t>21</w:t>
      </w:r>
      <w:r>
        <w:rPr>
          <w:rFonts w:ascii="仿宋" w:hAnsi="仿宋" w:eastAsia="仿宋"/>
        </w:rPr>
        <w:t>.</w:t>
      </w:r>
      <w:r>
        <w:rPr>
          <w:rFonts w:hint="eastAsia" w:ascii="仿宋" w:hAnsi="仿宋" w:eastAsia="仿宋"/>
        </w:rPr>
        <w:t xml:space="preserve"> 定标准则</w:t>
      </w:r>
      <w:r>
        <w:tab/>
      </w:r>
      <w:r>
        <w:fldChar w:fldCharType="begin"/>
      </w:r>
      <w:r>
        <w:instrText xml:space="preserve"> PAGEREF _Toc8150 \h </w:instrText>
      </w:r>
      <w:r>
        <w:fldChar w:fldCharType="separate"/>
      </w:r>
      <w:r>
        <w:t>23</w:t>
      </w:r>
      <w:r>
        <w:fldChar w:fldCharType="end"/>
      </w:r>
      <w:r>
        <w:rPr>
          <w:rFonts w:ascii="宋体" w:hAnsi="宋体"/>
          <w:color w:val="000000" w:themeColor="text1"/>
          <w:szCs w:val="36"/>
          <w14:textFill>
            <w14:solidFill>
              <w14:schemeClr w14:val="tx1"/>
            </w14:solidFill>
          </w14:textFill>
        </w:rPr>
        <w:fldChar w:fldCharType="end"/>
      </w:r>
    </w:p>
    <w:p w14:paraId="0413CF41">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_Toc16250 </w:instrText>
      </w:r>
      <w:r>
        <w:rPr>
          <w:rFonts w:ascii="宋体" w:hAnsi="宋体"/>
          <w:szCs w:val="36"/>
        </w:rPr>
        <w:fldChar w:fldCharType="separate"/>
      </w:r>
      <w:r>
        <w:rPr>
          <w:rFonts w:hint="eastAsia" w:ascii="仿宋" w:hAnsi="仿宋" w:eastAsia="仿宋"/>
        </w:rPr>
        <w:t>22</w:t>
      </w:r>
      <w:r>
        <w:rPr>
          <w:rFonts w:ascii="仿宋" w:hAnsi="仿宋" w:eastAsia="仿宋"/>
        </w:rPr>
        <w:t xml:space="preserve">. </w:t>
      </w:r>
      <w:r>
        <w:rPr>
          <w:rFonts w:hint="eastAsia" w:ascii="仿宋" w:hAnsi="仿宋" w:eastAsia="仿宋"/>
        </w:rPr>
        <w:t>中标通知</w:t>
      </w:r>
      <w:r>
        <w:tab/>
      </w:r>
      <w:r>
        <w:fldChar w:fldCharType="begin"/>
      </w:r>
      <w:r>
        <w:instrText xml:space="preserve"> PAGEREF _Toc16250 \h </w:instrText>
      </w:r>
      <w:r>
        <w:fldChar w:fldCharType="separate"/>
      </w:r>
      <w:r>
        <w:t>23</w:t>
      </w:r>
      <w:r>
        <w:fldChar w:fldCharType="end"/>
      </w:r>
      <w:r>
        <w:rPr>
          <w:rFonts w:ascii="宋体" w:hAnsi="宋体"/>
          <w:color w:val="000000" w:themeColor="text1"/>
          <w:szCs w:val="36"/>
          <w14:textFill>
            <w14:solidFill>
              <w14:schemeClr w14:val="tx1"/>
            </w14:solidFill>
          </w14:textFill>
        </w:rPr>
        <w:fldChar w:fldCharType="end"/>
      </w:r>
    </w:p>
    <w:p w14:paraId="6DE21E61">
      <w:pPr>
        <w:pStyle w:val="8"/>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_Toc26810 </w:instrText>
      </w:r>
      <w:r>
        <w:rPr>
          <w:rFonts w:ascii="宋体" w:hAnsi="宋体"/>
          <w:szCs w:val="36"/>
        </w:rPr>
        <w:fldChar w:fldCharType="separate"/>
      </w:r>
      <w:r>
        <w:rPr>
          <w:rFonts w:hint="eastAsia" w:ascii="仿宋" w:hAnsi="仿宋" w:eastAsia="仿宋"/>
        </w:rPr>
        <w:t>23. 签订合同</w:t>
      </w:r>
      <w:r>
        <w:tab/>
      </w:r>
      <w:r>
        <w:fldChar w:fldCharType="begin"/>
      </w:r>
      <w:r>
        <w:instrText xml:space="preserve"> PAGEREF _Toc26810 \h </w:instrText>
      </w:r>
      <w:r>
        <w:fldChar w:fldCharType="separate"/>
      </w:r>
      <w:r>
        <w:t>23</w:t>
      </w:r>
      <w:r>
        <w:fldChar w:fldCharType="end"/>
      </w:r>
      <w:r>
        <w:rPr>
          <w:rFonts w:ascii="宋体" w:hAnsi="宋体"/>
          <w:color w:val="000000" w:themeColor="text1"/>
          <w:szCs w:val="36"/>
          <w14:textFill>
            <w14:solidFill>
              <w14:schemeClr w14:val="tx1"/>
            </w14:solidFill>
          </w14:textFill>
        </w:rPr>
        <w:fldChar w:fldCharType="end"/>
      </w:r>
    </w:p>
    <w:p w14:paraId="5A0E7F29">
      <w:pPr>
        <w:pStyle w:val="13"/>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_Toc27236 </w:instrText>
      </w:r>
      <w:r>
        <w:rPr>
          <w:rFonts w:ascii="宋体" w:hAnsi="宋体"/>
          <w:szCs w:val="36"/>
        </w:rPr>
        <w:fldChar w:fldCharType="separate"/>
      </w:r>
      <w:r>
        <w:rPr>
          <w:rFonts w:hint="eastAsia" w:ascii="仿宋" w:hAnsi="仿宋" w:eastAsia="仿宋"/>
          <w:szCs w:val="32"/>
        </w:rPr>
        <w:t>第三章　招标内容及要求</w:t>
      </w:r>
      <w:r>
        <w:tab/>
      </w:r>
      <w:r>
        <w:fldChar w:fldCharType="begin"/>
      </w:r>
      <w:r>
        <w:instrText xml:space="preserve"> PAGEREF _Toc27236 \h </w:instrText>
      </w:r>
      <w:r>
        <w:fldChar w:fldCharType="separate"/>
      </w:r>
      <w:r>
        <w:t>25</w:t>
      </w:r>
      <w:r>
        <w:fldChar w:fldCharType="end"/>
      </w:r>
      <w:r>
        <w:rPr>
          <w:rFonts w:ascii="宋体" w:hAnsi="宋体"/>
          <w:color w:val="000000" w:themeColor="text1"/>
          <w:szCs w:val="36"/>
          <w14:textFill>
            <w14:solidFill>
              <w14:schemeClr w14:val="tx1"/>
            </w14:solidFill>
          </w14:textFill>
        </w:rPr>
        <w:fldChar w:fldCharType="end"/>
      </w:r>
    </w:p>
    <w:p w14:paraId="0DAB8D7C">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_Toc27480 </w:instrText>
      </w:r>
      <w:r>
        <w:rPr>
          <w:rFonts w:ascii="宋体" w:hAnsi="宋体"/>
          <w:szCs w:val="36"/>
        </w:rPr>
        <w:fldChar w:fldCharType="separate"/>
      </w:r>
      <w:r>
        <w:rPr>
          <w:rFonts w:hint="eastAsia" w:ascii="仿宋" w:hAnsi="仿宋" w:eastAsia="仿宋"/>
        </w:rPr>
        <w:t>第一节 项目需求</w:t>
      </w:r>
      <w:r>
        <w:tab/>
      </w:r>
      <w:r>
        <w:fldChar w:fldCharType="begin"/>
      </w:r>
      <w:r>
        <w:instrText xml:space="preserve"> PAGEREF _Toc27480 \h </w:instrText>
      </w:r>
      <w:r>
        <w:fldChar w:fldCharType="separate"/>
      </w:r>
      <w:r>
        <w:t>25</w:t>
      </w:r>
      <w:r>
        <w:fldChar w:fldCharType="end"/>
      </w:r>
      <w:r>
        <w:rPr>
          <w:rFonts w:ascii="宋体" w:hAnsi="宋体"/>
          <w:color w:val="000000" w:themeColor="text1"/>
          <w:szCs w:val="36"/>
          <w14:textFill>
            <w14:solidFill>
              <w14:schemeClr w14:val="tx1"/>
            </w14:solidFill>
          </w14:textFill>
        </w:rPr>
        <w:fldChar w:fldCharType="end"/>
      </w:r>
    </w:p>
    <w:p w14:paraId="1F299ECF">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_Toc7189 </w:instrText>
      </w:r>
      <w:r>
        <w:rPr>
          <w:rFonts w:ascii="宋体" w:hAnsi="宋体"/>
          <w:szCs w:val="36"/>
        </w:rPr>
        <w:fldChar w:fldCharType="separate"/>
      </w:r>
      <w:r>
        <w:rPr>
          <w:rFonts w:hint="eastAsia" w:ascii="仿宋" w:hAnsi="仿宋" w:eastAsia="仿宋"/>
        </w:rPr>
        <w:t>第二节 商务技术响应要求</w:t>
      </w:r>
      <w:r>
        <w:tab/>
      </w:r>
      <w:r>
        <w:fldChar w:fldCharType="begin"/>
      </w:r>
      <w:r>
        <w:instrText xml:space="preserve"> PAGEREF _Toc7189 \h </w:instrText>
      </w:r>
      <w:r>
        <w:fldChar w:fldCharType="separate"/>
      </w:r>
      <w:r>
        <w:t>28</w:t>
      </w:r>
      <w:r>
        <w:fldChar w:fldCharType="end"/>
      </w:r>
      <w:r>
        <w:rPr>
          <w:rFonts w:ascii="宋体" w:hAnsi="宋体"/>
          <w:color w:val="000000" w:themeColor="text1"/>
          <w:szCs w:val="36"/>
          <w14:textFill>
            <w14:solidFill>
              <w14:schemeClr w14:val="tx1"/>
            </w14:solidFill>
          </w14:textFill>
        </w:rPr>
        <w:fldChar w:fldCharType="end"/>
      </w:r>
    </w:p>
    <w:p w14:paraId="44754A0D">
      <w:pPr>
        <w:pStyle w:val="14"/>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_Toc24262 </w:instrText>
      </w:r>
      <w:r>
        <w:rPr>
          <w:rFonts w:ascii="宋体" w:hAnsi="宋体"/>
          <w:szCs w:val="36"/>
        </w:rPr>
        <w:fldChar w:fldCharType="separate"/>
      </w:r>
      <w:r>
        <w:rPr>
          <w:rFonts w:hint="eastAsia" w:ascii="仿宋" w:hAnsi="仿宋" w:eastAsia="仿宋"/>
        </w:rPr>
        <w:t>第三节 报价要求</w:t>
      </w:r>
      <w:r>
        <w:tab/>
      </w:r>
      <w:r>
        <w:fldChar w:fldCharType="begin"/>
      </w:r>
      <w:r>
        <w:instrText xml:space="preserve"> PAGEREF _Toc24262 \h </w:instrText>
      </w:r>
      <w:r>
        <w:fldChar w:fldCharType="separate"/>
      </w:r>
      <w:r>
        <w:t>29</w:t>
      </w:r>
      <w:r>
        <w:fldChar w:fldCharType="end"/>
      </w:r>
      <w:r>
        <w:rPr>
          <w:rFonts w:ascii="宋体" w:hAnsi="宋体"/>
          <w:color w:val="000000" w:themeColor="text1"/>
          <w:szCs w:val="36"/>
          <w14:textFill>
            <w14:solidFill>
              <w14:schemeClr w14:val="tx1"/>
            </w14:solidFill>
          </w14:textFill>
        </w:rPr>
        <w:fldChar w:fldCharType="end"/>
      </w:r>
    </w:p>
    <w:p w14:paraId="22AE7E87">
      <w:pPr>
        <w:pStyle w:val="13"/>
        <w:tabs>
          <w:tab w:val="right" w:leader="dot" w:pos="9071"/>
        </w:tabs>
      </w:pPr>
      <w:r>
        <w:rPr>
          <w:rFonts w:ascii="宋体" w:hAnsi="宋体"/>
          <w:color w:val="000000" w:themeColor="text1"/>
          <w:szCs w:val="36"/>
          <w14:textFill>
            <w14:solidFill>
              <w14:schemeClr w14:val="tx1"/>
            </w14:solidFill>
          </w14:textFill>
        </w:rPr>
        <w:fldChar w:fldCharType="begin"/>
      </w:r>
      <w:r>
        <w:rPr>
          <w:rFonts w:ascii="宋体" w:hAnsi="宋体"/>
          <w:szCs w:val="36"/>
        </w:rPr>
        <w:instrText xml:space="preserve"> HYPERLINK \l _Toc2284 </w:instrText>
      </w:r>
      <w:r>
        <w:rPr>
          <w:rFonts w:ascii="宋体" w:hAnsi="宋体"/>
          <w:szCs w:val="36"/>
        </w:rPr>
        <w:fldChar w:fldCharType="separate"/>
      </w:r>
      <w:r>
        <w:rPr>
          <w:rFonts w:hint="eastAsia" w:ascii="仿宋" w:hAnsi="仿宋" w:eastAsia="仿宋"/>
          <w:szCs w:val="32"/>
        </w:rPr>
        <w:t>第四章</w:t>
      </w:r>
      <w:r>
        <w:rPr>
          <w:rFonts w:ascii="仿宋" w:hAnsi="仿宋" w:eastAsia="仿宋"/>
          <w:szCs w:val="32"/>
        </w:rPr>
        <w:t xml:space="preserve">  </w:t>
      </w:r>
      <w:r>
        <w:rPr>
          <w:rFonts w:hint="eastAsia" w:ascii="仿宋" w:hAnsi="仿宋" w:eastAsia="仿宋"/>
          <w:szCs w:val="32"/>
        </w:rPr>
        <w:t>投标文件格式</w:t>
      </w:r>
      <w:r>
        <w:tab/>
      </w:r>
      <w:r>
        <w:fldChar w:fldCharType="begin"/>
      </w:r>
      <w:r>
        <w:instrText xml:space="preserve"> PAGEREF _Toc2284 \h </w:instrText>
      </w:r>
      <w:r>
        <w:fldChar w:fldCharType="separate"/>
      </w:r>
      <w:r>
        <w:t>30</w:t>
      </w:r>
      <w:r>
        <w:fldChar w:fldCharType="end"/>
      </w:r>
      <w:r>
        <w:rPr>
          <w:rFonts w:ascii="宋体" w:hAnsi="宋体"/>
          <w:color w:val="000000" w:themeColor="text1"/>
          <w:szCs w:val="36"/>
          <w14:textFill>
            <w14:solidFill>
              <w14:schemeClr w14:val="tx1"/>
            </w14:solidFill>
          </w14:textFill>
        </w:rPr>
        <w:fldChar w:fldCharType="end"/>
      </w:r>
    </w:p>
    <w:p w14:paraId="7CFA2916">
      <w:pPr>
        <w:pStyle w:val="13"/>
        <w:tabs>
          <w:tab w:val="right" w:leader="dot" w:pos="9061"/>
        </w:tabs>
        <w:spacing w:before="0" w:after="0" w:line="400" w:lineRule="exact"/>
        <w:rPr>
          <w:rFonts w:ascii="宋体" w:hAnsi="宋体"/>
          <w:color w:val="000000" w:themeColor="text1"/>
          <w:sz w:val="44"/>
          <w14:textFill>
            <w14:solidFill>
              <w14:schemeClr w14:val="tx1"/>
            </w14:solidFill>
          </w14:textFill>
        </w:rPr>
      </w:pPr>
      <w:r>
        <w:rPr>
          <w:rFonts w:ascii="宋体" w:hAnsi="宋体"/>
          <w:color w:val="000000" w:themeColor="text1"/>
          <w:sz w:val="28"/>
          <w:szCs w:val="36"/>
          <w14:textFill>
            <w14:solidFill>
              <w14:schemeClr w14:val="tx1"/>
            </w14:solidFill>
          </w14:textFill>
        </w:rPr>
        <w:fldChar w:fldCharType="end"/>
      </w:r>
      <w:bookmarkStart w:id="8" w:name="_Toc51489303"/>
    </w:p>
    <w:p w14:paraId="1325D72E">
      <w:pPr>
        <w:rPr>
          <w:color w:val="000000" w:themeColor="text1"/>
          <w:sz w:val="48"/>
          <w:szCs w:val="48"/>
          <w14:textFill>
            <w14:solidFill>
              <w14:schemeClr w14:val="tx1"/>
            </w14:solidFill>
          </w14:textFill>
        </w:rPr>
      </w:pPr>
    </w:p>
    <w:p w14:paraId="2AD03435">
      <w:pPr>
        <w:pStyle w:val="2"/>
        <w:keepNext w:val="0"/>
        <w:keepLines w:val="0"/>
        <w:spacing w:beforeLines="50" w:afterLines="100" w:line="580" w:lineRule="exact"/>
        <w:jc w:val="center"/>
        <w:rPr>
          <w:color w:val="000000" w:themeColor="text1"/>
          <w:szCs w:val="32"/>
          <w14:textFill>
            <w14:solidFill>
              <w14:schemeClr w14:val="tx1"/>
            </w14:solidFill>
          </w14:textFill>
        </w:rPr>
      </w:pPr>
      <w:r>
        <w:rPr>
          <w:color w:val="000000" w:themeColor="text1"/>
          <w:sz w:val="52"/>
          <w:szCs w:val="52"/>
          <w14:textFill>
            <w14:solidFill>
              <w14:schemeClr w14:val="tx1"/>
            </w14:solidFill>
          </w14:textFill>
        </w:rPr>
        <w:br w:type="page"/>
      </w:r>
      <w:bookmarkStart w:id="9" w:name="_Toc16183"/>
      <w:bookmarkStart w:id="10" w:name="_Toc30932"/>
      <w:bookmarkStart w:id="11" w:name="_Toc209383605"/>
      <w:bookmarkStart w:id="12" w:name="_Toc19084"/>
      <w:bookmarkStart w:id="13" w:name="_Toc20154"/>
      <w:bookmarkStart w:id="14" w:name="_Toc5673"/>
      <w:bookmarkStart w:id="15" w:name="_Toc4219"/>
      <w:bookmarkStart w:id="16" w:name="_Toc9291"/>
      <w:bookmarkStart w:id="17" w:name="_Toc15279"/>
      <w:bookmarkStart w:id="18" w:name="_Toc14876"/>
      <w:bookmarkStart w:id="19" w:name="_Toc9961"/>
      <w:r>
        <w:rPr>
          <w:rFonts w:hint="eastAsia" w:ascii="仿宋" w:hAnsi="仿宋" w:eastAsia="仿宋" w:cs="仿宋"/>
          <w:bCs w:val="0"/>
          <w:color w:val="000000" w:themeColor="text1"/>
          <w:kern w:val="0"/>
          <w:szCs w:val="32"/>
          <w14:textFill>
            <w14:solidFill>
              <w14:schemeClr w14:val="tx1"/>
            </w14:solidFill>
          </w14:textFill>
        </w:rPr>
        <w:t>第一章　招标公告</w:t>
      </w:r>
      <w:bookmarkEnd w:id="9"/>
      <w:bookmarkEnd w:id="10"/>
      <w:bookmarkEnd w:id="11"/>
      <w:bookmarkEnd w:id="12"/>
      <w:bookmarkEnd w:id="13"/>
      <w:bookmarkEnd w:id="14"/>
      <w:bookmarkEnd w:id="15"/>
      <w:bookmarkEnd w:id="16"/>
      <w:bookmarkEnd w:id="17"/>
      <w:bookmarkEnd w:id="18"/>
      <w:bookmarkEnd w:id="19"/>
    </w:p>
    <w:p w14:paraId="345D60FC">
      <w:pPr>
        <w:pStyle w:val="15"/>
        <w:shd w:val="clear" w:color="auto" w:fill="FFFFFF"/>
        <w:spacing w:line="560" w:lineRule="exact"/>
        <w:ind w:firstLine="640" w:firstLineChars="200"/>
        <w:rPr>
          <w:rFonts w:ascii="仿宋" w:hAnsi="仿宋" w:eastAsia="仿宋" w:cs="Arial"/>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厦门国贸物业服务有限公司</w:t>
      </w:r>
      <w:r>
        <w:rPr>
          <w:rFonts w:hint="eastAsia" w:ascii="仿宋" w:hAnsi="仿宋" w:eastAsia="仿宋" w:cs="仿宋"/>
          <w:color w:val="000000" w:themeColor="text1"/>
          <w:kern w:val="0"/>
          <w:sz w:val="32"/>
          <w:szCs w:val="32"/>
          <w14:textFill>
            <w14:solidFill>
              <w14:schemeClr w14:val="tx1"/>
            </w14:solidFill>
          </w14:textFill>
        </w:rPr>
        <w:t>为保证管辖项目泉州国贸江南璟上的整体形象，进一步做好项目环境品质工作，现对此项目</w:t>
      </w:r>
      <w:r>
        <w:rPr>
          <w:rFonts w:hint="eastAsia" w:ascii="仿宋" w:hAnsi="仿宋" w:eastAsia="仿宋"/>
          <w:color w:val="000000" w:themeColor="text1"/>
          <w:sz w:val="32"/>
          <w:szCs w:val="32"/>
          <w14:textFill>
            <w14:solidFill>
              <w14:schemeClr w14:val="tx1"/>
            </w14:solidFill>
          </w14:textFill>
        </w:rPr>
        <w:t>建筑垃圾清运服务</w:t>
      </w:r>
      <w:r>
        <w:rPr>
          <w:rFonts w:hint="eastAsia" w:ascii="仿宋" w:hAnsi="仿宋" w:eastAsia="仿宋" w:cs="仿宋"/>
          <w:color w:val="000000" w:themeColor="text1"/>
          <w:kern w:val="0"/>
          <w:sz w:val="32"/>
          <w:szCs w:val="32"/>
          <w14:textFill>
            <w14:solidFill>
              <w14:schemeClr w14:val="tx1"/>
            </w14:solidFill>
          </w14:textFill>
        </w:rPr>
        <w:t>进行</w:t>
      </w:r>
      <w:r>
        <w:rPr>
          <w:rFonts w:hint="eastAsia" w:ascii="仿宋" w:hAnsi="仿宋" w:eastAsia="仿宋" w:cs="仿宋"/>
          <w:color w:val="000000" w:themeColor="text1"/>
          <w:kern w:val="0"/>
          <w:sz w:val="32"/>
          <w:szCs w:val="32"/>
          <w:lang w:val="en-US" w:eastAsia="zh-CN"/>
          <w14:textFill>
            <w14:solidFill>
              <w14:schemeClr w14:val="tx1"/>
            </w14:solidFill>
          </w14:textFill>
        </w:rPr>
        <w:t>第二次</w:t>
      </w:r>
      <w:r>
        <w:rPr>
          <w:rFonts w:hint="eastAsia" w:ascii="仿宋" w:hAnsi="仿宋" w:eastAsia="仿宋" w:cs="仿宋"/>
          <w:color w:val="000000" w:themeColor="text1"/>
          <w:kern w:val="0"/>
          <w:sz w:val="32"/>
          <w:szCs w:val="32"/>
          <w14:textFill>
            <w14:solidFill>
              <w14:schemeClr w14:val="tx1"/>
            </w14:solidFill>
          </w14:textFill>
        </w:rPr>
        <w:t>公开招标，欢迎符合资格、专业的公司参加投标</w:t>
      </w:r>
      <w:r>
        <w:rPr>
          <w:rFonts w:hint="eastAsia" w:ascii="仿宋" w:hAnsi="仿宋" w:eastAsia="仿宋" w:cs="Arial"/>
          <w:color w:val="000000" w:themeColor="text1"/>
          <w:sz w:val="32"/>
          <w:szCs w:val="32"/>
          <w14:textFill>
            <w14:solidFill>
              <w14:schemeClr w14:val="tx1"/>
            </w14:solidFill>
          </w14:textFill>
        </w:rPr>
        <w:t>。</w:t>
      </w:r>
    </w:p>
    <w:p w14:paraId="59BE85EF">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若有意参加此次招标，请自行在本网站下载招标文件，此次招标的截标时间为</w:t>
      </w:r>
      <w:r>
        <w:rPr>
          <w:rFonts w:ascii="仿宋" w:hAnsi="仿宋" w:eastAsia="仿宋" w:cs="仿宋"/>
          <w:color w:val="000000" w:themeColor="text1"/>
          <w:kern w:val="0"/>
          <w:sz w:val="32"/>
          <w:szCs w:val="32"/>
          <w14:textFill>
            <w14:solidFill>
              <w14:schemeClr w14:val="tx1"/>
            </w14:solidFill>
          </w14:textFill>
        </w:rPr>
        <w:t>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31</w:t>
      </w:r>
      <w:r>
        <w:rPr>
          <w:rFonts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val="en-US" w:eastAsia="zh-CN"/>
          <w14:textFill>
            <w14:solidFill>
              <w14:schemeClr w14:val="tx1"/>
            </w14:solidFill>
          </w14:textFill>
        </w:rPr>
        <w:t>17</w:t>
      </w:r>
      <w:r>
        <w:rPr>
          <w:rFonts w:ascii="仿宋" w:hAnsi="仿宋" w:eastAsia="仿宋" w:cs="仿宋"/>
          <w:color w:val="000000" w:themeColor="text1"/>
          <w:kern w:val="0"/>
          <w:sz w:val="32"/>
          <w:szCs w:val="32"/>
          <w14:textFill>
            <w14:solidFill>
              <w14:schemeClr w14:val="tx1"/>
            </w14:solidFill>
          </w14:textFill>
        </w:rPr>
        <w:t>时</w:t>
      </w:r>
      <w:r>
        <w:rPr>
          <w:rFonts w:hint="eastAsia" w:ascii="仿宋" w:hAnsi="仿宋" w:eastAsia="仿宋" w:cs="仿宋"/>
          <w:color w:val="000000" w:themeColor="text1"/>
          <w:kern w:val="0"/>
          <w:sz w:val="32"/>
          <w:szCs w:val="32"/>
          <w:lang w:val="en-US" w:eastAsia="zh-CN"/>
          <w14:textFill>
            <w14:solidFill>
              <w14:schemeClr w14:val="tx1"/>
            </w14:solidFill>
          </w14:textFill>
        </w:rPr>
        <w:t>30</w:t>
      </w:r>
      <w:r>
        <w:rPr>
          <w:rFonts w:ascii="仿宋" w:hAnsi="仿宋" w:eastAsia="仿宋" w:cs="仿宋"/>
          <w:color w:val="000000" w:themeColor="text1"/>
          <w:kern w:val="0"/>
          <w:sz w:val="32"/>
          <w:szCs w:val="32"/>
          <w14:textFill>
            <w14:solidFill>
              <w14:schemeClr w14:val="tx1"/>
            </w14:solidFill>
          </w14:textFill>
        </w:rPr>
        <w:t>分，投标人需在202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31</w:t>
      </w:r>
      <w:r>
        <w:rPr>
          <w:rFonts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val="en-US" w:eastAsia="zh-CN"/>
          <w14:textFill>
            <w14:solidFill>
              <w14:schemeClr w14:val="tx1"/>
            </w14:solidFill>
          </w14:textFill>
        </w:rPr>
        <w:t>17</w:t>
      </w:r>
      <w:r>
        <w:rPr>
          <w:rFonts w:ascii="仿宋" w:hAnsi="仿宋" w:eastAsia="仿宋" w:cs="仿宋"/>
          <w:color w:val="000000" w:themeColor="text1"/>
          <w:kern w:val="0"/>
          <w:sz w:val="32"/>
          <w:szCs w:val="32"/>
          <w14:textFill>
            <w14:solidFill>
              <w14:schemeClr w14:val="tx1"/>
            </w14:solidFill>
          </w14:textFill>
        </w:rPr>
        <w:t>时</w:t>
      </w:r>
      <w:r>
        <w:rPr>
          <w:rFonts w:hint="eastAsia" w:ascii="仿宋" w:hAnsi="仿宋" w:eastAsia="仿宋" w:cs="仿宋"/>
          <w:color w:val="000000" w:themeColor="text1"/>
          <w:kern w:val="0"/>
          <w:sz w:val="32"/>
          <w:szCs w:val="32"/>
          <w:lang w:val="en-US" w:eastAsia="zh-CN"/>
          <w14:textFill>
            <w14:solidFill>
              <w14:schemeClr w14:val="tx1"/>
            </w14:solidFill>
          </w14:textFill>
        </w:rPr>
        <w:t>30</w:t>
      </w:r>
      <w:r>
        <w:rPr>
          <w:rFonts w:ascii="仿宋" w:hAnsi="仿宋" w:eastAsia="仿宋" w:cs="仿宋"/>
          <w:color w:val="000000" w:themeColor="text1"/>
          <w:kern w:val="0"/>
          <w:sz w:val="32"/>
          <w:szCs w:val="32"/>
          <w14:textFill>
            <w14:solidFill>
              <w14:schemeClr w14:val="tx1"/>
            </w14:solidFill>
          </w14:textFill>
        </w:rPr>
        <w:t>分前将投标文件正本一份，副本一份，电子版一份（U盘介质）提交到招标人处，在此时点之后送达的投标文件恕不接</w:t>
      </w:r>
      <w:r>
        <w:rPr>
          <w:rFonts w:hint="eastAsia" w:ascii="仿宋" w:hAnsi="仿宋" w:eastAsia="仿宋" w:cs="仿宋"/>
          <w:color w:val="000000" w:themeColor="text1"/>
          <w:kern w:val="0"/>
          <w:sz w:val="32"/>
          <w:szCs w:val="32"/>
          <w14:textFill>
            <w14:solidFill>
              <w14:schemeClr w14:val="tx1"/>
            </w14:solidFill>
          </w14:textFill>
        </w:rPr>
        <w:t>受。</w:t>
      </w:r>
    </w:p>
    <w:p w14:paraId="7A30A651">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p>
    <w:p w14:paraId="60F39AB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招标人：</w:t>
      </w:r>
      <w:r>
        <w:rPr>
          <w:rFonts w:hint="eastAsia" w:ascii="仿宋" w:hAnsi="仿宋" w:eastAsia="仿宋"/>
          <w:color w:val="000000" w:themeColor="text1"/>
          <w:sz w:val="32"/>
          <w:szCs w:val="32"/>
          <w14:textFill>
            <w14:solidFill>
              <w14:schemeClr w14:val="tx1"/>
            </w14:solidFill>
          </w14:textFill>
        </w:rPr>
        <w:t>厦门国贸物业服务有限公司</w:t>
      </w:r>
    </w:p>
    <w:p w14:paraId="2D04AB4B">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联系地址：厦门市思明区体育路</w:t>
      </w:r>
      <w:r>
        <w:rPr>
          <w:rFonts w:ascii="仿宋" w:hAnsi="仿宋" w:eastAsia="仿宋" w:cs="仿宋"/>
          <w:color w:val="000000" w:themeColor="text1"/>
          <w:kern w:val="0"/>
          <w:sz w:val="32"/>
          <w:szCs w:val="32"/>
          <w14:textFill>
            <w14:solidFill>
              <w14:schemeClr w14:val="tx1"/>
            </w14:solidFill>
          </w14:textFill>
        </w:rPr>
        <w:t>41号顺承大厦6楼</w:t>
      </w:r>
    </w:p>
    <w:p w14:paraId="55C0E377">
      <w:pPr>
        <w:spacing w:line="500" w:lineRule="exact"/>
        <w:ind w:firstLine="640" w:firstLineChars="200"/>
        <w:rPr>
          <w:rFonts w:hint="eastAsia" w:ascii="仿宋" w:hAnsi="仿宋" w:eastAsia="仿宋" w:cs="Times New Roman"/>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w:t>
      </w:r>
      <w:r>
        <w:rPr>
          <w:rFonts w:hint="eastAsia" w:ascii="仿宋" w:hAnsi="仿宋" w:eastAsia="仿宋" w:cs="Times New Roman"/>
          <w:color w:val="000000" w:themeColor="text1"/>
          <w:kern w:val="2"/>
          <w:sz w:val="32"/>
          <w:szCs w:val="32"/>
          <w14:textFill>
            <w14:solidFill>
              <w14:schemeClr w14:val="tx1"/>
            </w14:solidFill>
          </w14:textFill>
        </w:rPr>
        <w:t>系人：林女士</w:t>
      </w:r>
    </w:p>
    <w:p w14:paraId="168CE20F">
      <w:pPr>
        <w:spacing w:line="500" w:lineRule="exact"/>
        <w:ind w:left="0" w:leftChars="0" w:firstLine="640" w:firstLineChars="200"/>
        <w:rPr>
          <w:rFonts w:hint="eastAsia" w:ascii="仿宋" w:hAnsi="仿宋" w:eastAsia="仿宋" w:cs="Times New Roman"/>
          <w:color w:val="000000" w:themeColor="text1"/>
          <w:kern w:val="2"/>
          <w:sz w:val="32"/>
          <w:szCs w:val="32"/>
          <w14:textFill>
            <w14:solidFill>
              <w14:schemeClr w14:val="tx1"/>
            </w14:solidFill>
          </w14:textFill>
        </w:rPr>
      </w:pPr>
      <w:r>
        <w:rPr>
          <w:rFonts w:hint="eastAsia" w:ascii="仿宋" w:hAnsi="仿宋" w:eastAsia="仿宋" w:cs="Times New Roman"/>
          <w:color w:val="000000" w:themeColor="text1"/>
          <w:kern w:val="2"/>
          <w:sz w:val="32"/>
          <w:szCs w:val="32"/>
          <w14:textFill>
            <w14:solidFill>
              <w14:schemeClr w14:val="tx1"/>
            </w14:solidFill>
          </w14:textFill>
        </w:rPr>
        <w:t>联系电话：0592-2990161</w:t>
      </w:r>
    </w:p>
    <w:p w14:paraId="77DE3D42">
      <w:pPr>
        <w:spacing w:line="500" w:lineRule="exact"/>
        <w:ind w:left="0" w:leftChars="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color w:val="000000" w:themeColor="text1"/>
          <w:kern w:val="2"/>
          <w:sz w:val="32"/>
          <w:szCs w:val="32"/>
          <w14:textFill>
            <w14:solidFill>
              <w14:schemeClr w14:val="tx1"/>
            </w14:solidFill>
          </w14:textFill>
        </w:rPr>
        <w:t>账户名称：</w:t>
      </w:r>
      <w:bookmarkStart w:id="20" w:name="OLE_LINK4"/>
      <w:r>
        <w:rPr>
          <w:rFonts w:hint="eastAsia" w:ascii="仿宋" w:hAnsi="仿宋" w:eastAsia="仿宋"/>
          <w:color w:val="000000" w:themeColor="text1"/>
          <w:sz w:val="32"/>
          <w:szCs w:val="32"/>
          <w14:textFill>
            <w14:solidFill>
              <w14:schemeClr w14:val="tx1"/>
            </w14:solidFill>
          </w14:textFill>
        </w:rPr>
        <w:t>厦门国贸物业服务有限公司</w:t>
      </w:r>
    </w:p>
    <w:bookmarkEnd w:id="20"/>
    <w:p w14:paraId="1DA1B61D">
      <w:pPr>
        <w:spacing w:line="500" w:lineRule="exact"/>
        <w:ind w:firstLine="640" w:firstLineChars="200"/>
        <w:rPr>
          <w:rFonts w:hint="eastAsia" w:ascii="仿宋" w:hAnsi="仿宋" w:eastAsia="仿宋" w:cs="Times New Roman"/>
          <w:color w:val="000000" w:themeColor="text1"/>
          <w:kern w:val="2"/>
          <w:sz w:val="32"/>
          <w:szCs w:val="32"/>
          <w:u w:val="none"/>
          <w14:textFill>
            <w14:solidFill>
              <w14:schemeClr w14:val="tx1"/>
            </w14:solidFill>
          </w14:textFill>
        </w:rPr>
      </w:pPr>
      <w:r>
        <w:rPr>
          <w:rFonts w:hint="eastAsia" w:ascii="仿宋" w:hAnsi="仿宋" w:eastAsia="仿宋" w:cs="Times New Roman"/>
          <w:color w:val="000000" w:themeColor="text1"/>
          <w:kern w:val="2"/>
          <w:sz w:val="32"/>
          <w:szCs w:val="32"/>
          <w14:textFill>
            <w14:solidFill>
              <w14:schemeClr w14:val="tx1"/>
            </w14:solidFill>
          </w14:textFill>
        </w:rPr>
        <w:t>账号：</w:t>
      </w:r>
      <w:r>
        <w:rPr>
          <w:rFonts w:hint="eastAsia" w:ascii="仿宋" w:hAnsi="仿宋" w:eastAsia="仿宋" w:cs="Times New Roman"/>
          <w:bCs w:val="0"/>
          <w:color w:val="000000" w:themeColor="text1"/>
          <w:sz w:val="32"/>
          <w:szCs w:val="32"/>
          <w:u w:val="none"/>
          <w:lang w:eastAsia="zh-TW"/>
          <w14:textFill>
            <w14:solidFill>
              <w14:schemeClr w14:val="tx1"/>
            </w14:solidFill>
          </w14:textFill>
        </w:rPr>
        <w:t>35150198030100002962</w:t>
      </w:r>
    </w:p>
    <w:p w14:paraId="0F0BAD55">
      <w:pPr>
        <w:spacing w:line="500" w:lineRule="exact"/>
        <w:ind w:firstLine="640" w:firstLineChars="200"/>
        <w:rPr>
          <w:rFonts w:hint="eastAsia" w:ascii="仿宋" w:hAnsi="仿宋" w:eastAsia="仿宋" w:cs="Times New Roman"/>
          <w:bCs w:val="0"/>
          <w:color w:val="000000" w:themeColor="text1"/>
          <w:sz w:val="32"/>
          <w:szCs w:val="32"/>
          <w14:textFill>
            <w14:solidFill>
              <w14:schemeClr w14:val="tx1"/>
            </w14:solidFill>
          </w14:textFill>
        </w:rPr>
      </w:pPr>
      <w:r>
        <w:rPr>
          <w:rFonts w:hint="eastAsia" w:ascii="仿宋" w:hAnsi="仿宋" w:eastAsia="仿宋" w:cs="Times New Roman"/>
          <w:color w:val="000000" w:themeColor="text1"/>
          <w:kern w:val="2"/>
          <w:sz w:val="32"/>
          <w:szCs w:val="32"/>
          <w14:textFill>
            <w14:solidFill>
              <w14:schemeClr w14:val="tx1"/>
            </w14:solidFill>
          </w14:textFill>
        </w:rPr>
        <w:t>开户银行：</w:t>
      </w:r>
      <w:r>
        <w:rPr>
          <w:rFonts w:hint="eastAsia" w:ascii="仿宋" w:hAnsi="仿宋" w:eastAsia="仿宋" w:cs="Times New Roman"/>
          <w:bCs w:val="0"/>
          <w:color w:val="000000" w:themeColor="text1"/>
          <w:sz w:val="32"/>
          <w:szCs w:val="32"/>
          <w:lang w:eastAsia="zh-TW"/>
          <w14:textFill>
            <w14:solidFill>
              <w14:schemeClr w14:val="tx1"/>
            </w14:solidFill>
          </w14:textFill>
        </w:rPr>
        <w:t>中国建设银行股份有限公司厦门湖滨支行</w:t>
      </w:r>
    </w:p>
    <w:p w14:paraId="1F422C59">
      <w:pPr>
        <w:spacing w:line="500" w:lineRule="exact"/>
        <w:ind w:left="638" w:leftChars="304"/>
        <w:rPr>
          <w:rFonts w:ascii="仿宋" w:hAnsi="仿宋" w:eastAsia="仿宋" w:cs="仿宋"/>
          <w:color w:val="000000" w:themeColor="text1"/>
          <w:kern w:val="0"/>
          <w:sz w:val="32"/>
          <w:szCs w:val="32"/>
          <w14:textFill>
            <w14:solidFill>
              <w14:schemeClr w14:val="tx1"/>
            </w14:solidFill>
          </w14:textFill>
        </w:rPr>
      </w:pPr>
    </w:p>
    <w:p w14:paraId="5520B796">
      <w:pPr>
        <w:spacing w:line="500" w:lineRule="exact"/>
        <w:ind w:right="920"/>
        <w:rPr>
          <w:rFonts w:ascii="仿宋" w:hAnsi="仿宋" w:eastAsia="仿宋" w:cs="仿宋"/>
          <w:color w:val="000000" w:themeColor="text1"/>
          <w:kern w:val="0"/>
          <w:sz w:val="32"/>
          <w:szCs w:val="32"/>
          <w14:textFill>
            <w14:solidFill>
              <w14:schemeClr w14:val="tx1"/>
            </w14:solidFill>
          </w14:textFill>
        </w:rPr>
      </w:pPr>
    </w:p>
    <w:p w14:paraId="22CFB3F0">
      <w:pPr>
        <w:spacing w:line="500" w:lineRule="exact"/>
        <w:ind w:left="638" w:leftChars="304" w:firstLine="3680" w:firstLineChars="11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厦门国贸物业服务有限公司</w:t>
      </w:r>
    </w:p>
    <w:p w14:paraId="65D6E45F">
      <w:pPr>
        <w:wordWrap w:val="0"/>
        <w:spacing w:line="500" w:lineRule="exact"/>
        <w:ind w:right="280" w:firstLine="640" w:firstLineChars="200"/>
        <w:jc w:val="righ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2025</w:t>
      </w:r>
      <w:r>
        <w:rPr>
          <w:rFonts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24</w:t>
      </w:r>
      <w:r>
        <w:rPr>
          <w:rFonts w:hint="eastAsia" w:ascii="仿宋" w:hAnsi="仿宋" w:eastAsia="仿宋" w:cs="仿宋"/>
          <w:color w:val="000000" w:themeColor="text1"/>
          <w:kern w:val="0"/>
          <w:sz w:val="32"/>
          <w:szCs w:val="32"/>
          <w14:textFill>
            <w14:solidFill>
              <w14:schemeClr w14:val="tx1"/>
            </w14:solidFill>
          </w14:textFill>
        </w:rPr>
        <w:t>日　　　　</w:t>
      </w:r>
    </w:p>
    <w:p w14:paraId="18C4BA00">
      <w:pPr>
        <w:pStyle w:val="2"/>
        <w:keepNext w:val="0"/>
        <w:keepLines w:val="0"/>
        <w:tabs>
          <w:tab w:val="center" w:pos="4535"/>
        </w:tabs>
        <w:spacing w:before="0" w:after="0" w:line="360" w:lineRule="auto"/>
        <w:jc w:val="left"/>
        <w:rPr>
          <w:rFonts w:ascii="仿宋" w:hAnsi="仿宋" w:eastAsia="仿宋"/>
          <w:color w:val="000000" w:themeColor="text1"/>
          <w14:textFill>
            <w14:solidFill>
              <w14:schemeClr w14:val="tx1"/>
            </w14:solidFill>
          </w14:textFill>
        </w:rPr>
      </w:pPr>
    </w:p>
    <w:p w14:paraId="4F06AEBF">
      <w:pPr>
        <w:pStyle w:val="2"/>
        <w:keepNext w:val="0"/>
        <w:keepLines w:val="0"/>
        <w:tabs>
          <w:tab w:val="center" w:pos="4535"/>
        </w:tabs>
        <w:spacing w:before="0" w:after="0" w:line="360" w:lineRule="auto"/>
        <w:jc w:val="left"/>
        <w:rPr>
          <w:rFonts w:ascii="仿宋" w:hAnsi="仿宋" w:eastAsia="仿宋"/>
          <w:color w:val="000000" w:themeColor="text1"/>
          <w14:textFill>
            <w14:solidFill>
              <w14:schemeClr w14:val="tx1"/>
            </w14:solidFill>
          </w14:textFill>
        </w:rPr>
      </w:pPr>
    </w:p>
    <w:p w14:paraId="5FC16AB3">
      <w:pPr>
        <w:pStyle w:val="2"/>
        <w:keepNext w:val="0"/>
        <w:keepLines w:val="0"/>
        <w:tabs>
          <w:tab w:val="center" w:pos="4535"/>
        </w:tabs>
        <w:spacing w:before="0" w:after="0" w:line="360" w:lineRule="auto"/>
        <w:jc w:val="left"/>
        <w:rPr>
          <w:rFonts w:ascii="仿宋" w:hAnsi="仿宋" w:eastAsia="仿宋"/>
          <w:color w:val="000000" w:themeColor="text1"/>
          <w14:textFill>
            <w14:solidFill>
              <w14:schemeClr w14:val="tx1"/>
            </w14:solidFill>
          </w14:textFill>
        </w:rPr>
      </w:pPr>
    </w:p>
    <w:p w14:paraId="4836D78E">
      <w:pPr>
        <w:rPr>
          <w:rFonts w:ascii="仿宋" w:hAnsi="仿宋" w:eastAsia="仿宋"/>
          <w:color w:val="000000" w:themeColor="text1"/>
          <w14:textFill>
            <w14:solidFill>
              <w14:schemeClr w14:val="tx1"/>
            </w14:solidFill>
          </w14:textFill>
        </w:rPr>
      </w:pPr>
    </w:p>
    <w:p w14:paraId="490F2F4F">
      <w:pPr>
        <w:rPr>
          <w:color w:val="000000" w:themeColor="text1"/>
          <w14:textFill>
            <w14:solidFill>
              <w14:schemeClr w14:val="tx1"/>
            </w14:solidFill>
          </w14:textFill>
        </w:rPr>
      </w:pPr>
    </w:p>
    <w:p w14:paraId="785EF3C3">
      <w:pPr>
        <w:rPr>
          <w:color w:val="000000" w:themeColor="text1"/>
          <w14:textFill>
            <w14:solidFill>
              <w14:schemeClr w14:val="tx1"/>
            </w14:solidFill>
          </w14:textFill>
        </w:rPr>
      </w:pPr>
    </w:p>
    <w:p w14:paraId="0287E853">
      <w:pPr>
        <w:pStyle w:val="2"/>
        <w:keepNext w:val="0"/>
        <w:keepLines w:val="0"/>
        <w:tabs>
          <w:tab w:val="center" w:pos="4535"/>
        </w:tabs>
        <w:spacing w:before="0" w:after="0" w:line="360" w:lineRule="auto"/>
        <w:jc w:val="left"/>
        <w:rPr>
          <w:rFonts w:ascii="仿宋" w:hAnsi="仿宋" w:eastAsia="仿宋"/>
          <w:color w:val="000000" w:themeColor="text1"/>
          <w14:textFill>
            <w14:solidFill>
              <w14:schemeClr w14:val="tx1"/>
            </w14:solidFill>
          </w14:textFill>
        </w:rPr>
      </w:pPr>
      <w:bookmarkStart w:id="21" w:name="_Toc15766"/>
      <w:bookmarkStart w:id="22" w:name="_Toc31056"/>
      <w:bookmarkStart w:id="23" w:name="_Toc82"/>
      <w:bookmarkStart w:id="24" w:name="_Toc209383606"/>
      <w:bookmarkStart w:id="25" w:name="_Toc27168"/>
      <w:bookmarkStart w:id="26" w:name="_Toc31144"/>
      <w:bookmarkStart w:id="27" w:name="_Toc1186"/>
      <w:bookmarkStart w:id="28" w:name="_Toc26435"/>
      <w:bookmarkStart w:id="29" w:name="_Toc18078"/>
      <w:bookmarkStart w:id="30" w:name="_Toc2962"/>
      <w:bookmarkStart w:id="31" w:name="_Toc5752"/>
      <w:r>
        <w:rPr>
          <w:rFonts w:hint="eastAsia" w:ascii="仿宋" w:hAnsi="仿宋" w:eastAsia="仿宋"/>
          <w:color w:val="000000" w:themeColor="text1"/>
          <w14:textFill>
            <w14:solidFill>
              <w14:schemeClr w14:val="tx1"/>
            </w14:solidFill>
          </w14:textFill>
        </w:rPr>
        <w:t>附：招标项目一览表</w:t>
      </w:r>
      <w:bookmarkEnd w:id="21"/>
      <w:bookmarkEnd w:id="22"/>
      <w:bookmarkEnd w:id="23"/>
      <w:bookmarkEnd w:id="24"/>
      <w:bookmarkEnd w:id="25"/>
      <w:bookmarkEnd w:id="26"/>
      <w:bookmarkEnd w:id="27"/>
      <w:bookmarkEnd w:id="28"/>
      <w:bookmarkEnd w:id="29"/>
      <w:bookmarkEnd w:id="30"/>
      <w:bookmarkEnd w:id="31"/>
    </w:p>
    <w:tbl>
      <w:tblPr>
        <w:tblStyle w:val="16"/>
        <w:tblW w:w="9071" w:type="dxa"/>
        <w:tblInd w:w="4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8"/>
        <w:gridCol w:w="1880"/>
        <w:gridCol w:w="1066"/>
        <w:gridCol w:w="1187"/>
        <w:gridCol w:w="973"/>
        <w:gridCol w:w="2184"/>
        <w:gridCol w:w="1323"/>
      </w:tblGrid>
      <w:tr w14:paraId="6273802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458" w:type="dxa"/>
            <w:vAlign w:val="center"/>
          </w:tcPr>
          <w:p w14:paraId="3832743F">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序</w:t>
            </w:r>
          </w:p>
          <w:p w14:paraId="5667ED96">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号</w:t>
            </w:r>
          </w:p>
        </w:tc>
        <w:tc>
          <w:tcPr>
            <w:tcW w:w="1880" w:type="dxa"/>
            <w:vAlign w:val="center"/>
          </w:tcPr>
          <w:p w14:paraId="450D3B5B">
            <w:pPr>
              <w:widowControl/>
              <w:spacing w:before="100" w:beforeAutospacing="1" w:after="100" w:afterAutospacing="1"/>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招标服务名称</w:t>
            </w:r>
          </w:p>
        </w:tc>
        <w:tc>
          <w:tcPr>
            <w:tcW w:w="1066" w:type="dxa"/>
            <w:vAlign w:val="center"/>
          </w:tcPr>
          <w:p w14:paraId="69C10888">
            <w:pPr>
              <w:widowControl/>
              <w:spacing w:before="100" w:beforeAutospacing="1" w:after="100" w:afterAutospacing="1"/>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招标内容及要求</w:t>
            </w:r>
          </w:p>
        </w:tc>
        <w:tc>
          <w:tcPr>
            <w:tcW w:w="1187" w:type="dxa"/>
            <w:vAlign w:val="center"/>
          </w:tcPr>
          <w:p w14:paraId="64C1CA77">
            <w:pPr>
              <w:widowControl/>
              <w:spacing w:before="100" w:beforeAutospacing="1" w:after="100" w:afterAutospacing="1"/>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服务地点</w:t>
            </w:r>
          </w:p>
        </w:tc>
        <w:tc>
          <w:tcPr>
            <w:tcW w:w="973" w:type="dxa"/>
            <w:vAlign w:val="center"/>
          </w:tcPr>
          <w:p w14:paraId="47349BEE">
            <w:pPr>
              <w:widowControl/>
              <w:spacing w:before="100" w:beforeAutospacing="1" w:after="100" w:afterAutospacing="1"/>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服务期</w:t>
            </w:r>
          </w:p>
        </w:tc>
        <w:tc>
          <w:tcPr>
            <w:tcW w:w="2184" w:type="dxa"/>
            <w:vAlign w:val="center"/>
          </w:tcPr>
          <w:p w14:paraId="208EE215">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最高</w:t>
            </w:r>
          </w:p>
          <w:p w14:paraId="6A6F0E0E">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控制总价</w:t>
            </w:r>
          </w:p>
        </w:tc>
        <w:tc>
          <w:tcPr>
            <w:tcW w:w="1323" w:type="dxa"/>
            <w:vAlign w:val="center"/>
          </w:tcPr>
          <w:p w14:paraId="41DCC6F5">
            <w:pPr>
              <w:widowControl/>
              <w:spacing w:line="240" w:lineRule="atLeast"/>
              <w:jc w:val="center"/>
              <w:rPr>
                <w:rFonts w:ascii="宋体" w:hAnsi="宋体" w:cs="宋体"/>
                <w:b/>
                <w:color w:val="000000" w:themeColor="text1"/>
                <w:kern w:val="0"/>
                <w:sz w:val="24"/>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最高</w:t>
            </w:r>
          </w:p>
          <w:p w14:paraId="1C20BDE9">
            <w:pPr>
              <w:widowControl/>
              <w:spacing w:line="240" w:lineRule="atLeast"/>
              <w:jc w:val="center"/>
              <w:rPr>
                <w:rFonts w:ascii="仿宋" w:hAnsi="仿宋"/>
                <w:color w:val="000000" w:themeColor="text1"/>
                <w:sz w:val="28"/>
                <w:szCs w:val="28"/>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控制单价</w:t>
            </w:r>
          </w:p>
        </w:tc>
      </w:tr>
      <w:tr w14:paraId="0F4059B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458" w:type="dxa"/>
            <w:vAlign w:val="center"/>
          </w:tcPr>
          <w:p w14:paraId="01836E69">
            <w:pPr>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w:t>
            </w:r>
          </w:p>
        </w:tc>
        <w:tc>
          <w:tcPr>
            <w:tcW w:w="1880" w:type="dxa"/>
            <w:vAlign w:val="center"/>
          </w:tcPr>
          <w:p w14:paraId="194011C9">
            <w:pPr>
              <w:adjustRightInd w:val="0"/>
              <w:snapToGrid w:val="0"/>
              <w:jc w:val="center"/>
              <w:rPr>
                <w:rFonts w:hint="default" w:ascii="仿宋" w:hAnsi="仿宋"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泉州国贸江南璟上建筑垃圾清运服务</w:t>
            </w:r>
            <w:r>
              <w:rPr>
                <w:rFonts w:hint="eastAsia" w:ascii="宋体" w:hAnsi="宋体"/>
                <w:color w:val="000000" w:themeColor="text1"/>
                <w:kern w:val="0"/>
                <w:sz w:val="24"/>
                <w:lang w:eastAsia="zh-CN"/>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第二次）</w:t>
            </w:r>
          </w:p>
        </w:tc>
        <w:tc>
          <w:tcPr>
            <w:tcW w:w="1066" w:type="dxa"/>
            <w:vAlign w:val="center"/>
          </w:tcPr>
          <w:p w14:paraId="2F466F85">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详见</w:t>
            </w:r>
          </w:p>
          <w:p w14:paraId="54137355">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第三章</w:t>
            </w:r>
          </w:p>
        </w:tc>
        <w:tc>
          <w:tcPr>
            <w:tcW w:w="1187" w:type="dxa"/>
            <w:vAlign w:val="center"/>
          </w:tcPr>
          <w:p w14:paraId="1D703D82">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泉州市鲤城区</w:t>
            </w:r>
          </w:p>
        </w:tc>
        <w:tc>
          <w:tcPr>
            <w:tcW w:w="973" w:type="dxa"/>
            <w:vAlign w:val="center"/>
          </w:tcPr>
          <w:p w14:paraId="6E9F1436">
            <w:pPr>
              <w:spacing w:line="360" w:lineRule="auto"/>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2年</w:t>
            </w:r>
          </w:p>
        </w:tc>
        <w:tc>
          <w:tcPr>
            <w:tcW w:w="2184" w:type="dxa"/>
            <w:vAlign w:val="center"/>
          </w:tcPr>
          <w:p w14:paraId="67C9C3C6">
            <w:pPr>
              <w:spacing w:line="360" w:lineRule="auto"/>
              <w:ind w:firstLine="0" w:firstLineChars="0"/>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661748.3</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元</w:t>
            </w:r>
          </w:p>
          <w:p w14:paraId="5C62E807">
            <w:pPr>
              <w:spacing w:line="360" w:lineRule="auto"/>
              <w:ind w:firstLine="0" w:firstLineChars="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（含税）</w:t>
            </w:r>
          </w:p>
        </w:tc>
        <w:tc>
          <w:tcPr>
            <w:tcW w:w="1323" w:type="dxa"/>
            <w:vAlign w:val="center"/>
          </w:tcPr>
          <w:p w14:paraId="706C0A86">
            <w:pPr>
              <w:ind w:firstLine="240" w:firstLineChars="1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8.6元</w:t>
            </w:r>
            <w:r>
              <w:rPr>
                <w:rFonts w:ascii="宋体" w:hAnsi="宋体"/>
                <w:color w:val="000000" w:themeColor="text1"/>
                <w:kern w:val="0"/>
                <w:sz w:val="24"/>
                <w14:textFill>
                  <w14:solidFill>
                    <w14:schemeClr w14:val="tx1"/>
                  </w14:solidFill>
                </w14:textFill>
              </w:rPr>
              <w:t>/㎡</w:t>
            </w:r>
          </w:p>
        </w:tc>
      </w:tr>
    </w:tbl>
    <w:p w14:paraId="4C7F598F">
      <w:pPr>
        <w:rPr>
          <w:color w:val="000000" w:themeColor="text1"/>
          <w14:textFill>
            <w14:solidFill>
              <w14:schemeClr w14:val="tx1"/>
            </w14:solidFill>
          </w14:textFill>
        </w:rPr>
      </w:pPr>
    </w:p>
    <w:p w14:paraId="53926597">
      <w:pPr>
        <w:spacing w:line="500" w:lineRule="exac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备注：</w:t>
      </w:r>
    </w:p>
    <w:p w14:paraId="07ECFA21">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1、服务期</w:t>
      </w:r>
      <w:r>
        <w:rPr>
          <w:rFonts w:hint="eastAsia" w:ascii="仿宋" w:hAnsi="仿宋" w:eastAsia="仿宋" w:cs="仿宋"/>
          <w:color w:val="000000" w:themeColor="text1"/>
          <w:kern w:val="0"/>
          <w:sz w:val="32"/>
          <w:szCs w:val="32"/>
          <w:lang w:val="en-US" w:eastAsia="zh-CN"/>
          <w14:textFill>
            <w14:solidFill>
              <w14:schemeClr w14:val="tx1"/>
            </w14:solidFill>
          </w14:textFill>
        </w:rPr>
        <w:t>限为</w:t>
      </w:r>
      <w:r>
        <w:rPr>
          <w:rFonts w:hint="eastAsia" w:ascii="仿宋" w:hAnsi="仿宋" w:eastAsia="仿宋" w:cs="仿宋"/>
          <w:color w:val="000000" w:themeColor="text1"/>
          <w:kern w:val="0"/>
          <w:sz w:val="32"/>
          <w:szCs w:val="32"/>
          <w14:textFill>
            <w14:solidFill>
              <w14:schemeClr w14:val="tx1"/>
            </w14:solidFill>
          </w14:textFill>
        </w:rPr>
        <w:t>两年，</w:t>
      </w:r>
      <w:r>
        <w:rPr>
          <w:rFonts w:ascii="仿宋" w:hAnsi="仿宋" w:eastAsia="仿宋" w:cs="仿宋"/>
          <w:color w:val="000000" w:themeColor="text1"/>
          <w:kern w:val="0"/>
          <w:sz w:val="32"/>
          <w:szCs w:val="32"/>
          <w14:textFill>
            <w14:solidFill>
              <w14:schemeClr w14:val="tx1"/>
            </w14:solidFill>
          </w14:textFill>
        </w:rPr>
        <w:t>2025</w:t>
      </w:r>
      <w:r>
        <w:rPr>
          <w:rFonts w:hint="eastAsia" w:ascii="仿宋" w:hAnsi="仿宋" w:eastAsia="仿宋" w:cs="仿宋"/>
          <w:color w:val="000000" w:themeColor="text1"/>
          <w:kern w:val="0"/>
          <w:sz w:val="32"/>
          <w:szCs w:val="32"/>
          <w14:textFill>
            <w14:solidFill>
              <w14:schemeClr w14:val="tx1"/>
            </w14:solidFill>
          </w14:textFill>
        </w:rPr>
        <w:t>年</w:t>
      </w:r>
      <w:r>
        <w:rPr>
          <w:rFonts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暂定）</w:t>
      </w:r>
      <w:r>
        <w:rPr>
          <w:rFonts w:hint="eastAsia" w:ascii="仿宋" w:hAnsi="仿宋" w:eastAsia="仿宋" w:cs="仿宋"/>
          <w:color w:val="000000" w:themeColor="text1"/>
          <w:kern w:val="0"/>
          <w:sz w:val="32"/>
          <w:szCs w:val="32"/>
          <w14:textFill>
            <w14:solidFill>
              <w14:schemeClr w14:val="tx1"/>
            </w14:solidFill>
          </w14:textFill>
        </w:rPr>
        <w:t>至</w:t>
      </w:r>
      <w:r>
        <w:rPr>
          <w:rFonts w:ascii="仿宋" w:hAnsi="仿宋" w:eastAsia="仿宋" w:cs="仿宋"/>
          <w:color w:val="000000" w:themeColor="text1"/>
          <w:kern w:val="0"/>
          <w:sz w:val="32"/>
          <w:szCs w:val="32"/>
          <w14:textFill>
            <w14:solidFill>
              <w14:schemeClr w14:val="tx1"/>
            </w14:solidFill>
          </w14:textFill>
        </w:rPr>
        <w:t>2027</w:t>
      </w:r>
      <w:r>
        <w:rPr>
          <w:rFonts w:hint="eastAsia" w:ascii="仿宋" w:hAnsi="仿宋" w:eastAsia="仿宋" w:cs="仿宋"/>
          <w:color w:val="000000" w:themeColor="text1"/>
          <w:kern w:val="0"/>
          <w:sz w:val="32"/>
          <w:szCs w:val="32"/>
          <w14:textFill>
            <w14:solidFill>
              <w14:schemeClr w14:val="tx1"/>
            </w14:solidFill>
          </w14:textFill>
        </w:rPr>
        <w:t>年</w:t>
      </w:r>
      <w:r>
        <w:rPr>
          <w:rFonts w:ascii="仿宋" w:hAnsi="仿宋" w:eastAsia="仿宋" w:cs="仿宋"/>
          <w:color w:val="000000" w:themeColor="text1"/>
          <w:kern w:val="0"/>
          <w:sz w:val="32"/>
          <w:szCs w:val="32"/>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31</w:t>
      </w:r>
      <w:r>
        <w:rPr>
          <w:rFonts w:hint="eastAsia" w:ascii="仿宋" w:hAnsi="仿宋" w:eastAsia="仿宋" w:cs="仿宋"/>
          <w:color w:val="000000" w:themeColor="text1"/>
          <w:kern w:val="0"/>
          <w:sz w:val="32"/>
          <w:szCs w:val="32"/>
          <w14:textFill>
            <w14:solidFill>
              <w14:schemeClr w14:val="tx1"/>
            </w14:solidFill>
          </w14:textFill>
        </w:rPr>
        <w:t>日（具体服务期限起始时间以</w:t>
      </w:r>
      <w:r>
        <w:rPr>
          <w:rFonts w:hint="eastAsia" w:ascii="仿宋" w:hAnsi="仿宋" w:eastAsia="仿宋" w:cs="仿宋"/>
          <w:color w:val="000000" w:themeColor="text1"/>
          <w:kern w:val="0"/>
          <w:sz w:val="32"/>
          <w:szCs w:val="32"/>
          <w:lang w:val="en-US" w:eastAsia="zh-CN"/>
          <w14:textFill>
            <w14:solidFill>
              <w14:schemeClr w14:val="tx1"/>
            </w14:solidFill>
          </w14:textFill>
        </w:rPr>
        <w:t>签</w:t>
      </w:r>
      <w:r>
        <w:rPr>
          <w:rFonts w:hint="eastAsia" w:ascii="仿宋" w:hAnsi="仿宋" w:eastAsia="仿宋" w:cs="仿宋"/>
          <w:color w:val="000000" w:themeColor="text1"/>
          <w:kern w:val="0"/>
          <w:sz w:val="32"/>
          <w:szCs w:val="32"/>
          <w14:textFill>
            <w14:solidFill>
              <w14:schemeClr w14:val="tx1"/>
            </w14:solidFill>
          </w14:textFill>
        </w:rPr>
        <w:t>订的土头清运服务合同为准，服务期限起始时</w:t>
      </w:r>
      <w:r>
        <w:rPr>
          <w:rFonts w:hint="eastAsia" w:ascii="仿宋" w:hAnsi="仿宋" w:eastAsia="仿宋" w:cs="仿宋"/>
          <w:color w:val="000000" w:themeColor="text1"/>
          <w:kern w:val="0"/>
          <w:sz w:val="32"/>
          <w:szCs w:val="32"/>
          <w:lang w:val="en-US" w:eastAsia="zh-CN"/>
          <w14:textFill>
            <w14:solidFill>
              <w14:schemeClr w14:val="tx1"/>
            </w14:solidFill>
          </w14:textFill>
        </w:rPr>
        <w:t>间</w:t>
      </w:r>
      <w:r>
        <w:rPr>
          <w:rFonts w:hint="eastAsia" w:ascii="仿宋" w:hAnsi="仿宋" w:eastAsia="仿宋" w:cs="仿宋"/>
          <w:color w:val="000000" w:themeColor="text1"/>
          <w:kern w:val="0"/>
          <w:sz w:val="32"/>
          <w:szCs w:val="32"/>
          <w14:textFill>
            <w14:solidFill>
              <w14:schemeClr w14:val="tx1"/>
            </w14:solidFill>
          </w14:textFill>
        </w:rPr>
        <w:t>如有变更的,服务期限届满时间相应变更，但服务期限两年不变）。</w:t>
      </w:r>
    </w:p>
    <w:p w14:paraId="36F5FE38">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2、投标人的投标报价（单价、总价）不得超过本项目的控制价，否则将被视为无效投标响应。</w:t>
      </w:r>
    </w:p>
    <w:p w14:paraId="5BD48966">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1D5E656D">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506659FF">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429863F6">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5CDDC081">
      <w:pPr>
        <w:spacing w:line="360" w:lineRule="auto"/>
        <w:ind w:firstLine="560" w:firstLineChars="200"/>
        <w:rPr>
          <w:rFonts w:ascii="仿宋" w:hAnsi="仿宋" w:eastAsia="仿宋" w:cs="仿宋"/>
          <w:color w:val="000000" w:themeColor="text1"/>
          <w:kern w:val="0"/>
          <w:sz w:val="28"/>
          <w:szCs w:val="28"/>
          <w14:textFill>
            <w14:solidFill>
              <w14:schemeClr w14:val="tx1"/>
            </w14:solidFill>
          </w14:textFill>
        </w:rPr>
      </w:pPr>
    </w:p>
    <w:p w14:paraId="11BD3536">
      <w:pPr>
        <w:pStyle w:val="2"/>
        <w:spacing w:afterLines="50"/>
        <w:jc w:val="center"/>
        <w:rPr>
          <w:rFonts w:ascii="仿宋" w:hAnsi="仿宋" w:eastAsia="仿宋" w:cs="仿宋"/>
          <w:b w:val="0"/>
          <w:bCs w:val="0"/>
          <w:color w:val="000000" w:themeColor="text1"/>
          <w:kern w:val="0"/>
          <w:szCs w:val="32"/>
          <w14:textFill>
            <w14:solidFill>
              <w14:schemeClr w14:val="tx1"/>
            </w14:solidFill>
          </w14:textFill>
        </w:rPr>
      </w:pPr>
      <w:r>
        <w:rPr>
          <w:rFonts w:ascii="仿宋" w:hAnsi="仿宋" w:eastAsia="仿宋" w:cs="仿宋"/>
          <w:color w:val="000000" w:themeColor="text1"/>
          <w:kern w:val="0"/>
          <w:sz w:val="28"/>
          <w:szCs w:val="28"/>
          <w14:textFill>
            <w14:solidFill>
              <w14:schemeClr w14:val="tx1"/>
            </w14:solidFill>
          </w14:textFill>
        </w:rPr>
        <w:br w:type="page"/>
      </w:r>
      <w:bookmarkStart w:id="32" w:name="_Toc19900"/>
      <w:bookmarkStart w:id="33" w:name="_Toc281"/>
      <w:bookmarkStart w:id="34" w:name="_Toc14010"/>
      <w:bookmarkStart w:id="35" w:name="_Toc27233"/>
      <w:bookmarkStart w:id="36" w:name="_Toc29677"/>
      <w:bookmarkStart w:id="37" w:name="_Toc30741"/>
      <w:bookmarkStart w:id="38" w:name="_Toc17173"/>
      <w:bookmarkStart w:id="39" w:name="_Toc8335"/>
      <w:bookmarkStart w:id="40" w:name="_Toc30242"/>
      <w:bookmarkStart w:id="41" w:name="_Toc209383607"/>
      <w:bookmarkStart w:id="42" w:name="_Toc25849"/>
      <w:r>
        <w:rPr>
          <w:rFonts w:hint="eastAsia" w:ascii="仿宋" w:hAnsi="仿宋" w:eastAsia="仿宋" w:cs="仿宋"/>
          <w:color w:val="000000" w:themeColor="text1"/>
          <w:kern w:val="0"/>
          <w:szCs w:val="32"/>
          <w14:textFill>
            <w14:solidFill>
              <w14:schemeClr w14:val="tx1"/>
            </w14:solidFill>
          </w14:textFill>
        </w:rPr>
        <w:t>第二章　投标人须知</w:t>
      </w:r>
      <w:bookmarkEnd w:id="32"/>
      <w:bookmarkEnd w:id="33"/>
      <w:bookmarkEnd w:id="34"/>
      <w:bookmarkEnd w:id="35"/>
      <w:bookmarkEnd w:id="36"/>
      <w:bookmarkEnd w:id="37"/>
      <w:bookmarkEnd w:id="38"/>
      <w:bookmarkEnd w:id="39"/>
      <w:bookmarkEnd w:id="40"/>
      <w:bookmarkEnd w:id="41"/>
      <w:bookmarkEnd w:id="42"/>
    </w:p>
    <w:p w14:paraId="378F901C">
      <w:pPr>
        <w:spacing w:line="500" w:lineRule="exact"/>
        <w:ind w:firstLine="643" w:firstLineChars="200"/>
        <w:jc w:val="center"/>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投标人须知前附表</w:t>
      </w:r>
    </w:p>
    <w:p w14:paraId="607C72A9">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本须知前附表的内容是与《投标人须知》中条款的内容对应的。如有矛盾，应以本须知前附表为准。</w:t>
      </w:r>
    </w:p>
    <w:tbl>
      <w:tblPr>
        <w:tblStyle w:val="16"/>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1B023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5" w:hRule="atLeast"/>
          <w:jc w:val="center"/>
        </w:trPr>
        <w:tc>
          <w:tcPr>
            <w:tcW w:w="850" w:type="dxa"/>
            <w:vAlign w:val="center"/>
          </w:tcPr>
          <w:p w14:paraId="502E0800">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项号</w:t>
            </w:r>
          </w:p>
        </w:tc>
        <w:tc>
          <w:tcPr>
            <w:tcW w:w="9071" w:type="dxa"/>
            <w:vAlign w:val="center"/>
          </w:tcPr>
          <w:p w14:paraId="4D1D0A50">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编列内容</w:t>
            </w:r>
          </w:p>
        </w:tc>
      </w:tr>
      <w:tr w14:paraId="2CBC1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14:paraId="6DA8C95C">
            <w:pPr>
              <w:spacing w:line="400" w:lineRule="exac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p>
        </w:tc>
        <w:tc>
          <w:tcPr>
            <w:tcW w:w="9071" w:type="dxa"/>
            <w:vAlign w:val="center"/>
          </w:tcPr>
          <w:p w14:paraId="363C7D2C">
            <w:pPr>
              <w:spacing w:line="400" w:lineRule="exac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项目名称：泉州国贸江南璟上建筑垃圾清运服务</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第二次）</w:t>
            </w:r>
            <w:r>
              <w:rPr>
                <w:rFonts w:hint="eastAsia" w:ascii="仿宋" w:hAnsi="仿宋" w:eastAsia="仿宋"/>
                <w:color w:val="000000" w:themeColor="text1"/>
                <w:sz w:val="28"/>
                <w:szCs w:val="28"/>
                <w14:textFill>
                  <w14:solidFill>
                    <w14:schemeClr w14:val="tx1"/>
                  </w14:solidFill>
                </w14:textFill>
              </w:rPr>
              <w:t xml:space="preserve"> </w:t>
            </w:r>
          </w:p>
          <w:p w14:paraId="4C5105B3">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招标人：厦门国贸物业服务有限公司</w:t>
            </w:r>
          </w:p>
          <w:p w14:paraId="0B1311EF">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项目内容：见“招标项目一览表”</w:t>
            </w:r>
          </w:p>
          <w:p w14:paraId="734F9665">
            <w:pPr>
              <w:spacing w:line="400" w:lineRule="exac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项目编号：GM</w:t>
            </w:r>
            <w:r>
              <w:rPr>
                <w:rFonts w:hint="eastAsia" w:ascii="仿宋" w:hAnsi="仿宋" w:eastAsia="仿宋"/>
                <w:color w:val="000000" w:themeColor="text1"/>
                <w:sz w:val="28"/>
                <w:szCs w:val="28"/>
                <w:lang w:val="en-US" w:eastAsia="zh-CN"/>
                <w14:textFill>
                  <w14:solidFill>
                    <w14:schemeClr w14:val="tx1"/>
                  </w14:solidFill>
                </w14:textFill>
              </w:rPr>
              <w:t>WY</w:t>
            </w:r>
            <w:r>
              <w:rPr>
                <w:rFonts w:hint="eastAsia"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5-02</w:t>
            </w:r>
          </w:p>
        </w:tc>
      </w:tr>
      <w:tr w14:paraId="7C459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2C3F9B77">
            <w:pPr>
              <w:spacing w:line="400" w:lineRule="exac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p>
        </w:tc>
        <w:tc>
          <w:tcPr>
            <w:tcW w:w="9071" w:type="dxa"/>
            <w:vAlign w:val="center"/>
          </w:tcPr>
          <w:p w14:paraId="6E8017F2">
            <w:pPr>
              <w:tabs>
                <w:tab w:val="left" w:pos="-1260"/>
                <w:tab w:val="left" w:pos="10260"/>
              </w:tabs>
              <w:spacing w:line="400" w:lineRule="exact"/>
              <w:rPr>
                <w:rFonts w:ascii="仿宋" w:hAnsi="仿宋" w:eastAsia="仿宋"/>
                <w:color w:val="000000" w:themeColor="text1"/>
                <w:spacing w:val="-4"/>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资格标准：</w:t>
            </w:r>
            <w:r>
              <w:rPr>
                <w:rFonts w:hint="eastAsia" w:ascii="仿宋" w:hAnsi="仿宋" w:eastAsia="仿宋"/>
                <w:color w:val="000000" w:themeColor="text1"/>
                <w:spacing w:val="-4"/>
                <w:sz w:val="28"/>
                <w:szCs w:val="28"/>
                <w14:textFill>
                  <w14:solidFill>
                    <w14:schemeClr w14:val="tx1"/>
                  </w14:solidFill>
                </w14:textFill>
              </w:rPr>
              <w:t>详细见</w:t>
            </w:r>
            <w:r>
              <w:rPr>
                <w:rFonts w:hint="eastAsia" w:ascii="仿宋" w:hAnsi="仿宋" w:eastAsia="仿宋" w:cs="Arial"/>
                <w:color w:val="000000" w:themeColor="text1"/>
                <w:sz w:val="28"/>
                <w:szCs w:val="28"/>
                <w14:textFill>
                  <w14:solidFill>
                    <w14:schemeClr w14:val="tx1"/>
                  </w14:solidFill>
                </w14:textFill>
              </w:rPr>
              <w:t xml:space="preserve"> “投标资格要求”</w:t>
            </w:r>
          </w:p>
        </w:tc>
      </w:tr>
      <w:tr w14:paraId="25D98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7347E956">
            <w:pPr>
              <w:spacing w:line="400" w:lineRule="exac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p>
        </w:tc>
        <w:tc>
          <w:tcPr>
            <w:tcW w:w="9071" w:type="dxa"/>
            <w:vAlign w:val="center"/>
          </w:tcPr>
          <w:p w14:paraId="562DD363">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投标有效期：</w:t>
            </w:r>
            <w:r>
              <w:rPr>
                <w:rFonts w:hint="eastAsia" w:ascii="仿宋" w:hAnsi="仿宋" w:eastAsia="仿宋" w:cs="宋体"/>
                <w:color w:val="000000" w:themeColor="text1"/>
                <w:kern w:val="0"/>
                <w:sz w:val="30"/>
                <w:szCs w:val="30"/>
                <w14:textFill>
                  <w14:solidFill>
                    <w14:schemeClr w14:val="tx1"/>
                  </w14:solidFill>
                </w14:textFill>
              </w:rPr>
              <w:t>投标截止期结束后90日历日。</w:t>
            </w:r>
            <w:r>
              <w:rPr>
                <w:rFonts w:hint="eastAsia" w:ascii="仿宋" w:hAnsi="仿宋" w:eastAsia="仿宋"/>
                <w:color w:val="000000" w:themeColor="text1"/>
                <w:sz w:val="28"/>
                <w:szCs w:val="28"/>
                <w14:textFill>
                  <w14:solidFill>
                    <w14:schemeClr w14:val="tx1"/>
                  </w14:solidFill>
                </w14:textFill>
              </w:rPr>
              <w:t>有效期不足将导致其投标文件被拒绝。</w:t>
            </w:r>
          </w:p>
        </w:tc>
      </w:tr>
      <w:tr w14:paraId="7055B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3CA0C37B">
            <w:pPr>
              <w:spacing w:line="400" w:lineRule="exact"/>
              <w:jc w:val="cente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p>
        </w:tc>
        <w:tc>
          <w:tcPr>
            <w:tcW w:w="9071" w:type="dxa"/>
            <w:vAlign w:val="center"/>
          </w:tcPr>
          <w:p w14:paraId="2FAFD4FC">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投标文件递交地址：厦门市思明区体育路41号顺承大厦6楼</w:t>
            </w:r>
          </w:p>
          <w:p w14:paraId="38041D69">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投标截止时间：见“第一章 招标公告”</w:t>
            </w:r>
          </w:p>
        </w:tc>
      </w:tr>
      <w:tr w14:paraId="2B8B8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4ABD3C84">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p>
        </w:tc>
        <w:tc>
          <w:tcPr>
            <w:tcW w:w="9071" w:type="dxa"/>
            <w:vAlign w:val="center"/>
          </w:tcPr>
          <w:p w14:paraId="24BECE33">
            <w:pPr>
              <w:spacing w:line="4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★投标保证金：人民币</w:t>
            </w:r>
            <w:r>
              <w:rPr>
                <w:rFonts w:hint="eastAsia" w:ascii="仿宋" w:hAnsi="仿宋" w:eastAsia="仿宋" w:cs="仿宋"/>
                <w:b/>
                <w:bCs/>
                <w:color w:val="000000" w:themeColor="text1"/>
                <w:sz w:val="28"/>
                <w:szCs w:val="28"/>
                <w14:textFill>
                  <w14:solidFill>
                    <w14:schemeClr w14:val="tx1"/>
                  </w14:solidFill>
                </w14:textFill>
              </w:rPr>
              <w:t>10000</w:t>
            </w:r>
            <w:r>
              <w:rPr>
                <w:rFonts w:hint="eastAsia" w:ascii="仿宋" w:hAnsi="仿宋" w:eastAsia="仿宋"/>
                <w:color w:val="000000" w:themeColor="text1"/>
                <w:sz w:val="28"/>
                <w:szCs w:val="28"/>
                <w14:textFill>
                  <w14:solidFill>
                    <w14:schemeClr w14:val="tx1"/>
                  </w14:solidFill>
                </w14:textFill>
              </w:rPr>
              <w:t>元整。</w:t>
            </w:r>
          </w:p>
          <w:p w14:paraId="40CFD8D5">
            <w:pPr>
              <w:spacing w:line="4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1、投标保证金以转账、电汇等形式提交，必须在投标截止时间前到达指定账户，不收取现金、现金支票，不接受任何个人名义的转账，否则作未提交投标保证金处理。</w:t>
            </w:r>
            <w:r>
              <w:rPr>
                <w:rFonts w:hint="eastAsia" w:ascii="仿宋" w:hAnsi="仿宋" w:eastAsia="仿宋"/>
                <w:b/>
                <w:color w:val="000000" w:themeColor="text1"/>
                <w:sz w:val="28"/>
                <w:szCs w:val="28"/>
                <w14:textFill>
                  <w14:solidFill>
                    <w14:schemeClr w14:val="tx1"/>
                  </w14:solidFill>
                </w14:textFill>
              </w:rPr>
              <w:t>投标文件中应体现投标保证金的缴交凭证。</w:t>
            </w:r>
          </w:p>
          <w:p w14:paraId="1E71969A">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2、保证金的退还：</w:t>
            </w:r>
          </w:p>
          <w:p w14:paraId="49375A0A">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招标人将在《中标通知书》发出之日起20个工作日内予以原额无息退还未中标人的投标保证金。</w:t>
            </w:r>
          </w:p>
        </w:tc>
      </w:tr>
      <w:tr w14:paraId="54155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590423E6">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w:t>
            </w:r>
          </w:p>
        </w:tc>
        <w:tc>
          <w:tcPr>
            <w:tcW w:w="9071" w:type="dxa"/>
            <w:vAlign w:val="center"/>
          </w:tcPr>
          <w:p w14:paraId="22A11168">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中标人在签订合同前，应向招标人缴纳</w:t>
            </w:r>
            <w:r>
              <w:rPr>
                <w:rFonts w:hint="eastAsia" w:ascii="仿宋" w:hAnsi="仿宋" w:eastAsia="仿宋"/>
                <w:b/>
                <w:bCs/>
                <w:color w:val="000000" w:themeColor="text1"/>
                <w:sz w:val="28"/>
                <w:szCs w:val="28"/>
                <w:u w:val="none"/>
                <w14:textFill>
                  <w14:solidFill>
                    <w14:schemeClr w14:val="tx1"/>
                  </w14:solidFill>
                </w14:textFill>
              </w:rPr>
              <w:t>壹万元</w:t>
            </w:r>
            <w:r>
              <w:rPr>
                <w:rFonts w:hint="eastAsia" w:ascii="仿宋" w:hAnsi="仿宋" w:eastAsia="仿宋"/>
                <w:color w:val="000000" w:themeColor="text1"/>
                <w:sz w:val="28"/>
                <w:szCs w:val="28"/>
                <w14:textFill>
                  <w14:solidFill>
                    <w14:schemeClr w14:val="tx1"/>
                  </w14:solidFill>
                </w14:textFill>
              </w:rPr>
              <w:t>履约保证金。</w:t>
            </w:r>
          </w:p>
          <w:p w14:paraId="08E7481B">
            <w:pPr>
              <w:spacing w:line="4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1.履约保证金数额：壹万元</w:t>
            </w:r>
            <w:r>
              <w:rPr>
                <w:rFonts w:hint="eastAsia" w:ascii="仿宋" w:hAnsi="仿宋" w:eastAsia="仿宋"/>
                <w:color w:val="000000" w:themeColor="text1"/>
                <w:sz w:val="28"/>
                <w:szCs w:val="28"/>
                <w14:textFill>
                  <w14:solidFill>
                    <w14:schemeClr w14:val="tx1"/>
                  </w14:solidFill>
                </w14:textFill>
              </w:rPr>
              <w:t>（指人民币，下同）。</w:t>
            </w:r>
          </w:p>
          <w:p w14:paraId="5E2891F0">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2.履约保证金形式：转账。</w:t>
            </w:r>
          </w:p>
          <w:p w14:paraId="6E8D1577">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3.中标人在收到中标通知书后签订采购合同，原投标保证金直接转为合同履约保证金。履约保证金在双方合同终止、交接清楚和债权债务等关系理顺后30日历天内无息返还。</w:t>
            </w:r>
          </w:p>
          <w:p w14:paraId="750F8A22">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4.中标人如在服务期限内不能完成招投标文件和采购合同约定，招标人有权解除合同，履约保证金不予退还。 </w:t>
            </w:r>
          </w:p>
        </w:tc>
      </w:tr>
      <w:tr w14:paraId="6AD6D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174BB3DB">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w:t>
            </w:r>
          </w:p>
        </w:tc>
        <w:tc>
          <w:tcPr>
            <w:tcW w:w="9071" w:type="dxa"/>
            <w:vAlign w:val="center"/>
          </w:tcPr>
          <w:p w14:paraId="3019F2CE">
            <w:pPr>
              <w:spacing w:line="400" w:lineRule="exact"/>
              <w:rPr>
                <w:rFonts w:ascii="仿宋" w:hAnsi="仿宋" w:eastAsia="仿宋"/>
                <w:color w:val="000000" w:themeColor="text1"/>
                <w:sz w:val="28"/>
                <w:szCs w:val="28"/>
                <w14:textFill>
                  <w14:solidFill>
                    <w14:schemeClr w14:val="tx1"/>
                  </w14:solidFill>
                </w14:textFill>
              </w:rPr>
            </w:pPr>
            <w:bookmarkStart w:id="43" w:name="OLE_LINK37"/>
            <w:r>
              <w:rPr>
                <w:rFonts w:hint="eastAsia" w:ascii="仿宋" w:hAnsi="仿宋" w:eastAsia="仿宋"/>
                <w:color w:val="000000" w:themeColor="text1"/>
                <w:sz w:val="28"/>
                <w:szCs w:val="28"/>
                <w14:textFill>
                  <w14:solidFill>
                    <w14:schemeClr w14:val="tx1"/>
                  </w14:solidFill>
                </w14:textFill>
              </w:rPr>
              <w:t>★招标预算价（即最高控制价）为：最高控制总价661748.33元（含税），最高控制单价8.6元/㎡。投标人投标报价超过预算价的投标为无效投标。</w:t>
            </w:r>
            <w:bookmarkEnd w:id="43"/>
          </w:p>
        </w:tc>
      </w:tr>
      <w:tr w14:paraId="31355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7FDBC21D">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w:t>
            </w:r>
          </w:p>
        </w:tc>
        <w:tc>
          <w:tcPr>
            <w:tcW w:w="9071" w:type="dxa"/>
            <w:vAlign w:val="center"/>
          </w:tcPr>
          <w:p w14:paraId="0A0B7621">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59443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70B2E41B">
            <w:pPr>
              <w:spacing w:line="4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w:t>
            </w:r>
          </w:p>
        </w:tc>
        <w:tc>
          <w:tcPr>
            <w:tcW w:w="9071" w:type="dxa"/>
            <w:vAlign w:val="center"/>
          </w:tcPr>
          <w:p w14:paraId="24313993">
            <w:pPr>
              <w:spacing w:line="4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投标提醒：</w:t>
            </w:r>
          </w:p>
          <w:p w14:paraId="3D69636C">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1、投标保证金手续办理完毕后，请再次核对账号、收款单位是否正确，并确保在投标截止时间前到账。</w:t>
            </w:r>
          </w:p>
          <w:p w14:paraId="6B025566">
            <w:pPr>
              <w:spacing w:line="40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2、为方便保证金的收取工作，</w:t>
            </w:r>
            <w:r>
              <w:rPr>
                <w:rFonts w:hint="eastAsia" w:ascii="仿宋" w:hAnsi="仿宋" w:eastAsia="仿宋" w:cs="Arial"/>
                <w:b/>
                <w:color w:val="000000" w:themeColor="text1"/>
                <w:kern w:val="0"/>
                <w:sz w:val="28"/>
                <w:szCs w:val="28"/>
                <w:u w:val="single"/>
                <w14:textFill>
                  <w14:solidFill>
                    <w14:schemeClr w14:val="tx1"/>
                  </w14:solidFill>
                </w14:textFill>
              </w:rPr>
              <w:t>除投标文件中的缴交凭证外，</w:t>
            </w:r>
            <w:r>
              <w:rPr>
                <w:rFonts w:hint="eastAsia" w:ascii="仿宋" w:hAnsi="仿宋" w:eastAsia="仿宋"/>
                <w:b/>
                <w:color w:val="000000" w:themeColor="text1"/>
                <w:sz w:val="28"/>
                <w:szCs w:val="28"/>
                <w:u w:val="single"/>
                <w14:textFill>
                  <w14:solidFill>
                    <w14:schemeClr w14:val="tx1"/>
                  </w14:solidFill>
                </w14:textFill>
              </w:rPr>
              <w:t>投标人在递交投标文件时应单独提供保证金缴交证明复印件一份给招标人投标文件接收人员。</w:t>
            </w:r>
          </w:p>
          <w:p w14:paraId="4A219756">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3、为确保在投标截止时间前递交投标文件，请务必考虑交通拥挤及路上不可预见的其他因素。</w:t>
            </w:r>
          </w:p>
          <w:p w14:paraId="42D56DC8">
            <w:pPr>
              <w:spacing w:line="4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4、本文件第四章的投标文件格式中要求投标人盖章、投标代表签字的均应按要求盖章、签字。</w:t>
            </w:r>
          </w:p>
        </w:tc>
      </w:tr>
      <w:tr w14:paraId="44EEA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04A24FCD">
            <w:pPr>
              <w:spacing w:line="400" w:lineRule="exact"/>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10</w:t>
            </w:r>
          </w:p>
        </w:tc>
        <w:tc>
          <w:tcPr>
            <w:tcW w:w="9071" w:type="dxa"/>
            <w:vAlign w:val="center"/>
          </w:tcPr>
          <w:p w14:paraId="6430638B">
            <w:pPr>
              <w:spacing w:line="400" w:lineRule="exact"/>
              <w:rPr>
                <w:rFonts w:ascii="仿宋" w:hAnsi="仿宋" w:eastAsia="仿宋"/>
                <w:b/>
                <w:bCs/>
                <w:color w:val="000000" w:themeColor="text1"/>
                <w:sz w:val="28"/>
                <w:szCs w:val="28"/>
                <w14:textFill>
                  <w14:solidFill>
                    <w14:schemeClr w14:val="tx1"/>
                  </w14:solidFill>
                </w14:textFill>
              </w:rPr>
            </w:pPr>
            <w:bookmarkStart w:id="44" w:name="OLE_LINK1"/>
            <w:bookmarkStart w:id="45" w:name="OLE_LINK2"/>
            <w:r>
              <w:rPr>
                <w:rFonts w:hint="eastAsia" w:ascii="仿宋" w:hAnsi="仿宋" w:eastAsia="仿宋"/>
                <w:b/>
                <w:bCs/>
                <w:color w:val="000000" w:themeColor="text1"/>
                <w:sz w:val="28"/>
                <w:szCs w:val="28"/>
                <w14:textFill>
                  <w14:solidFill>
                    <w14:schemeClr w14:val="tx1"/>
                  </w14:solidFill>
                </w14:textFill>
              </w:rPr>
              <w:t>投标资格要求与投标资格证明文件</w:t>
            </w:r>
          </w:p>
          <w:p w14:paraId="7468B25A">
            <w:pPr>
              <w:widowControl/>
              <w:spacing w:line="400" w:lineRule="exact"/>
              <w:rPr>
                <w:rFonts w:ascii="仿宋" w:hAnsi="仿宋" w:eastAsia="仿宋"/>
                <w:b/>
                <w:bCs/>
                <w:color w:val="000000" w:themeColor="text1"/>
                <w:sz w:val="28"/>
                <w:szCs w:val="28"/>
                <w14:textFill>
                  <w14:solidFill>
                    <w14:schemeClr w14:val="tx1"/>
                  </w14:solidFill>
                </w14:textFill>
              </w:rPr>
            </w:pPr>
            <w:bookmarkStart w:id="46" w:name="OLE_LINK27"/>
            <w:bookmarkStart w:id="47" w:name="OLE_LINK26"/>
            <w:r>
              <w:rPr>
                <w:rFonts w:ascii="仿宋" w:hAnsi="仿宋" w:eastAsia="仿宋"/>
                <w:b/>
                <w:bCs/>
                <w:color w:val="000000" w:themeColor="text1"/>
                <w:sz w:val="28"/>
                <w:szCs w:val="28"/>
                <w14:textFill>
                  <w14:solidFill>
                    <w14:schemeClr w14:val="tx1"/>
                  </w14:solidFill>
                </w14:textFill>
              </w:rPr>
              <w:t>1、★投标人应具备独立的法人资格，提供法人营业执照（副本）复印件(加盖</w:t>
            </w:r>
            <w:r>
              <w:rPr>
                <w:rFonts w:hint="eastAsia" w:ascii="仿宋" w:hAnsi="仿宋" w:eastAsia="仿宋"/>
                <w:b/>
                <w:bCs/>
                <w:color w:val="000000" w:themeColor="text1"/>
                <w:sz w:val="28"/>
                <w:szCs w:val="28"/>
                <w14:textFill>
                  <w14:solidFill>
                    <w14:schemeClr w14:val="tx1"/>
                  </w14:solidFill>
                </w14:textFill>
              </w:rPr>
              <w:t>投标人</w:t>
            </w:r>
            <w:r>
              <w:rPr>
                <w:rFonts w:ascii="仿宋" w:hAnsi="仿宋" w:eastAsia="仿宋"/>
                <w:b/>
                <w:bCs/>
                <w:color w:val="000000" w:themeColor="text1"/>
                <w:sz w:val="28"/>
                <w:szCs w:val="28"/>
                <w14:textFill>
                  <w14:solidFill>
                    <w14:schemeClr w14:val="tx1"/>
                  </w14:solidFill>
                </w14:textFill>
              </w:rPr>
              <w:t>公章)。</w:t>
            </w:r>
          </w:p>
          <w:p w14:paraId="74AC9699">
            <w:pPr>
              <w:widowControl/>
              <w:spacing w:line="400" w:lineRule="exac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w:t>
            </w:r>
            <w:r>
              <w:rPr>
                <w:rFonts w:ascii="仿宋" w:hAnsi="仿宋" w:eastAsia="仿宋"/>
                <w:b/>
                <w:bCs/>
                <w:color w:val="000000" w:themeColor="text1"/>
                <w:sz w:val="28"/>
                <w:szCs w:val="28"/>
                <w14:textFill>
                  <w14:solidFill>
                    <w14:schemeClr w14:val="tx1"/>
                  </w14:solidFill>
                </w14:textFill>
              </w:rPr>
              <w:t>投标人</w:t>
            </w:r>
            <w:r>
              <w:rPr>
                <w:rFonts w:hint="eastAsia" w:ascii="仿宋" w:hAnsi="仿宋" w:eastAsia="仿宋"/>
                <w:b/>
                <w:bCs/>
                <w:color w:val="000000" w:themeColor="text1"/>
                <w:sz w:val="28"/>
                <w:szCs w:val="28"/>
                <w14:textFill>
                  <w14:solidFill>
                    <w14:schemeClr w14:val="tx1"/>
                  </w14:solidFill>
                </w14:textFill>
              </w:rPr>
              <w:t>授</w:t>
            </w:r>
            <w:r>
              <w:rPr>
                <w:rFonts w:ascii="仿宋" w:hAnsi="仿宋" w:eastAsia="仿宋"/>
                <w:b/>
                <w:bCs/>
                <w:color w:val="000000" w:themeColor="text1"/>
                <w:sz w:val="28"/>
                <w:szCs w:val="28"/>
                <w14:textFill>
                  <w14:solidFill>
                    <w14:schemeClr w14:val="tx1"/>
                  </w14:solidFill>
                </w14:textFill>
              </w:rPr>
              <w:t>权代表若不是企业法定代表人，应提供法人授权书原件，并提供被授权代表身份证复印件。</w:t>
            </w:r>
          </w:p>
          <w:p w14:paraId="45E2A306">
            <w:pPr>
              <w:spacing w:line="400" w:lineRule="exac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w:t>
            </w:r>
            <w:bookmarkStart w:id="48" w:name="OLE_LINK23"/>
            <w:r>
              <w:rPr>
                <w:rFonts w:hint="eastAsia" w:ascii="仿宋" w:hAnsi="仿宋" w:eastAsia="仿宋"/>
                <w:b/>
                <w:bCs/>
                <w:color w:val="000000" w:themeColor="text1"/>
                <w:sz w:val="28"/>
                <w:szCs w:val="28"/>
                <w14:textFill>
                  <w14:solidFill>
                    <w14:schemeClr w14:val="tx1"/>
                  </w14:solidFill>
                </w14:textFill>
              </w:rPr>
              <w:t>★</w:t>
            </w:r>
            <w:bookmarkEnd w:id="48"/>
            <w:bookmarkStart w:id="49" w:name="OLE_LINK21"/>
            <w:bookmarkStart w:id="50" w:name="OLE_LINK20"/>
            <w:r>
              <w:rPr>
                <w:rFonts w:ascii="仿宋" w:hAnsi="仿宋" w:eastAsia="仿宋"/>
                <w:b/>
                <w:bCs/>
                <w:color w:val="000000" w:themeColor="text1"/>
                <w:sz w:val="28"/>
                <w:szCs w:val="28"/>
                <w14:textFill>
                  <w14:solidFill>
                    <w14:schemeClr w14:val="tx1"/>
                  </w14:solidFill>
                </w14:textFill>
              </w:rPr>
              <w:t>投标人必须提供自2023年1月1日</w:t>
            </w:r>
            <w:r>
              <w:rPr>
                <w:rFonts w:hint="eastAsia" w:ascii="仿宋" w:hAnsi="仿宋" w:eastAsia="仿宋"/>
                <w:b/>
                <w:bCs/>
                <w:color w:val="000000" w:themeColor="text1"/>
                <w:sz w:val="28"/>
                <w:szCs w:val="28"/>
                <w14:textFill>
                  <w14:solidFill>
                    <w14:schemeClr w14:val="tx1"/>
                  </w14:solidFill>
                </w14:textFill>
              </w:rPr>
              <w:t>起至今</w:t>
            </w:r>
            <w:r>
              <w:rPr>
                <w:rFonts w:ascii="仿宋" w:hAnsi="仿宋" w:eastAsia="仿宋"/>
                <w:b/>
                <w:bCs/>
                <w:color w:val="000000" w:themeColor="text1"/>
                <w:sz w:val="28"/>
                <w:szCs w:val="28"/>
                <w14:textFill>
                  <w14:solidFill>
                    <w14:schemeClr w14:val="tx1"/>
                  </w14:solidFill>
                </w14:textFill>
              </w:rPr>
              <w:t>1</w:t>
            </w:r>
            <w:r>
              <w:rPr>
                <w:rFonts w:hint="eastAsia" w:ascii="仿宋" w:hAnsi="仿宋" w:eastAsia="仿宋"/>
                <w:b/>
                <w:bCs/>
                <w:color w:val="000000" w:themeColor="text1"/>
                <w:sz w:val="28"/>
                <w:szCs w:val="28"/>
                <w14:textFill>
                  <w14:solidFill>
                    <w14:schemeClr w14:val="tx1"/>
                  </w14:solidFill>
                </w14:textFill>
              </w:rPr>
              <w:t>个泉州区域建筑垃圾清运</w:t>
            </w:r>
            <w:r>
              <w:rPr>
                <w:rFonts w:ascii="仿宋" w:hAnsi="仿宋" w:eastAsia="仿宋"/>
                <w:b/>
                <w:bCs/>
                <w:color w:val="000000" w:themeColor="text1"/>
                <w:sz w:val="28"/>
                <w:szCs w:val="28"/>
                <w14:textFill>
                  <w14:solidFill>
                    <w14:schemeClr w14:val="tx1"/>
                  </w14:solidFill>
                </w14:textFill>
              </w:rPr>
              <w:t>类项目的经营业绩经验的有效证明文件（需提供合同的复印件</w:t>
            </w:r>
            <w:r>
              <w:rPr>
                <w:rFonts w:hint="eastAsia" w:ascii="仿宋" w:hAnsi="仿宋" w:eastAsia="仿宋"/>
                <w:b/>
                <w:bCs/>
                <w:color w:val="000000" w:themeColor="text1"/>
                <w:sz w:val="28"/>
                <w:szCs w:val="28"/>
                <w14:textFill>
                  <w14:solidFill>
                    <w14:schemeClr w14:val="tx1"/>
                  </w14:solidFill>
                </w14:textFill>
              </w:rPr>
              <w:t>，</w:t>
            </w:r>
            <w:r>
              <w:rPr>
                <w:rFonts w:ascii="仿宋" w:hAnsi="仿宋" w:eastAsia="仿宋"/>
                <w:b/>
                <w:bCs/>
                <w:color w:val="000000" w:themeColor="text1"/>
                <w:sz w:val="28"/>
                <w:szCs w:val="28"/>
                <w14:textFill>
                  <w14:solidFill>
                    <w14:schemeClr w14:val="tx1"/>
                  </w14:solidFill>
                </w14:textFill>
              </w:rPr>
              <w:t>原件备查）</w:t>
            </w:r>
            <w:r>
              <w:rPr>
                <w:rFonts w:hint="eastAsia" w:ascii="仿宋" w:hAnsi="仿宋" w:eastAsia="仿宋"/>
                <w:b/>
                <w:bCs/>
                <w:color w:val="000000" w:themeColor="text1"/>
                <w:sz w:val="28"/>
                <w:szCs w:val="28"/>
                <w14:textFill>
                  <w14:solidFill>
                    <w14:schemeClr w14:val="tx1"/>
                  </w14:solidFill>
                </w14:textFill>
              </w:rPr>
              <w:t>。</w:t>
            </w:r>
          </w:p>
          <w:bookmarkEnd w:id="46"/>
          <w:bookmarkEnd w:id="47"/>
          <w:p w14:paraId="6B9DF488">
            <w:pPr>
              <w:spacing w:line="400" w:lineRule="exact"/>
              <w:rPr>
                <w:rFonts w:ascii="仿宋" w:hAnsi="仿宋" w:eastAsia="仿宋"/>
                <w:b/>
                <w:bCs/>
                <w:iCs/>
                <w:color w:val="000000" w:themeColor="text1"/>
                <w:sz w:val="28"/>
                <w:szCs w:val="28"/>
                <w14:textFill>
                  <w14:solidFill>
                    <w14:schemeClr w14:val="tx1"/>
                  </w14:solidFill>
                </w14:textFill>
              </w:rPr>
            </w:pPr>
            <w:bookmarkStart w:id="51" w:name="OLE_LINK24"/>
            <w:bookmarkStart w:id="52" w:name="OLE_LINK25"/>
            <w:r>
              <w:rPr>
                <w:rFonts w:hint="eastAsia" w:ascii="仿宋" w:hAnsi="仿宋" w:eastAsia="仿宋"/>
                <w:b/>
                <w:bCs/>
                <w:color w:val="000000" w:themeColor="text1"/>
                <w:sz w:val="28"/>
                <w:szCs w:val="28"/>
                <w14:textFill>
                  <w14:solidFill>
                    <w14:schemeClr w14:val="tx1"/>
                  </w14:solidFill>
                </w14:textFill>
              </w:rPr>
              <w:t>4、★</w:t>
            </w:r>
            <w:r>
              <w:rPr>
                <w:rFonts w:hint="eastAsia" w:ascii="仿宋" w:hAnsi="仿宋" w:eastAsia="仿宋"/>
                <w:b/>
                <w:color w:val="000000" w:themeColor="text1"/>
                <w:sz w:val="28"/>
                <w:szCs w:val="28"/>
                <w14:textFill>
                  <w14:solidFill>
                    <w14:schemeClr w14:val="tx1"/>
                  </w14:solidFill>
                </w14:textFill>
              </w:rPr>
              <w:t>参加采购活动前</w:t>
            </w:r>
            <w:r>
              <w:rPr>
                <w:rFonts w:ascii="仿宋" w:hAnsi="仿宋" w:eastAsia="仿宋"/>
                <w:b/>
                <w:color w:val="000000" w:themeColor="text1"/>
                <w:sz w:val="28"/>
                <w:szCs w:val="28"/>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bookmarkEnd w:id="44"/>
          <w:bookmarkEnd w:id="45"/>
          <w:bookmarkEnd w:id="51"/>
          <w:bookmarkEnd w:id="52"/>
          <w:p w14:paraId="148DA81A">
            <w:pPr>
              <w:spacing w:line="400" w:lineRule="exac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以上资格证明文件均应加盖投标人公章，原件备查。</w:t>
            </w:r>
            <w:bookmarkEnd w:id="49"/>
            <w:bookmarkEnd w:id="50"/>
          </w:p>
        </w:tc>
      </w:tr>
    </w:tbl>
    <w:p w14:paraId="06C0F8FA">
      <w:pPr>
        <w:rPr>
          <w:color w:val="000000" w:themeColor="text1"/>
          <w14:textFill>
            <w14:solidFill>
              <w14:schemeClr w14:val="tx1"/>
            </w14:solidFill>
          </w14:textFill>
        </w:rPr>
      </w:pPr>
    </w:p>
    <w:p w14:paraId="7482C529">
      <w:pPr>
        <w:rPr>
          <w:color w:val="000000" w:themeColor="text1"/>
          <w14:textFill>
            <w14:solidFill>
              <w14:schemeClr w14:val="tx1"/>
            </w14:solidFill>
          </w14:textFill>
        </w:rPr>
      </w:pPr>
    </w:p>
    <w:p w14:paraId="6E70A74B">
      <w:pPr>
        <w:rPr>
          <w:color w:val="000000" w:themeColor="text1"/>
          <w14:textFill>
            <w14:solidFill>
              <w14:schemeClr w14:val="tx1"/>
            </w14:solidFill>
          </w14:textFill>
        </w:rPr>
      </w:pPr>
    </w:p>
    <w:p w14:paraId="65DAD10C">
      <w:pPr>
        <w:rPr>
          <w:color w:val="000000" w:themeColor="text1"/>
          <w14:textFill>
            <w14:solidFill>
              <w14:schemeClr w14:val="tx1"/>
            </w14:solidFill>
          </w14:textFill>
        </w:rPr>
      </w:pPr>
    </w:p>
    <w:p w14:paraId="2534F9E3">
      <w:pPr>
        <w:rPr>
          <w:color w:val="000000" w:themeColor="text1"/>
          <w14:textFill>
            <w14:solidFill>
              <w14:schemeClr w14:val="tx1"/>
            </w14:solidFill>
          </w14:textFill>
        </w:rPr>
      </w:pPr>
    </w:p>
    <w:p w14:paraId="23A6176B">
      <w:pPr>
        <w:rPr>
          <w:color w:val="000000" w:themeColor="text1"/>
          <w14:textFill>
            <w14:solidFill>
              <w14:schemeClr w14:val="tx1"/>
            </w14:solidFill>
          </w14:textFill>
        </w:rPr>
      </w:pPr>
    </w:p>
    <w:p w14:paraId="1522758C">
      <w:pPr>
        <w:widowControl/>
        <w:adjustRightInd w:val="0"/>
        <w:snapToGrid w:val="0"/>
        <w:spacing w:beforeLines="25" w:afterLines="25" w:line="500" w:lineRule="exact"/>
        <w:ind w:firstLine="161" w:firstLineChars="50"/>
        <w:rPr>
          <w:rFonts w:ascii="仿宋" w:hAnsi="仿宋" w:eastAsia="仿宋"/>
          <w:b/>
          <w:color w:val="000000" w:themeColor="text1"/>
          <w:sz w:val="32"/>
          <w:szCs w:val="32"/>
          <w14:textFill>
            <w14:solidFill>
              <w14:schemeClr w14:val="tx1"/>
            </w14:solidFill>
          </w14:textFill>
        </w:rPr>
      </w:pPr>
      <w:bookmarkStart w:id="53" w:name="_Toc18073"/>
      <w:bookmarkStart w:id="54" w:name="_Toc1611"/>
      <w:bookmarkStart w:id="55" w:name="_Toc20818"/>
      <w:bookmarkStart w:id="56" w:name="_Toc209383608"/>
      <w:r>
        <w:rPr>
          <w:rFonts w:hint="eastAsia" w:ascii="仿宋" w:hAnsi="仿宋" w:eastAsia="仿宋"/>
          <w:b/>
          <w:color w:val="000000" w:themeColor="text1"/>
          <w:sz w:val="32"/>
          <w:szCs w:val="32"/>
          <w14:textFill>
            <w14:solidFill>
              <w14:schemeClr w14:val="tx1"/>
            </w14:solidFill>
          </w14:textFill>
        </w:rPr>
        <w:t>带“★”号条款汇总表</w:t>
      </w:r>
    </w:p>
    <w:tbl>
      <w:tblPr>
        <w:tblStyle w:val="16"/>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14:paraId="44CCA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tcPr>
          <w:p w14:paraId="03E32C0D">
            <w:pPr>
              <w:spacing w:line="400" w:lineRule="exact"/>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4"/>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招标预算价（即最高控制价）为：最高控制总价</w:t>
            </w:r>
            <w:r>
              <w:rPr>
                <w:rFonts w:ascii="仿宋" w:hAnsi="仿宋" w:eastAsia="仿宋"/>
                <w:b/>
                <w:color w:val="000000" w:themeColor="text1"/>
                <w:sz w:val="28"/>
                <w:szCs w:val="28"/>
                <w14:textFill>
                  <w14:solidFill>
                    <w14:schemeClr w14:val="tx1"/>
                  </w14:solidFill>
                </w14:textFill>
              </w:rPr>
              <w:t>661748.33元（含税），最高控制单价8.6元/㎡。投标人投标报价超过预算价的投标为无效投标。</w:t>
            </w:r>
          </w:p>
          <w:p w14:paraId="59DA251F">
            <w:pPr>
              <w:widowControl/>
              <w:spacing w:line="400" w:lineRule="exact"/>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2</w:t>
            </w:r>
            <w:r>
              <w:rPr>
                <w:rFonts w:hint="eastAsia" w:ascii="仿宋" w:hAnsi="仿宋" w:eastAsia="仿宋"/>
                <w:b/>
                <w:bCs/>
                <w:color w:val="000000" w:themeColor="text1"/>
                <w:sz w:val="28"/>
                <w:szCs w:val="28"/>
                <w14:textFill>
                  <w14:solidFill>
                    <w14:schemeClr w14:val="tx1"/>
                  </w14:solidFill>
                </w14:textFill>
              </w:rPr>
              <w:t>、★投标人应具备独立的法人资格，提供法人营业执照（副本）复印件</w:t>
            </w:r>
            <w:r>
              <w:rPr>
                <w:rFonts w:ascii="仿宋" w:hAnsi="仿宋" w:eastAsia="仿宋"/>
                <w:b/>
                <w:bCs/>
                <w:color w:val="000000" w:themeColor="text1"/>
                <w:sz w:val="28"/>
                <w:szCs w:val="28"/>
                <w14:textFill>
                  <w14:solidFill>
                    <w14:schemeClr w14:val="tx1"/>
                  </w14:solidFill>
                </w14:textFill>
              </w:rPr>
              <w:t>(加盖投标人公章)。</w:t>
            </w:r>
          </w:p>
          <w:p w14:paraId="07A47416">
            <w:pPr>
              <w:widowControl/>
              <w:spacing w:line="400" w:lineRule="exact"/>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3</w:t>
            </w:r>
            <w:r>
              <w:rPr>
                <w:rFonts w:hint="eastAsia" w:ascii="仿宋" w:hAnsi="仿宋" w:eastAsia="仿宋"/>
                <w:b/>
                <w:bCs/>
                <w:color w:val="000000" w:themeColor="text1"/>
                <w:sz w:val="28"/>
                <w:szCs w:val="28"/>
                <w14:textFill>
                  <w14:solidFill>
                    <w14:schemeClr w14:val="tx1"/>
                  </w14:solidFill>
                </w14:textFill>
              </w:rPr>
              <w:t>、★投标人授权代表若不是企业法定代表人，应提供法人授权书原件，并提供被授权代表身份证复印件。</w:t>
            </w:r>
          </w:p>
          <w:p w14:paraId="120758AD">
            <w:pPr>
              <w:spacing w:line="400" w:lineRule="exact"/>
              <w:rPr>
                <w:rFonts w:ascii="仿宋" w:hAnsi="仿宋" w:eastAsia="仿宋"/>
                <w:b/>
                <w:b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4</w:t>
            </w:r>
            <w:r>
              <w:rPr>
                <w:rFonts w:hint="eastAsia" w:ascii="仿宋" w:hAnsi="仿宋" w:eastAsia="仿宋"/>
                <w:b/>
                <w:bCs/>
                <w:color w:val="000000" w:themeColor="text1"/>
                <w:sz w:val="28"/>
                <w:szCs w:val="28"/>
                <w14:textFill>
                  <w14:solidFill>
                    <w14:schemeClr w14:val="tx1"/>
                  </w14:solidFill>
                </w14:textFill>
              </w:rPr>
              <w:t>、★投标人必须提供自</w:t>
            </w:r>
            <w:r>
              <w:rPr>
                <w:rFonts w:ascii="仿宋" w:hAnsi="仿宋" w:eastAsia="仿宋"/>
                <w:b/>
                <w:bCs/>
                <w:color w:val="000000" w:themeColor="text1"/>
                <w:sz w:val="28"/>
                <w:szCs w:val="28"/>
                <w14:textFill>
                  <w14:solidFill>
                    <w14:schemeClr w14:val="tx1"/>
                  </w14:solidFill>
                </w14:textFill>
              </w:rPr>
              <w:t>2023年1月1日起至今1个泉州区域建筑垃圾清运类项目的经营业绩经验的有效证明文件（需提供合同的复印件，原件备查）。</w:t>
            </w:r>
          </w:p>
          <w:p w14:paraId="21D3311C">
            <w:pPr>
              <w:spacing w:line="400" w:lineRule="exact"/>
              <w:rPr>
                <w:rFonts w:ascii="仿宋" w:hAnsi="仿宋" w:eastAsia="仿宋"/>
                <w:b/>
                <w:bCs/>
                <w:iCs/>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5</w:t>
            </w:r>
            <w:r>
              <w:rPr>
                <w:rFonts w:hint="eastAsia" w:ascii="仿宋" w:hAnsi="仿宋" w:eastAsia="仿宋"/>
                <w:b/>
                <w:bCs/>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参加采购活动前</w:t>
            </w:r>
            <w:r>
              <w:rPr>
                <w:rFonts w:ascii="仿宋" w:hAnsi="仿宋" w:eastAsia="仿宋"/>
                <w:b/>
                <w:color w:val="000000" w:themeColor="text1"/>
                <w:sz w:val="28"/>
                <w:szCs w:val="28"/>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tc>
      </w:tr>
    </w:tbl>
    <w:p w14:paraId="57C9C1EF">
      <w:pPr>
        <w:pStyle w:val="3"/>
        <w:keepNext w:val="0"/>
        <w:keepLines w:val="0"/>
        <w:spacing w:before="0" w:after="0" w:line="500" w:lineRule="exact"/>
        <w:rPr>
          <w:rFonts w:hint="eastAsia" w:ascii="仿宋" w:hAnsi="仿宋" w:eastAsia="仿宋"/>
          <w:color w:val="000000" w:themeColor="text1"/>
          <w:sz w:val="32"/>
          <w14:textFill>
            <w14:solidFill>
              <w14:schemeClr w14:val="tx1"/>
            </w14:solidFill>
          </w14:textFill>
        </w:rPr>
      </w:pPr>
    </w:p>
    <w:p w14:paraId="4C853DCE">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57" w:name="_Toc31405"/>
      <w:bookmarkStart w:id="58" w:name="_Toc168"/>
      <w:bookmarkStart w:id="59" w:name="_Toc17950"/>
      <w:bookmarkStart w:id="60" w:name="_Toc7344"/>
      <w:bookmarkStart w:id="61" w:name="_Toc6268"/>
      <w:bookmarkStart w:id="62" w:name="_Toc17772"/>
      <w:bookmarkStart w:id="63" w:name="_Toc11995"/>
      <w:r>
        <w:rPr>
          <w:rFonts w:hint="eastAsia" w:ascii="仿宋" w:hAnsi="仿宋" w:eastAsia="仿宋"/>
          <w:color w:val="000000" w:themeColor="text1"/>
          <w:sz w:val="32"/>
          <w14:textFill>
            <w14:solidFill>
              <w14:schemeClr w14:val="tx1"/>
            </w14:solidFill>
          </w14:textFill>
        </w:rPr>
        <w:t>第一节  说  明</w:t>
      </w:r>
      <w:bookmarkEnd w:id="53"/>
      <w:bookmarkEnd w:id="54"/>
      <w:bookmarkEnd w:id="55"/>
      <w:bookmarkEnd w:id="56"/>
      <w:bookmarkEnd w:id="57"/>
      <w:bookmarkEnd w:id="58"/>
      <w:bookmarkEnd w:id="59"/>
      <w:bookmarkEnd w:id="60"/>
      <w:bookmarkEnd w:id="61"/>
      <w:bookmarkEnd w:id="62"/>
      <w:bookmarkEnd w:id="63"/>
    </w:p>
    <w:p w14:paraId="413B62CA">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64" w:name="_Toc6282"/>
      <w:bookmarkStart w:id="65" w:name="_Toc26471"/>
      <w:bookmarkStart w:id="66" w:name="_Toc191892300"/>
      <w:bookmarkStart w:id="67" w:name="_Toc192925648"/>
      <w:bookmarkStart w:id="68" w:name="_Toc13570"/>
      <w:bookmarkStart w:id="69" w:name="_Toc3836"/>
      <w:bookmarkStart w:id="70" w:name="_Toc209383609"/>
      <w:bookmarkStart w:id="71" w:name="_Toc24053"/>
      <w:bookmarkStart w:id="72" w:name="_Toc19548"/>
      <w:bookmarkStart w:id="73" w:name="_Toc24427"/>
      <w:bookmarkStart w:id="74" w:name="_Toc29813"/>
      <w:bookmarkStart w:id="75" w:name="_Toc19429"/>
      <w:bookmarkStart w:id="76" w:name="_Toc19062"/>
      <w:r>
        <w:rPr>
          <w:rFonts w:ascii="仿宋" w:hAnsi="仿宋" w:eastAsia="仿宋"/>
          <w:color w:val="000000" w:themeColor="text1"/>
          <w:sz w:val="32"/>
          <w14:textFill>
            <w14:solidFill>
              <w14:schemeClr w14:val="tx1"/>
            </w14:solidFill>
          </w14:textFill>
        </w:rPr>
        <w:t xml:space="preserve">1. </w:t>
      </w:r>
      <w:r>
        <w:rPr>
          <w:rFonts w:hint="eastAsia" w:ascii="仿宋" w:hAnsi="仿宋" w:eastAsia="仿宋"/>
          <w:color w:val="000000" w:themeColor="text1"/>
          <w:sz w:val="32"/>
          <w14:textFill>
            <w14:solidFill>
              <w14:schemeClr w14:val="tx1"/>
            </w14:solidFill>
          </w14:textFill>
        </w:rPr>
        <w:t>适用范围</w:t>
      </w:r>
      <w:bookmarkEnd w:id="64"/>
      <w:bookmarkEnd w:id="65"/>
      <w:bookmarkEnd w:id="66"/>
      <w:bookmarkEnd w:id="67"/>
      <w:bookmarkEnd w:id="68"/>
      <w:bookmarkEnd w:id="69"/>
      <w:bookmarkEnd w:id="70"/>
      <w:bookmarkEnd w:id="71"/>
      <w:bookmarkEnd w:id="72"/>
      <w:bookmarkEnd w:id="73"/>
      <w:bookmarkEnd w:id="74"/>
      <w:bookmarkEnd w:id="75"/>
      <w:bookmarkEnd w:id="76"/>
    </w:p>
    <w:p w14:paraId="60D77071">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本招标文件仅适用于</w:t>
      </w:r>
      <w:r>
        <w:rPr>
          <w:rFonts w:hint="eastAsia" w:ascii="仿宋" w:hAnsi="仿宋" w:eastAsia="仿宋"/>
          <w:color w:val="000000" w:themeColor="text1"/>
          <w:sz w:val="32"/>
          <w:szCs w:val="32"/>
          <w:u w:val="single"/>
          <w14:textFill>
            <w14:solidFill>
              <w14:schemeClr w14:val="tx1"/>
            </w14:solidFill>
          </w14:textFill>
        </w:rPr>
        <w:t>泉州国贸江南璟上建筑垃圾清运服务</w:t>
      </w:r>
      <w:r>
        <w:rPr>
          <w:rFonts w:hint="eastAsia" w:ascii="仿宋" w:hAnsi="仿宋" w:eastAsia="仿宋"/>
          <w:color w:val="000000" w:themeColor="text1"/>
          <w:sz w:val="32"/>
          <w:szCs w:val="32"/>
          <w:u w:val="single"/>
          <w:lang w:eastAsia="zh-CN"/>
          <w14:textFill>
            <w14:solidFill>
              <w14:schemeClr w14:val="tx1"/>
            </w14:solidFill>
          </w14:textFill>
        </w:rPr>
        <w:t>（</w:t>
      </w:r>
      <w:r>
        <w:rPr>
          <w:rFonts w:hint="eastAsia" w:ascii="仿宋" w:hAnsi="仿宋" w:eastAsia="仿宋"/>
          <w:color w:val="000000" w:themeColor="text1"/>
          <w:sz w:val="32"/>
          <w:szCs w:val="32"/>
          <w:u w:val="single"/>
          <w:lang w:val="en-US" w:eastAsia="zh-CN"/>
          <w14:textFill>
            <w14:solidFill>
              <w14:schemeClr w14:val="tx1"/>
            </w14:solidFill>
          </w14:textFill>
        </w:rPr>
        <w:t>第二次）</w:t>
      </w:r>
      <w:r>
        <w:rPr>
          <w:rFonts w:hint="eastAsia" w:ascii="仿宋" w:hAnsi="仿宋" w:eastAsia="仿宋"/>
          <w:color w:val="000000" w:themeColor="text1"/>
          <w:sz w:val="32"/>
          <w:szCs w:val="32"/>
          <w:u w:val="single"/>
          <w14:textFill>
            <w14:solidFill>
              <w14:schemeClr w14:val="tx1"/>
            </w14:solidFill>
          </w14:textFill>
        </w:rPr>
        <w:t>。</w:t>
      </w:r>
    </w:p>
    <w:p w14:paraId="5E839D73">
      <w:pPr>
        <w:pStyle w:val="4"/>
        <w:spacing w:line="500" w:lineRule="exact"/>
        <w:ind w:firstLine="643"/>
        <w:rPr>
          <w:rFonts w:hint="eastAsia" w:ascii="仿宋" w:hAnsi="仿宋" w:eastAsia="仿宋"/>
          <w:color w:val="000000" w:themeColor="text1"/>
          <w:sz w:val="32"/>
          <w:u w:val="none"/>
          <w14:textFill>
            <w14:solidFill>
              <w14:schemeClr w14:val="tx1"/>
            </w14:solidFill>
          </w14:textFill>
        </w:rPr>
      </w:pPr>
      <w:bookmarkStart w:id="77" w:name="_Toc191892301"/>
      <w:bookmarkStart w:id="78" w:name="_Toc15746"/>
      <w:bookmarkStart w:id="79" w:name="_Toc1138"/>
      <w:bookmarkStart w:id="80" w:name="_Toc23558"/>
      <w:bookmarkStart w:id="81" w:name="_Toc8840"/>
      <w:bookmarkStart w:id="82" w:name="_Toc28390"/>
      <w:bookmarkStart w:id="83" w:name="_Toc192925649"/>
      <w:bookmarkStart w:id="84" w:name="_Toc11847"/>
      <w:r>
        <w:rPr>
          <w:rFonts w:ascii="仿宋" w:hAnsi="仿宋" w:eastAsia="仿宋"/>
          <w:color w:val="000000" w:themeColor="text1"/>
          <w:sz w:val="32"/>
          <w:szCs w:val="32"/>
          <w:u w:val="none"/>
          <w14:textFill>
            <w14:solidFill>
              <w14:schemeClr w14:val="tx1"/>
            </w14:solidFill>
          </w14:textFill>
        </w:rPr>
        <w:t xml:space="preserve">2. </w:t>
      </w:r>
      <w:r>
        <w:rPr>
          <w:rFonts w:hint="default" w:ascii="仿宋" w:hAnsi="仿宋" w:eastAsia="仿宋"/>
          <w:color w:val="000000" w:themeColor="text1"/>
          <w:sz w:val="32"/>
          <w:szCs w:val="32"/>
          <w:u w:val="none"/>
          <w14:textFill>
            <w14:solidFill>
              <w14:schemeClr w14:val="tx1"/>
            </w14:solidFill>
          </w14:textFill>
        </w:rPr>
        <w:t>定义</w:t>
      </w:r>
      <w:bookmarkEnd w:id="77"/>
      <w:bookmarkEnd w:id="78"/>
      <w:bookmarkEnd w:id="79"/>
      <w:bookmarkEnd w:id="80"/>
      <w:bookmarkEnd w:id="81"/>
      <w:bookmarkEnd w:id="82"/>
      <w:bookmarkEnd w:id="83"/>
      <w:bookmarkEnd w:id="84"/>
    </w:p>
    <w:p w14:paraId="0AAA30B7">
      <w:pPr>
        <w:spacing w:line="500" w:lineRule="exact"/>
        <w:ind w:firstLine="640" w:firstLineChars="200"/>
        <w:rPr>
          <w:rFonts w:hint="eastAsia" w:ascii="仿宋" w:hAnsi="仿宋" w:eastAsia="仿宋"/>
          <w:b w:val="0"/>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2.1</w:t>
      </w:r>
      <w:r>
        <w:rPr>
          <w:rFonts w:hint="eastAsia" w:ascii="仿宋" w:hAnsi="仿宋" w:eastAsia="仿宋"/>
          <w:color w:val="000000" w:themeColor="text1"/>
          <w:sz w:val="32"/>
          <w:szCs w:val="32"/>
          <w14:textFill>
            <w14:solidFill>
              <w14:schemeClr w14:val="tx1"/>
            </w14:solidFill>
          </w14:textFill>
        </w:rPr>
        <w:t xml:space="preserve"> “招标人”系指</w:t>
      </w:r>
      <w:r>
        <w:rPr>
          <w:rFonts w:hint="eastAsia" w:ascii="仿宋" w:hAnsi="仿宋" w:eastAsia="仿宋"/>
          <w:b w:val="0"/>
          <w:bCs w:val="0"/>
          <w:color w:val="000000" w:themeColor="text1"/>
          <w:sz w:val="32"/>
          <w:szCs w:val="32"/>
          <w14:textFill>
            <w14:solidFill>
              <w14:schemeClr w14:val="tx1"/>
            </w14:solidFill>
          </w14:textFill>
        </w:rPr>
        <w:t>厦门国贸物业服务有限公司</w:t>
      </w:r>
    </w:p>
    <w:p w14:paraId="1BACC98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2“投标人”系指获取了本招标文件，且已经提交或者准备提交本次投标文件的制造商或供货商。</w:t>
      </w:r>
    </w:p>
    <w:p w14:paraId="14D39DE5">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85" w:name="_Toc192925650"/>
      <w:bookmarkStart w:id="86" w:name="_Toc19455"/>
      <w:bookmarkStart w:id="87" w:name="_Toc28634"/>
      <w:bookmarkStart w:id="88" w:name="_Toc21451"/>
      <w:bookmarkStart w:id="89" w:name="_Toc209383610"/>
      <w:bookmarkStart w:id="90" w:name="_Toc31627"/>
      <w:bookmarkStart w:id="91" w:name="_Toc28656"/>
      <w:bookmarkStart w:id="92" w:name="_Toc344"/>
      <w:bookmarkStart w:id="93" w:name="_Toc27348"/>
      <w:bookmarkStart w:id="94" w:name="_Toc191892302"/>
      <w:bookmarkStart w:id="95" w:name="_Toc18176"/>
      <w:bookmarkStart w:id="96" w:name="_Toc1361"/>
      <w:bookmarkStart w:id="97" w:name="_Toc1958"/>
      <w:r>
        <w:rPr>
          <w:rFonts w:ascii="仿宋" w:hAnsi="仿宋" w:eastAsia="仿宋"/>
          <w:color w:val="000000" w:themeColor="text1"/>
          <w:sz w:val="32"/>
          <w14:textFill>
            <w14:solidFill>
              <w14:schemeClr w14:val="tx1"/>
            </w14:solidFill>
          </w14:textFill>
        </w:rPr>
        <w:t xml:space="preserve">3. </w:t>
      </w:r>
      <w:r>
        <w:rPr>
          <w:rFonts w:hint="eastAsia" w:ascii="仿宋" w:hAnsi="仿宋" w:eastAsia="仿宋"/>
          <w:color w:val="000000" w:themeColor="text1"/>
          <w:sz w:val="32"/>
          <w14:textFill>
            <w14:solidFill>
              <w14:schemeClr w14:val="tx1"/>
            </w14:solidFill>
          </w14:textFill>
        </w:rPr>
        <w:t>合格的投标人</w:t>
      </w:r>
      <w:bookmarkEnd w:id="85"/>
      <w:bookmarkEnd w:id="86"/>
      <w:bookmarkEnd w:id="87"/>
      <w:bookmarkEnd w:id="88"/>
      <w:bookmarkEnd w:id="89"/>
      <w:bookmarkEnd w:id="90"/>
      <w:bookmarkEnd w:id="91"/>
      <w:bookmarkEnd w:id="92"/>
      <w:bookmarkEnd w:id="93"/>
      <w:bookmarkEnd w:id="94"/>
      <w:bookmarkEnd w:id="95"/>
      <w:bookmarkEnd w:id="96"/>
      <w:bookmarkEnd w:id="97"/>
    </w:p>
    <w:p w14:paraId="48779BD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3.1</w:t>
      </w:r>
      <w:r>
        <w:rPr>
          <w:rFonts w:hint="eastAsia" w:ascii="仿宋" w:hAnsi="仿宋" w:eastAsia="仿宋"/>
          <w:color w:val="000000" w:themeColor="text1"/>
          <w:sz w:val="32"/>
          <w:szCs w:val="32"/>
          <w14:textFill>
            <w14:solidFill>
              <w14:schemeClr w14:val="tx1"/>
            </w14:solidFill>
          </w14:textFill>
        </w:rPr>
        <w:t>凡有能力提供本招标文件所述货物及服务的，符合本招标文件规定资格要求（具体要求见 “投标资格要求与投标资格证明文件”），符合政府采购法第二十二条的规定的均可能成为合格的投标人。</w:t>
      </w:r>
    </w:p>
    <w:p w14:paraId="1C4B31B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3.2</w:t>
      </w:r>
      <w:r>
        <w:rPr>
          <w:rFonts w:hint="eastAsia" w:ascii="仿宋" w:hAnsi="仿宋" w:eastAsia="仿宋"/>
          <w:color w:val="000000" w:themeColor="text1"/>
          <w:sz w:val="32"/>
          <w:szCs w:val="32"/>
          <w14:textFill>
            <w14:solidFill>
              <w14:schemeClr w14:val="tx1"/>
            </w14:solidFill>
          </w14:textFill>
        </w:rPr>
        <w:t xml:space="preserve"> 投标人应遵守中国的有关法律、法规和规章的规定</w:t>
      </w:r>
      <w:r>
        <w:rPr>
          <w:rFonts w:hint="eastAsia" w:ascii="仿宋" w:hAnsi="仿宋" w:eastAsia="仿宋"/>
          <w:bCs/>
          <w:color w:val="000000" w:themeColor="text1"/>
          <w:sz w:val="32"/>
          <w:szCs w:val="32"/>
          <w14:textFill>
            <w14:solidFill>
              <w14:schemeClr w14:val="tx1"/>
            </w14:solidFill>
          </w14:textFill>
        </w:rPr>
        <w:t>。</w:t>
      </w:r>
    </w:p>
    <w:p w14:paraId="1E3BA31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3.3 一个投标人对同一个合同包只能提交一个投标文件。如果投标人之间存在下列互为关联关系的情形之一的，不得同时参加本项目投标：</w:t>
      </w:r>
    </w:p>
    <w:p w14:paraId="7142A41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法定代表人为同一人的两个及两个以上法人；</w:t>
      </w:r>
    </w:p>
    <w:p w14:paraId="7281210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母公司、直接或间接持股50％及以上的被投资公司;</w:t>
      </w:r>
    </w:p>
    <w:p w14:paraId="19CDD4A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 均为同一家母公司直接或间接持股50％及以上的被投资公司。</w:t>
      </w:r>
    </w:p>
    <w:p w14:paraId="31B5C0D9">
      <w:pPr>
        <w:spacing w:line="500" w:lineRule="exact"/>
        <w:ind w:firstLine="640" w:firstLineChars="200"/>
        <w:rPr>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3.4 本项目不接受联合体形式投标。</w:t>
      </w:r>
    </w:p>
    <w:p w14:paraId="6FD9E8A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3.5 投标代理人在同一个合同包中只能接受一个投标人的委托参加投标。</w:t>
      </w:r>
    </w:p>
    <w:p w14:paraId="7C0B3A0B">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98" w:name="_Toc192925651"/>
      <w:bookmarkStart w:id="99" w:name="_Toc18214"/>
      <w:bookmarkStart w:id="100" w:name="_Toc209383611"/>
      <w:bookmarkStart w:id="101" w:name="_Toc15258"/>
      <w:bookmarkStart w:id="102" w:name="_Toc191892303"/>
      <w:bookmarkStart w:id="103" w:name="_Toc2231"/>
      <w:bookmarkStart w:id="104" w:name="_Toc6472"/>
      <w:bookmarkStart w:id="105" w:name="_Toc29173"/>
      <w:bookmarkStart w:id="106" w:name="_Toc6803"/>
      <w:bookmarkStart w:id="107" w:name="_Toc24648"/>
      <w:bookmarkStart w:id="108" w:name="_Toc31297"/>
      <w:bookmarkStart w:id="109" w:name="_Toc9946"/>
      <w:bookmarkStart w:id="110" w:name="_Toc4430"/>
      <w:r>
        <w:rPr>
          <w:rFonts w:hint="eastAsia" w:ascii="仿宋" w:hAnsi="仿宋" w:eastAsia="仿宋"/>
          <w:color w:val="000000" w:themeColor="text1"/>
          <w:sz w:val="32"/>
          <w14:textFill>
            <w14:solidFill>
              <w14:schemeClr w14:val="tx1"/>
            </w14:solidFill>
          </w14:textFill>
        </w:rPr>
        <w:t>4</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 xml:space="preserve"> 投标费用</w:t>
      </w:r>
      <w:bookmarkEnd w:id="98"/>
      <w:bookmarkEnd w:id="99"/>
      <w:bookmarkEnd w:id="100"/>
      <w:bookmarkEnd w:id="101"/>
      <w:bookmarkEnd w:id="102"/>
      <w:bookmarkEnd w:id="103"/>
      <w:bookmarkEnd w:id="104"/>
      <w:bookmarkEnd w:id="105"/>
      <w:bookmarkEnd w:id="106"/>
      <w:bookmarkEnd w:id="107"/>
      <w:bookmarkEnd w:id="108"/>
      <w:bookmarkEnd w:id="109"/>
      <w:bookmarkEnd w:id="110"/>
    </w:p>
    <w:p w14:paraId="20B65A59">
      <w:pPr>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投标人自行承担其参加投标所涉及的一切费用。</w:t>
      </w:r>
      <w:bookmarkStart w:id="111" w:name="_Toc20816"/>
      <w:bookmarkStart w:id="112" w:name="_Toc6654"/>
      <w:bookmarkStart w:id="113" w:name="_Toc25039"/>
      <w:bookmarkStart w:id="114" w:name="_Toc191892304"/>
      <w:bookmarkStart w:id="115" w:name="_Toc192925652"/>
    </w:p>
    <w:p w14:paraId="6B924D85">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116" w:name="_Toc23346"/>
      <w:bookmarkStart w:id="117" w:name="_Toc18392"/>
      <w:bookmarkStart w:id="118" w:name="_Toc9333"/>
      <w:bookmarkStart w:id="119" w:name="_Toc23274"/>
      <w:bookmarkStart w:id="120" w:name="_Toc28856"/>
      <w:bookmarkStart w:id="121" w:name="_Toc15783"/>
      <w:bookmarkStart w:id="122" w:name="_Toc209383612"/>
      <w:bookmarkStart w:id="123" w:name="_Toc15720"/>
      <w:r>
        <w:rPr>
          <w:rFonts w:hint="eastAsia" w:ascii="仿宋" w:hAnsi="仿宋" w:eastAsia="仿宋"/>
          <w:color w:val="000000" w:themeColor="text1"/>
          <w:sz w:val="32"/>
          <w14:textFill>
            <w14:solidFill>
              <w14:schemeClr w14:val="tx1"/>
            </w14:solidFill>
          </w14:textFill>
        </w:rPr>
        <w:t>第二节  招标文件说明</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B641D44">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124" w:name="_Toc12228"/>
      <w:bookmarkStart w:id="125" w:name="_Toc25332"/>
      <w:bookmarkStart w:id="126" w:name="_Toc7784"/>
      <w:bookmarkStart w:id="127" w:name="_Toc29152"/>
      <w:bookmarkStart w:id="128" w:name="_Toc14495"/>
      <w:bookmarkStart w:id="129" w:name="_Toc12869"/>
      <w:bookmarkStart w:id="130" w:name="_Toc16258"/>
      <w:bookmarkStart w:id="131" w:name="_Toc209383613"/>
      <w:bookmarkStart w:id="132" w:name="_Toc25477"/>
      <w:bookmarkStart w:id="133" w:name="_Toc30783"/>
      <w:bookmarkStart w:id="134" w:name="_Toc29577"/>
      <w:bookmarkStart w:id="135" w:name="_Toc192925653"/>
      <w:bookmarkStart w:id="136" w:name="_Toc191892305"/>
      <w:r>
        <w:rPr>
          <w:rFonts w:hint="eastAsia" w:ascii="仿宋" w:hAnsi="仿宋" w:eastAsia="仿宋"/>
          <w:color w:val="000000" w:themeColor="text1"/>
          <w:sz w:val="32"/>
          <w14:textFill>
            <w14:solidFill>
              <w14:schemeClr w14:val="tx1"/>
            </w14:solidFill>
          </w14:textFill>
        </w:rPr>
        <w:t>5</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招标文件的组成</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23D6436A">
      <w:pPr>
        <w:ind w:firstLine="640" w:firstLineChars="200"/>
        <w:rPr>
          <w:rFonts w:ascii="仿宋" w:hAnsi="仿宋" w:eastAsia="仿宋"/>
          <w:b/>
          <w:color w:val="000000" w:themeColor="text1"/>
          <w:sz w:val="32"/>
          <w14:textFill>
            <w14:solidFill>
              <w14:schemeClr w14:val="tx1"/>
            </w14:solidFill>
          </w14:textFill>
        </w:rPr>
      </w:pPr>
      <w:bookmarkStart w:id="137" w:name="_Toc523325149"/>
      <w:bookmarkStart w:id="138" w:name="_Toc523325329"/>
      <w:r>
        <w:rPr>
          <w:rFonts w:hint="eastAsia" w:ascii="仿宋" w:hAnsi="仿宋" w:eastAsia="仿宋"/>
          <w:color w:val="000000" w:themeColor="text1"/>
          <w:sz w:val="32"/>
          <w14:textFill>
            <w14:solidFill>
              <w14:schemeClr w14:val="tx1"/>
            </w14:solidFill>
          </w14:textFill>
        </w:rPr>
        <w:t>5.1招标文件用以阐明所需货物及服务招标程序和合同主要条款。招标文件由下述主要部分组成：</w:t>
      </w:r>
      <w:bookmarkEnd w:id="137"/>
      <w:bookmarkEnd w:id="138"/>
    </w:p>
    <w:p w14:paraId="1850650E">
      <w:pPr>
        <w:ind w:firstLine="640" w:firstLineChars="200"/>
        <w:rPr>
          <w:rFonts w:ascii="仿宋" w:hAnsi="仿宋" w:eastAsia="仿宋"/>
          <w:b/>
          <w:color w:val="000000" w:themeColor="text1"/>
          <w:sz w:val="32"/>
          <w14:textFill>
            <w14:solidFill>
              <w14:schemeClr w14:val="tx1"/>
            </w14:solidFill>
          </w14:textFill>
        </w:rPr>
      </w:pPr>
      <w:bookmarkStart w:id="139" w:name="_Toc523325330"/>
      <w:bookmarkStart w:id="140" w:name="_Toc523325150"/>
      <w:r>
        <w:rPr>
          <w:rFonts w:hint="eastAsia" w:ascii="仿宋" w:hAnsi="仿宋" w:eastAsia="仿宋"/>
          <w:color w:val="000000" w:themeColor="text1"/>
          <w:sz w:val="32"/>
          <w14:textFill>
            <w14:solidFill>
              <w14:schemeClr w14:val="tx1"/>
            </w14:solidFill>
          </w14:textFill>
        </w:rPr>
        <w:t xml:space="preserve">⑴ </w:t>
      </w:r>
      <w:bookmarkEnd w:id="139"/>
      <w:bookmarkEnd w:id="140"/>
      <w:r>
        <w:rPr>
          <w:rFonts w:hint="eastAsia" w:ascii="仿宋" w:hAnsi="仿宋" w:eastAsia="仿宋"/>
          <w:color w:val="000000" w:themeColor="text1"/>
          <w:sz w:val="32"/>
          <w14:textFill>
            <w14:solidFill>
              <w14:schemeClr w14:val="tx1"/>
            </w14:solidFill>
          </w14:textFill>
        </w:rPr>
        <w:t>招标公告</w:t>
      </w:r>
    </w:p>
    <w:p w14:paraId="7A8B9E5E">
      <w:pPr>
        <w:ind w:firstLine="640" w:firstLineChars="200"/>
        <w:rPr>
          <w:rFonts w:ascii="仿宋" w:hAnsi="仿宋" w:eastAsia="仿宋"/>
          <w:b/>
          <w:color w:val="000000" w:themeColor="text1"/>
          <w:sz w:val="32"/>
          <w14:textFill>
            <w14:solidFill>
              <w14:schemeClr w14:val="tx1"/>
            </w14:solidFill>
          </w14:textFill>
        </w:rPr>
      </w:pPr>
      <w:bookmarkStart w:id="141" w:name="_Toc523325151"/>
      <w:bookmarkStart w:id="142" w:name="_Toc523325331"/>
      <w:r>
        <w:rPr>
          <w:rFonts w:hint="eastAsia" w:ascii="仿宋" w:hAnsi="仿宋" w:eastAsia="仿宋"/>
          <w:color w:val="000000" w:themeColor="text1"/>
          <w:sz w:val="32"/>
          <w14:textFill>
            <w14:solidFill>
              <w14:schemeClr w14:val="tx1"/>
            </w14:solidFill>
          </w14:textFill>
        </w:rPr>
        <w:t>⑵ 投标人须知</w:t>
      </w:r>
      <w:bookmarkEnd w:id="141"/>
      <w:bookmarkEnd w:id="142"/>
    </w:p>
    <w:p w14:paraId="2D1AE1A1">
      <w:pPr>
        <w:ind w:firstLine="640" w:firstLineChars="200"/>
        <w:rPr>
          <w:rFonts w:ascii="仿宋" w:hAnsi="仿宋" w:eastAsia="仿宋"/>
          <w:b/>
          <w:color w:val="000000" w:themeColor="text1"/>
          <w:sz w:val="32"/>
          <w14:textFill>
            <w14:solidFill>
              <w14:schemeClr w14:val="tx1"/>
            </w14:solidFill>
          </w14:textFill>
        </w:rPr>
      </w:pPr>
      <w:bookmarkStart w:id="143" w:name="_Toc523325332"/>
      <w:bookmarkStart w:id="144" w:name="_Toc523325152"/>
      <w:r>
        <w:rPr>
          <w:rFonts w:hint="eastAsia" w:ascii="仿宋" w:hAnsi="仿宋" w:eastAsia="仿宋"/>
          <w:color w:val="000000" w:themeColor="text1"/>
          <w:sz w:val="32"/>
          <w14:textFill>
            <w14:solidFill>
              <w14:schemeClr w14:val="tx1"/>
            </w14:solidFill>
          </w14:textFill>
        </w:rPr>
        <w:t>⑶ 招标内容及要求</w:t>
      </w:r>
      <w:bookmarkEnd w:id="143"/>
      <w:bookmarkEnd w:id="144"/>
    </w:p>
    <w:p w14:paraId="2FCA455D">
      <w:pPr>
        <w:ind w:firstLine="640" w:firstLineChars="200"/>
        <w:rPr>
          <w:rFonts w:ascii="仿宋" w:hAnsi="仿宋" w:eastAsia="仿宋"/>
          <w:color w:val="000000" w:themeColor="text1"/>
          <w:sz w:val="32"/>
          <w14:textFill>
            <w14:solidFill>
              <w14:schemeClr w14:val="tx1"/>
            </w14:solidFill>
          </w14:textFill>
        </w:rPr>
      </w:pPr>
      <w:bookmarkStart w:id="145" w:name="_Toc523325153"/>
      <w:bookmarkStart w:id="146" w:name="_Toc523325333"/>
      <w:r>
        <w:rPr>
          <w:rFonts w:hint="eastAsia" w:ascii="仿宋" w:hAnsi="仿宋" w:eastAsia="仿宋"/>
          <w:color w:val="000000" w:themeColor="text1"/>
          <w:sz w:val="32"/>
          <w14:textFill>
            <w14:solidFill>
              <w14:schemeClr w14:val="tx1"/>
            </w14:solidFill>
          </w14:textFill>
        </w:rPr>
        <w:t>⑷ 投标文件格式</w:t>
      </w:r>
      <w:bookmarkEnd w:id="145"/>
      <w:bookmarkEnd w:id="146"/>
      <w:bookmarkStart w:id="147" w:name="_Toc430489119"/>
      <w:bookmarkStart w:id="148" w:name="_Toc430488851"/>
      <w:bookmarkStart w:id="149" w:name="_Toc430422413"/>
      <w:bookmarkStart w:id="150" w:name="_Toc430490612"/>
      <w:bookmarkStart w:id="151" w:name="_Toc430488644"/>
      <w:bookmarkStart w:id="152" w:name="_Toc191892306"/>
      <w:bookmarkStart w:id="153" w:name="_Toc430492126"/>
      <w:bookmarkStart w:id="154" w:name="_Toc415567497"/>
      <w:bookmarkStart w:id="155" w:name="_Toc192925654"/>
    </w:p>
    <w:p w14:paraId="44CE5007">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156" w:name="_Toc5661"/>
      <w:bookmarkStart w:id="157" w:name="_Toc1999"/>
      <w:bookmarkStart w:id="158" w:name="_Toc6762"/>
      <w:bookmarkStart w:id="159" w:name="_Toc13700"/>
      <w:bookmarkStart w:id="160" w:name="_Toc19154"/>
      <w:bookmarkStart w:id="161" w:name="_Toc14141"/>
      <w:bookmarkStart w:id="162" w:name="_Toc23474"/>
      <w:bookmarkStart w:id="163" w:name="_Toc209383614"/>
      <w:bookmarkStart w:id="164" w:name="_Toc31854"/>
      <w:bookmarkStart w:id="165" w:name="_Toc24459"/>
      <w:bookmarkStart w:id="166" w:name="_Toc18286"/>
      <w:bookmarkStart w:id="167" w:name="_Toc16213"/>
      <w:r>
        <w:rPr>
          <w:rFonts w:ascii="仿宋" w:hAnsi="仿宋" w:eastAsia="仿宋"/>
          <w:color w:val="000000" w:themeColor="text1"/>
          <w:sz w:val="32"/>
          <w14:textFill>
            <w14:solidFill>
              <w14:schemeClr w14:val="tx1"/>
            </w14:solidFill>
          </w14:textFill>
        </w:rPr>
        <w:t>6. 招标文件的澄清</w:t>
      </w:r>
      <w:bookmarkEnd w:id="156"/>
      <w:bookmarkEnd w:id="157"/>
      <w:bookmarkEnd w:id="158"/>
      <w:bookmarkEnd w:id="159"/>
      <w:bookmarkEnd w:id="160"/>
      <w:bookmarkEnd w:id="161"/>
      <w:bookmarkEnd w:id="162"/>
      <w:bookmarkEnd w:id="163"/>
      <w:bookmarkEnd w:id="164"/>
      <w:bookmarkEnd w:id="165"/>
      <w:bookmarkEnd w:id="166"/>
      <w:bookmarkEnd w:id="167"/>
    </w:p>
    <w:bookmarkEnd w:id="147"/>
    <w:bookmarkEnd w:id="148"/>
    <w:bookmarkEnd w:id="149"/>
    <w:bookmarkEnd w:id="150"/>
    <w:bookmarkEnd w:id="151"/>
    <w:bookmarkEnd w:id="152"/>
    <w:bookmarkEnd w:id="153"/>
    <w:bookmarkEnd w:id="154"/>
    <w:bookmarkEnd w:id="155"/>
    <w:p w14:paraId="2CB22477">
      <w:pPr>
        <w:spacing w:line="500" w:lineRule="exact"/>
        <w:ind w:firstLine="640" w:firstLineChars="200"/>
        <w:rPr>
          <w:rFonts w:ascii="仿宋" w:hAnsi="仿宋" w:eastAsia="仿宋"/>
          <w:color w:val="000000" w:themeColor="text1"/>
          <w:sz w:val="32"/>
          <w:szCs w:val="32"/>
          <w14:textFill>
            <w14:solidFill>
              <w14:schemeClr w14:val="tx1"/>
            </w14:solidFill>
          </w14:textFill>
        </w:rPr>
      </w:pPr>
      <w:bookmarkStart w:id="168" w:name="_Toc523325335"/>
      <w:bookmarkStart w:id="169" w:name="_Toc523325155"/>
      <w:bookmarkStart w:id="170" w:name="_Toc192925656"/>
      <w:bookmarkStart w:id="171" w:name="_Toc191892308"/>
      <w:r>
        <w:rPr>
          <w:rFonts w:hint="eastAsia" w:ascii="仿宋" w:hAnsi="仿宋" w:eastAsia="仿宋"/>
          <w:color w:val="000000" w:themeColor="text1"/>
          <w:sz w:val="32"/>
          <w:szCs w:val="32"/>
          <w14:textFill>
            <w14:solidFill>
              <w14:schemeClr w14:val="tx1"/>
            </w14:solidFill>
          </w14:textFill>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168"/>
      <w:bookmarkEnd w:id="169"/>
      <w:bookmarkStart w:id="172" w:name="_Toc430492127"/>
      <w:bookmarkStart w:id="173" w:name="_Toc430489120"/>
      <w:bookmarkStart w:id="174" w:name="_Toc430488852"/>
      <w:bookmarkStart w:id="175" w:name="_Toc191892307"/>
      <w:bookmarkStart w:id="176" w:name="_Toc415567498"/>
      <w:bookmarkStart w:id="177" w:name="_Toc430490613"/>
      <w:bookmarkStart w:id="178" w:name="_Toc430422414"/>
      <w:bookmarkStart w:id="179" w:name="_Toc192925655"/>
      <w:bookmarkStart w:id="180" w:name="_Toc430488645"/>
    </w:p>
    <w:p w14:paraId="1736D0E0">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181" w:name="_Toc7878"/>
      <w:bookmarkStart w:id="182" w:name="_Toc21464"/>
      <w:bookmarkStart w:id="183" w:name="_Toc209383615"/>
      <w:bookmarkStart w:id="184" w:name="_Toc15245"/>
      <w:bookmarkStart w:id="185" w:name="_Toc27108"/>
      <w:bookmarkStart w:id="186" w:name="_Toc22311"/>
      <w:bookmarkStart w:id="187" w:name="_Toc13436"/>
      <w:bookmarkStart w:id="188" w:name="_Toc14484"/>
      <w:bookmarkStart w:id="189" w:name="_Toc25256"/>
      <w:bookmarkStart w:id="190" w:name="_Toc4727"/>
      <w:bookmarkStart w:id="191" w:name="_Toc3481"/>
      <w:bookmarkStart w:id="192" w:name="_Toc26469"/>
      <w:r>
        <w:rPr>
          <w:rFonts w:ascii="仿宋" w:hAnsi="仿宋" w:eastAsia="仿宋"/>
          <w:color w:val="000000" w:themeColor="text1"/>
          <w:sz w:val="32"/>
          <w14:textFill>
            <w14:solidFill>
              <w14:schemeClr w14:val="tx1"/>
            </w14:solidFill>
          </w14:textFill>
        </w:rPr>
        <w:t xml:space="preserve">7. </w:t>
      </w:r>
      <w:r>
        <w:rPr>
          <w:rFonts w:hint="eastAsia" w:ascii="仿宋" w:hAnsi="仿宋" w:eastAsia="仿宋"/>
          <w:color w:val="000000" w:themeColor="text1"/>
          <w:sz w:val="32"/>
          <w14:textFill>
            <w14:solidFill>
              <w14:schemeClr w14:val="tx1"/>
            </w14:solidFill>
          </w14:textFill>
        </w:rPr>
        <w:t>招标文件的修改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3CC04D0">
      <w:pPr>
        <w:spacing w:line="500" w:lineRule="exact"/>
        <w:ind w:firstLine="640" w:firstLineChars="200"/>
        <w:rPr>
          <w:rFonts w:ascii="仿宋" w:hAnsi="仿宋" w:eastAsia="仿宋"/>
          <w:color w:val="000000" w:themeColor="text1"/>
          <w:sz w:val="32"/>
          <w:szCs w:val="32"/>
          <w14:textFill>
            <w14:solidFill>
              <w14:schemeClr w14:val="tx1"/>
            </w14:solidFill>
          </w14:textFill>
        </w:rPr>
      </w:pPr>
      <w:bookmarkStart w:id="193" w:name="_Toc523325337"/>
      <w:bookmarkStart w:id="194" w:name="_Toc523325157"/>
      <w:r>
        <w:rPr>
          <w:rFonts w:hint="eastAsia" w:ascii="仿宋" w:hAnsi="仿宋" w:eastAsia="仿宋"/>
          <w:color w:val="000000" w:themeColor="text1"/>
          <w:sz w:val="32"/>
          <w:szCs w:val="32"/>
          <w14:textFill>
            <w14:solidFill>
              <w14:schemeClr w14:val="tx1"/>
            </w14:solidFill>
          </w14:textFill>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193"/>
      <w:bookmarkEnd w:id="194"/>
    </w:p>
    <w:p w14:paraId="0CD19B1A">
      <w:pPr>
        <w:spacing w:line="276" w:lineRule="auto"/>
        <w:ind w:firstLine="640" w:firstLineChars="200"/>
        <w:rPr>
          <w:rFonts w:ascii="仿宋" w:hAnsi="仿宋" w:eastAsia="仿宋"/>
          <w:color w:val="000000" w:themeColor="text1"/>
          <w:sz w:val="32"/>
          <w14:textFill>
            <w14:solidFill>
              <w14:schemeClr w14:val="tx1"/>
            </w14:solidFill>
          </w14:textFill>
        </w:rPr>
      </w:pPr>
      <w:bookmarkStart w:id="195" w:name="_Toc523325338"/>
      <w:bookmarkStart w:id="196" w:name="_Toc523325158"/>
      <w:r>
        <w:rPr>
          <w:rFonts w:hint="eastAsia" w:ascii="仿宋" w:hAnsi="仿宋" w:eastAsia="仿宋"/>
          <w:color w:val="000000" w:themeColor="text1"/>
          <w:sz w:val="32"/>
          <w:szCs w:val="32"/>
          <w14:textFill>
            <w14:solidFill>
              <w14:schemeClr w14:val="tx1"/>
            </w14:solidFill>
          </w14:textFill>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195"/>
      <w:bookmarkEnd w:id="196"/>
      <w:bookmarkStart w:id="197" w:name="_Toc3212"/>
      <w:bookmarkStart w:id="198" w:name="_Toc22845"/>
      <w:bookmarkStart w:id="199" w:name="_Toc10278"/>
    </w:p>
    <w:p w14:paraId="7F60E9D5">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200" w:name="_Toc16320"/>
      <w:bookmarkStart w:id="201" w:name="_Toc209383616"/>
      <w:bookmarkStart w:id="202" w:name="_Toc16596"/>
      <w:bookmarkStart w:id="203" w:name="_Toc14216"/>
      <w:bookmarkStart w:id="204" w:name="_Toc4277"/>
      <w:bookmarkStart w:id="205" w:name="_Toc15408"/>
      <w:bookmarkStart w:id="206" w:name="_Toc13376"/>
      <w:bookmarkStart w:id="207" w:name="_Toc4193"/>
      <w:r>
        <w:rPr>
          <w:rFonts w:hint="eastAsia" w:ascii="仿宋" w:hAnsi="仿宋" w:eastAsia="仿宋"/>
          <w:color w:val="000000" w:themeColor="text1"/>
          <w:sz w:val="32"/>
          <w14:textFill>
            <w14:solidFill>
              <w14:schemeClr w14:val="tx1"/>
            </w14:solidFill>
          </w14:textFill>
        </w:rPr>
        <w:t>第三节  投标文件的编写</w:t>
      </w:r>
      <w:bookmarkEnd w:id="170"/>
      <w:bookmarkEnd w:id="171"/>
      <w:bookmarkEnd w:id="197"/>
      <w:bookmarkEnd w:id="198"/>
      <w:bookmarkEnd w:id="199"/>
      <w:bookmarkEnd w:id="200"/>
      <w:bookmarkEnd w:id="201"/>
      <w:bookmarkEnd w:id="202"/>
      <w:bookmarkEnd w:id="203"/>
      <w:bookmarkEnd w:id="204"/>
      <w:bookmarkEnd w:id="205"/>
      <w:bookmarkEnd w:id="206"/>
      <w:bookmarkEnd w:id="207"/>
    </w:p>
    <w:p w14:paraId="78A7A1DE">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08" w:name="_Toc12645"/>
      <w:bookmarkStart w:id="209" w:name="_Toc9156"/>
      <w:bookmarkStart w:id="210" w:name="_Toc21576"/>
      <w:bookmarkStart w:id="211" w:name="_Toc23518"/>
      <w:bookmarkStart w:id="212" w:name="_Toc4718"/>
      <w:bookmarkStart w:id="213" w:name="_Toc1664"/>
      <w:bookmarkStart w:id="214" w:name="_Toc16692"/>
      <w:bookmarkStart w:id="215" w:name="_Toc192925657"/>
      <w:bookmarkStart w:id="216" w:name="_Toc8558"/>
      <w:bookmarkStart w:id="217" w:name="_Toc30457"/>
      <w:bookmarkStart w:id="218" w:name="_Toc191892309"/>
      <w:bookmarkStart w:id="219" w:name="_Toc93"/>
      <w:bookmarkStart w:id="220" w:name="_Toc209383617"/>
      <w:r>
        <w:rPr>
          <w:rFonts w:hint="eastAsia" w:ascii="仿宋" w:hAnsi="仿宋" w:eastAsia="仿宋"/>
          <w:color w:val="000000" w:themeColor="text1"/>
          <w:sz w:val="32"/>
          <w14:textFill>
            <w14:solidFill>
              <w14:schemeClr w14:val="tx1"/>
            </w14:solidFill>
          </w14:textFill>
        </w:rPr>
        <w:t>8</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要求</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353A944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8.1 投标人应仔细阅读招标文件的所有内容，按照招标文件的要求提交投标文件。投标文件应对招标文件的要求做出实质性响应，并保证所提供的全部资料的真实性，否则其投标将被拒绝。</w:t>
      </w:r>
    </w:p>
    <w:p w14:paraId="731E5880">
      <w:pPr>
        <w:tabs>
          <w:tab w:val="left" w:pos="900"/>
        </w:tabs>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8.2除非有另外的规定，投标人可对招标项目一览表所列的全部合同包或部分合同包进行投标。招标人不接受有任何可选择性的报价，每一种服务只能有一个报价。</w:t>
      </w:r>
    </w:p>
    <w:p w14:paraId="11095969">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21" w:name="_Toc2186"/>
      <w:bookmarkStart w:id="222" w:name="_Toc2697"/>
      <w:bookmarkStart w:id="223" w:name="_Toc14967"/>
      <w:bookmarkStart w:id="224" w:name="_Toc26221"/>
      <w:bookmarkStart w:id="225" w:name="_Toc2690"/>
      <w:bookmarkStart w:id="226" w:name="_Toc191892310"/>
      <w:bookmarkStart w:id="227" w:name="_Toc2423"/>
      <w:bookmarkStart w:id="228" w:name="_Toc11434"/>
      <w:bookmarkStart w:id="229" w:name="_Toc209383618"/>
      <w:bookmarkStart w:id="230" w:name="_Toc6423"/>
      <w:bookmarkStart w:id="231" w:name="_Toc10201"/>
      <w:bookmarkStart w:id="232" w:name="_Toc6185"/>
      <w:bookmarkStart w:id="233" w:name="_Toc192925658"/>
      <w:r>
        <w:rPr>
          <w:rFonts w:hint="eastAsia" w:ascii="仿宋" w:hAnsi="仿宋" w:eastAsia="仿宋"/>
          <w:color w:val="000000" w:themeColor="text1"/>
          <w:sz w:val="32"/>
          <w14:textFill>
            <w14:solidFill>
              <w14:schemeClr w14:val="tx1"/>
            </w14:solidFill>
          </w14:textFill>
        </w:rPr>
        <w:t>9</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投标文件语言</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4160A5E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9.1投标文件应用中文书写。投标文件中所附或所引用的原件不是中文时，应附中文译本。各种计量单位及符号应采用国际上统一使用的公制计量单位和符号。</w:t>
      </w:r>
    </w:p>
    <w:p w14:paraId="4174FDCB">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34" w:name="_Toc16840"/>
      <w:bookmarkStart w:id="235" w:name="_Toc192925659"/>
      <w:bookmarkStart w:id="236" w:name="_Toc26284"/>
      <w:bookmarkStart w:id="237" w:name="_Toc21581"/>
      <w:bookmarkStart w:id="238" w:name="_Toc191892311"/>
      <w:bookmarkStart w:id="239" w:name="_Toc20103"/>
      <w:bookmarkStart w:id="240" w:name="_Toc209383619"/>
      <w:bookmarkStart w:id="241" w:name="_Toc29233"/>
      <w:bookmarkStart w:id="242" w:name="_Toc30149"/>
      <w:bookmarkStart w:id="243" w:name="_Toc26190"/>
      <w:bookmarkStart w:id="244" w:name="_Toc24073"/>
      <w:bookmarkStart w:id="245" w:name="_Toc29124"/>
      <w:bookmarkStart w:id="246" w:name="_Toc28787"/>
      <w:r>
        <w:rPr>
          <w:rFonts w:hint="eastAsia" w:ascii="仿宋" w:hAnsi="仿宋" w:eastAsia="仿宋"/>
          <w:color w:val="000000" w:themeColor="text1"/>
          <w:sz w:val="32"/>
          <w14:textFill>
            <w14:solidFill>
              <w14:schemeClr w14:val="tx1"/>
            </w14:solidFill>
          </w14:textFill>
        </w:rPr>
        <w:t>10</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0F580F5F">
      <w:pPr>
        <w:spacing w:line="500" w:lineRule="exact"/>
        <w:ind w:firstLine="640" w:firstLineChars="200"/>
        <w:rPr>
          <w:rFonts w:ascii="仿宋" w:hAnsi="仿宋" w:eastAsia="仿宋"/>
          <w:color w:val="000000" w:themeColor="text1"/>
          <w:sz w:val="32"/>
          <w:szCs w:val="32"/>
          <w14:textFill>
            <w14:solidFill>
              <w14:schemeClr w14:val="tx1"/>
            </w14:solidFill>
          </w14:textFill>
        </w:rPr>
      </w:pPr>
      <w:bookmarkStart w:id="247" w:name="_Toc4863"/>
      <w:bookmarkStart w:id="248" w:name="_Toc191892312"/>
      <w:bookmarkStart w:id="249" w:name="_Toc192925660"/>
      <w:r>
        <w:rPr>
          <w:rFonts w:ascii="仿宋" w:hAnsi="仿宋" w:eastAsia="仿宋"/>
          <w:color w:val="000000" w:themeColor="text1"/>
          <w:sz w:val="32"/>
          <w:szCs w:val="32"/>
          <w14:textFill>
            <w14:solidFill>
              <w14:schemeClr w14:val="tx1"/>
            </w14:solidFill>
          </w14:textFill>
        </w:rPr>
        <w:t>10.1.1</w:t>
      </w:r>
      <w:r>
        <w:rPr>
          <w:rFonts w:hint="eastAsia" w:ascii="仿宋" w:hAnsi="仿宋" w:eastAsia="仿宋"/>
          <w:color w:val="000000" w:themeColor="text1"/>
          <w:sz w:val="32"/>
          <w:szCs w:val="32"/>
          <w14:textFill>
            <w14:solidFill>
              <w14:schemeClr w14:val="tx1"/>
            </w14:solidFill>
          </w14:textFill>
        </w:rPr>
        <w:t>投标书</w:t>
      </w:r>
    </w:p>
    <w:p w14:paraId="749FB09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10.1.2</w:t>
      </w:r>
      <w:r>
        <w:rPr>
          <w:rFonts w:hint="eastAsia" w:ascii="仿宋" w:hAnsi="仿宋" w:eastAsia="仿宋"/>
          <w:color w:val="000000" w:themeColor="text1"/>
          <w:sz w:val="32"/>
          <w:szCs w:val="32"/>
          <w14:textFill>
            <w14:solidFill>
              <w14:schemeClr w14:val="tx1"/>
            </w14:solidFill>
          </w14:textFill>
        </w:rPr>
        <w:t>开标一览表</w:t>
      </w:r>
    </w:p>
    <w:p w14:paraId="48F42DF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10.1.3</w:t>
      </w:r>
      <w:r>
        <w:rPr>
          <w:rFonts w:hint="eastAsia" w:ascii="仿宋" w:hAnsi="仿宋" w:eastAsia="仿宋"/>
          <w:color w:val="000000" w:themeColor="text1"/>
          <w:sz w:val="32"/>
          <w:szCs w:val="32"/>
          <w14:textFill>
            <w14:solidFill>
              <w14:schemeClr w14:val="tx1"/>
            </w14:solidFill>
          </w14:textFill>
        </w:rPr>
        <w:t>投标人业绩证明</w:t>
      </w:r>
    </w:p>
    <w:p w14:paraId="72A4130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4安全生产管理协议书</w:t>
      </w:r>
    </w:p>
    <w:p w14:paraId="41374A8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5售后服务承诺函</w:t>
      </w:r>
    </w:p>
    <w:p w14:paraId="3B6B285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6法人代表授权书</w:t>
      </w:r>
    </w:p>
    <w:p w14:paraId="5821224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7法人营业执照</w:t>
      </w:r>
    </w:p>
    <w:p w14:paraId="474336B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10.1.</w:t>
      </w:r>
      <w:r>
        <w:rPr>
          <w:rFonts w:hint="eastAsia" w:ascii="仿宋" w:hAnsi="仿宋" w:eastAsia="仿宋"/>
          <w:color w:val="000000" w:themeColor="text1"/>
          <w:sz w:val="32"/>
          <w:szCs w:val="32"/>
          <w14:textFill>
            <w14:solidFill>
              <w14:schemeClr w14:val="tx1"/>
            </w14:solidFill>
          </w14:textFill>
        </w:rPr>
        <w:t>8廉洁诚信承诺书</w:t>
      </w:r>
    </w:p>
    <w:p w14:paraId="67023AA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10.1.9 带“</w:t>
      </w: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号条款逐条响应情况表</w:t>
      </w:r>
    </w:p>
    <w:p w14:paraId="79C4779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10.1.10投标人提交的其它资料</w:t>
      </w:r>
    </w:p>
    <w:p w14:paraId="08E88672">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50" w:name="_Toc13774"/>
      <w:bookmarkStart w:id="251" w:name="_Toc24333"/>
      <w:bookmarkStart w:id="252" w:name="_Toc8892"/>
      <w:bookmarkStart w:id="253" w:name="_Toc6207"/>
      <w:bookmarkStart w:id="254" w:name="_Toc3439"/>
      <w:bookmarkStart w:id="255" w:name="_Toc19043"/>
      <w:bookmarkStart w:id="256" w:name="_Toc209383620"/>
      <w:bookmarkStart w:id="257" w:name="_Toc10077"/>
      <w:bookmarkStart w:id="258" w:name="_Toc19405"/>
      <w:bookmarkStart w:id="259" w:name="_Toc18775"/>
      <w:r>
        <w:rPr>
          <w:rFonts w:hint="eastAsia" w:ascii="仿宋" w:hAnsi="仿宋" w:eastAsia="仿宋"/>
          <w:color w:val="000000" w:themeColor="text1"/>
          <w:sz w:val="32"/>
          <w14:textFill>
            <w14:solidFill>
              <w14:schemeClr w14:val="tx1"/>
            </w14:solidFill>
          </w14:textFill>
        </w:rPr>
        <w:t>11</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投标有效期</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3CCD585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11.1投标文件从“</w:t>
      </w:r>
      <w:r>
        <w:rPr>
          <w:rFonts w:hint="eastAsia" w:ascii="仿宋" w:hAnsi="仿宋" w:eastAsia="仿宋"/>
          <w:bCs/>
          <w:color w:val="000000" w:themeColor="text1"/>
          <w:sz w:val="32"/>
          <w:szCs w:val="32"/>
          <w14:textFill>
            <w14:solidFill>
              <w14:schemeClr w14:val="tx1"/>
            </w14:solidFill>
          </w14:textFill>
        </w:rPr>
        <w:t>投标人须知前附表”</w:t>
      </w:r>
      <w:r>
        <w:rPr>
          <w:rFonts w:hint="eastAsia" w:ascii="仿宋" w:hAnsi="仿宋" w:eastAsia="仿宋"/>
          <w:color w:val="000000" w:themeColor="text1"/>
          <w:sz w:val="32"/>
          <w:szCs w:val="32"/>
          <w14:textFill>
            <w14:solidFill>
              <w14:schemeClr w14:val="tx1"/>
            </w14:solidFill>
          </w14:textFill>
        </w:rPr>
        <w:t>第4项所规定的投标截止期之后开始生效，在“</w:t>
      </w:r>
      <w:r>
        <w:rPr>
          <w:rFonts w:hint="eastAsia" w:ascii="仿宋" w:hAnsi="仿宋" w:eastAsia="仿宋"/>
          <w:bCs/>
          <w:color w:val="000000" w:themeColor="text1"/>
          <w:sz w:val="32"/>
          <w:szCs w:val="32"/>
          <w14:textFill>
            <w14:solidFill>
              <w14:schemeClr w14:val="tx1"/>
            </w14:solidFill>
          </w14:textFill>
        </w:rPr>
        <w:t>投标人须知前附表”</w:t>
      </w:r>
      <w:r>
        <w:rPr>
          <w:rFonts w:hint="eastAsia" w:ascii="仿宋" w:hAnsi="仿宋" w:eastAsia="仿宋"/>
          <w:color w:val="000000" w:themeColor="text1"/>
          <w:sz w:val="32"/>
          <w:szCs w:val="32"/>
          <w14:textFill>
            <w14:solidFill>
              <w14:schemeClr w14:val="tx1"/>
            </w14:solidFill>
          </w14:textFill>
        </w:rPr>
        <w:t>第</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项所规定的期限内保持有效。有效期不足将导致其投标文件被拒绝。</w:t>
      </w:r>
    </w:p>
    <w:p w14:paraId="12EAA1A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2D318965">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60" w:name="_Toc9512"/>
      <w:bookmarkStart w:id="261" w:name="_Toc209383621"/>
      <w:bookmarkStart w:id="262" w:name="_Toc4521"/>
      <w:bookmarkStart w:id="263" w:name="_Toc25046"/>
      <w:bookmarkStart w:id="264" w:name="_Toc32399"/>
      <w:bookmarkStart w:id="265" w:name="_Toc27271"/>
      <w:bookmarkStart w:id="266" w:name="_Toc32045"/>
      <w:bookmarkStart w:id="267" w:name="_Toc29401"/>
      <w:bookmarkStart w:id="268" w:name="_Toc191892313"/>
      <w:bookmarkStart w:id="269" w:name="_Toc30051"/>
      <w:bookmarkStart w:id="270" w:name="_Toc22811"/>
      <w:bookmarkStart w:id="271" w:name="_Toc192925661"/>
      <w:bookmarkStart w:id="272" w:name="_Toc25529"/>
      <w:r>
        <w:rPr>
          <w:rFonts w:hint="eastAsia" w:ascii="仿宋" w:hAnsi="仿宋" w:eastAsia="仿宋"/>
          <w:color w:val="000000" w:themeColor="text1"/>
          <w:sz w:val="32"/>
          <w14:textFill>
            <w14:solidFill>
              <w14:schemeClr w14:val="tx1"/>
            </w14:solidFill>
          </w14:textFill>
        </w:rPr>
        <w:t>12. 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22D3FCA2">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12.1 投标保证金</w:t>
      </w:r>
    </w:p>
    <w:p w14:paraId="6BF7672F">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12.1.1投标保证金为投标文件的组成部分之一。</w:t>
      </w:r>
    </w:p>
    <w:p w14:paraId="15FD935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12.1.2 投标人应在提交投标文件之前，向招标人缴交“投标人须知前附表”第5项要求的投标保证金。</w:t>
      </w:r>
    </w:p>
    <w:p w14:paraId="670B2E9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12.1.3 投标保证金用于保护本次招标活动免受投标人的行为而引起的风险。</w:t>
      </w:r>
    </w:p>
    <w:p w14:paraId="6FBCE9B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12.1.4 投标保证金以转账或电汇形式提交，必须于投标截止时间前到账。</w:t>
      </w:r>
    </w:p>
    <w:p w14:paraId="33ABBDF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12.1.5 未按规定缴交投标保证金的投标，将被视为无效投标。</w:t>
      </w:r>
    </w:p>
    <w:p w14:paraId="12E9142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12.1.6中标通知书发出后，招标人</w:t>
      </w:r>
      <w:r>
        <w:rPr>
          <w:rFonts w:ascii="仿宋" w:hAnsi="仿宋" w:eastAsia="仿宋"/>
          <w:color w:val="000000" w:themeColor="text1"/>
          <w:sz w:val="32"/>
          <w:szCs w:val="32"/>
          <w14:textFill>
            <w14:solidFill>
              <w14:schemeClr w14:val="tx1"/>
            </w14:solidFill>
          </w14:textFill>
        </w:rPr>
        <w:t>将</w:t>
      </w:r>
      <w:r>
        <w:rPr>
          <w:rFonts w:hint="eastAsia" w:ascii="仿宋" w:hAnsi="仿宋" w:eastAsia="仿宋"/>
          <w:color w:val="000000" w:themeColor="text1"/>
          <w:sz w:val="32"/>
          <w:szCs w:val="32"/>
          <w14:textFill>
            <w14:solidFill>
              <w14:schemeClr w14:val="tx1"/>
            </w14:solidFill>
          </w14:textFill>
        </w:rPr>
        <w:t>在20个工作日内予以原额无息退还未中标人的投标保证金。</w:t>
      </w:r>
    </w:p>
    <w:p w14:paraId="1A0E3C7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12.1.7 发生</w:t>
      </w:r>
      <w:r>
        <w:rPr>
          <w:rFonts w:hint="eastAsia" w:ascii="仿宋" w:hAnsi="仿宋" w:eastAsia="仿宋"/>
          <w:b/>
          <w:color w:val="000000" w:themeColor="text1"/>
          <w:sz w:val="32"/>
          <w:szCs w:val="32"/>
          <w14:textFill>
            <w14:solidFill>
              <w14:schemeClr w14:val="tx1"/>
            </w14:solidFill>
          </w14:textFill>
        </w:rPr>
        <w:t>以下情况之一</w:t>
      </w:r>
      <w:r>
        <w:rPr>
          <w:rFonts w:hint="eastAsia" w:ascii="仿宋" w:hAnsi="仿宋" w:eastAsia="仿宋"/>
          <w:color w:val="000000" w:themeColor="text1"/>
          <w:sz w:val="32"/>
          <w:szCs w:val="32"/>
          <w14:textFill>
            <w14:solidFill>
              <w14:schemeClr w14:val="tx1"/>
            </w14:solidFill>
          </w14:textFill>
        </w:rPr>
        <w:t>的，投标保证金将</w:t>
      </w:r>
      <w:r>
        <w:rPr>
          <w:rFonts w:hint="eastAsia" w:ascii="仿宋" w:hAnsi="仿宋" w:eastAsia="仿宋"/>
          <w:b/>
          <w:color w:val="000000" w:themeColor="text1"/>
          <w:sz w:val="32"/>
          <w:szCs w:val="32"/>
          <w14:textFill>
            <w14:solidFill>
              <w14:schemeClr w14:val="tx1"/>
            </w14:solidFill>
          </w14:textFill>
        </w:rPr>
        <w:t>不予退还</w:t>
      </w:r>
      <w:r>
        <w:rPr>
          <w:rFonts w:hint="eastAsia" w:ascii="仿宋" w:hAnsi="仿宋" w:eastAsia="仿宋"/>
          <w:color w:val="000000" w:themeColor="text1"/>
          <w:sz w:val="32"/>
          <w:szCs w:val="32"/>
          <w14:textFill>
            <w14:solidFill>
              <w14:schemeClr w14:val="tx1"/>
            </w14:solidFill>
          </w14:textFill>
        </w:rPr>
        <w:t>：</w:t>
      </w:r>
    </w:p>
    <w:p w14:paraId="5E3D960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⑴ 投标人在投标截止期后，投标有效期内撤回投标；</w:t>
      </w:r>
    </w:p>
    <w:p w14:paraId="442A91D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⑵ 中标人未能做到按本须知第23条规定签订合同；</w:t>
      </w:r>
    </w:p>
    <w:p w14:paraId="4A1A572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⑶中标人未按本招标文件规定提交银行履约保函或履约保证金的；</w:t>
      </w:r>
    </w:p>
    <w:p w14:paraId="0F375C4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⑷ 以他人名义投标或者以其他方式弄虚作假，骗取中标；</w:t>
      </w:r>
    </w:p>
    <w:p w14:paraId="238C220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⑸ 本招标文件中规定的其他没收投标保证金的情形。</w:t>
      </w:r>
    </w:p>
    <w:p w14:paraId="64308EE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上述不予退还投标保证金的情况，如给招标人造成损失的，投标人还应承担赔偿责任。</w:t>
      </w:r>
    </w:p>
    <w:p w14:paraId="1BC6AD29">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73" w:name="_Toc23598"/>
      <w:bookmarkStart w:id="274" w:name="_Toc2571"/>
      <w:bookmarkStart w:id="275" w:name="_Toc10091"/>
      <w:bookmarkStart w:id="276" w:name="_Toc16470"/>
      <w:bookmarkStart w:id="277" w:name="_Toc191892314"/>
      <w:bookmarkStart w:id="278" w:name="_Toc12188"/>
      <w:bookmarkStart w:id="279" w:name="_Toc209383622"/>
      <w:bookmarkStart w:id="280" w:name="_Toc26345"/>
      <w:bookmarkStart w:id="281" w:name="_Toc9999"/>
      <w:bookmarkStart w:id="282" w:name="_Toc15308"/>
      <w:bookmarkStart w:id="283" w:name="_Toc13454"/>
      <w:bookmarkStart w:id="284" w:name="_Toc192925662"/>
      <w:bookmarkStart w:id="285" w:name="_Toc13647"/>
      <w:r>
        <w:rPr>
          <w:rFonts w:hint="eastAsia" w:ascii="仿宋" w:hAnsi="仿宋" w:eastAsia="仿宋"/>
          <w:color w:val="000000" w:themeColor="text1"/>
          <w:sz w:val="32"/>
          <w14:textFill>
            <w14:solidFill>
              <w14:schemeClr w14:val="tx1"/>
            </w14:solidFill>
          </w14:textFill>
        </w:rPr>
        <w:t>13</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投标文件的格式</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1AE6AF5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13.1投标人须按照本招标文件规定，编制投标文件的</w:t>
      </w:r>
      <w:r>
        <w:rPr>
          <w:rFonts w:hint="eastAsia" w:ascii="仿宋" w:hAnsi="仿宋" w:eastAsia="仿宋"/>
          <w:b/>
          <w:color w:val="000000" w:themeColor="text1"/>
          <w:sz w:val="32"/>
          <w:szCs w:val="32"/>
          <w14:textFill>
            <w14:solidFill>
              <w14:schemeClr w14:val="tx1"/>
            </w14:solidFill>
          </w14:textFill>
        </w:rPr>
        <w:t>正本一份，副本一份,</w:t>
      </w:r>
      <w:r>
        <w:rPr>
          <w:rFonts w:hint="eastAsia" w:ascii="仿宋" w:hAnsi="仿宋" w:eastAsia="仿宋"/>
          <w:b/>
          <w:bCs/>
          <w:color w:val="000000" w:themeColor="text1"/>
          <w:sz w:val="32"/>
          <w:szCs w:val="32"/>
          <w14:textFill>
            <w14:solidFill>
              <w14:schemeClr w14:val="tx1"/>
            </w14:solidFill>
          </w14:textFill>
        </w:rPr>
        <w:t>电子版一份(通过U盘介质提交）</w:t>
      </w:r>
      <w:r>
        <w:rPr>
          <w:rFonts w:hint="eastAsia" w:ascii="仿宋" w:hAnsi="仿宋" w:eastAsia="仿宋"/>
          <w:color w:val="000000" w:themeColor="text1"/>
          <w:sz w:val="32"/>
          <w:szCs w:val="32"/>
          <w14:textFill>
            <w14:solidFill>
              <w14:schemeClr w14:val="tx1"/>
            </w14:solidFill>
          </w14:textFill>
        </w:rPr>
        <w:t>。正本必须用A4幅面纸张打印装订，副本可用正本的完整复印件，投标文件电子版应为doc格式，并在封面标明“正本”、“副本”、“电子版”字样。正本、副本、电子版如有不一致，则以正本为准。</w:t>
      </w:r>
    </w:p>
    <w:p w14:paraId="43F83BF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13.2投标文件应由投标人的法定代表人或者其授权代表签字并加盖公章，如由后者签字，应提供“法定代表人授权委托书”。</w:t>
      </w:r>
    </w:p>
    <w:p w14:paraId="6F7DFFD7">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13.3 除非有另外的规定或许可外，投标使用货币均为人民币。</w:t>
      </w:r>
    </w:p>
    <w:p w14:paraId="5BC1890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13.4投标人应提交证明其拟供货物符合招标文件要求的技术响应文件，该文件可以是文字资料、图纸和数据，并须提供货物主要技术性能的详细描述。</w:t>
      </w:r>
    </w:p>
    <w:p w14:paraId="45BB228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 xml:space="preserve">.5 </w:t>
      </w:r>
      <w:r>
        <w:rPr>
          <w:rFonts w:hint="eastAsia" w:ascii="仿宋" w:hAnsi="仿宋" w:eastAsia="仿宋"/>
          <w:color w:val="000000" w:themeColor="text1"/>
          <w:sz w:val="32"/>
          <w:szCs w:val="32"/>
          <w14:textFill>
            <w14:solidFill>
              <w14:schemeClr w14:val="tx1"/>
            </w14:solidFill>
          </w14:textFill>
        </w:rPr>
        <w:t>投标文件的正本和全部副本均应使用不能擦去的墨料或墨水打印、书写或复印，并由法定代表人或其授权代表签署，盖投标人公章。</w:t>
      </w:r>
    </w:p>
    <w:p w14:paraId="514FBA2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3D1FBD8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13.7未按本招标文件规定的格式填写投标文件或投标文件字迹模糊不清的投标可能导致不利于投标人的评标结果。</w:t>
      </w:r>
    </w:p>
    <w:p w14:paraId="3D342AB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13.8 所有资格证明文件复印件，须加盖投标人公章。</w:t>
      </w:r>
    </w:p>
    <w:p w14:paraId="3C34031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13.9 投标人应将投标文件按顺序装订成册、打印页码，并编列目录、资料清单，由于装订不规范或编排顺序混乱而导致投标文件被误读或漏读，投标人自行承担后果。</w:t>
      </w:r>
    </w:p>
    <w:p w14:paraId="213461F5">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286" w:name="_Toc22996"/>
      <w:bookmarkStart w:id="287" w:name="_Toc191892315"/>
      <w:bookmarkStart w:id="288" w:name="_Toc6300"/>
      <w:bookmarkStart w:id="289" w:name="_Toc8056"/>
      <w:bookmarkStart w:id="290" w:name="_Toc11707"/>
      <w:bookmarkStart w:id="291" w:name="_Toc18487"/>
      <w:bookmarkStart w:id="292" w:name="_Toc20684"/>
      <w:bookmarkStart w:id="293" w:name="_Toc9039"/>
      <w:bookmarkStart w:id="294" w:name="_Toc209383623"/>
      <w:bookmarkStart w:id="295" w:name="_Toc2202"/>
      <w:bookmarkStart w:id="296" w:name="_Toc3547"/>
      <w:bookmarkStart w:id="297" w:name="_Toc21732"/>
      <w:bookmarkStart w:id="298" w:name="_Toc192925663"/>
      <w:r>
        <w:rPr>
          <w:rFonts w:hint="eastAsia" w:ascii="仿宋" w:hAnsi="仿宋" w:eastAsia="仿宋"/>
          <w:color w:val="000000" w:themeColor="text1"/>
          <w:sz w:val="32"/>
          <w14:textFill>
            <w14:solidFill>
              <w14:schemeClr w14:val="tx1"/>
            </w14:solidFill>
          </w14:textFill>
        </w:rPr>
        <w:t>第四节  投标文件的提交</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3FCD631C">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299" w:name="_Toc20304"/>
      <w:bookmarkStart w:id="300" w:name="_Toc191892316"/>
      <w:bookmarkStart w:id="301" w:name="_Toc28763"/>
      <w:bookmarkStart w:id="302" w:name="_Toc3428"/>
      <w:bookmarkStart w:id="303" w:name="_Toc32418"/>
      <w:bookmarkStart w:id="304" w:name="_Toc24502"/>
      <w:bookmarkStart w:id="305" w:name="_Toc24273"/>
      <w:bookmarkStart w:id="306" w:name="_Toc209383624"/>
      <w:bookmarkStart w:id="307" w:name="_Toc192925664"/>
      <w:bookmarkStart w:id="308" w:name="_Toc30009"/>
      <w:bookmarkStart w:id="309" w:name="_Toc28326"/>
      <w:bookmarkStart w:id="310" w:name="_Toc18960"/>
      <w:bookmarkStart w:id="311" w:name="_Toc10461"/>
      <w:r>
        <w:rPr>
          <w:rFonts w:hint="eastAsia" w:ascii="仿宋" w:hAnsi="仿宋" w:eastAsia="仿宋"/>
          <w:color w:val="000000" w:themeColor="text1"/>
          <w:sz w:val="32"/>
          <w14:textFill>
            <w14:solidFill>
              <w14:schemeClr w14:val="tx1"/>
            </w14:solidFill>
          </w14:textFill>
        </w:rPr>
        <w:t>14. 投标文件的密封、标记和递交</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4BE66C0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14.1 投标人应将投标文件正本、副本、电子版分别用信封密封，并标明招标编号、招标项目名称、投标人名称等及“正本”“副本”、“电子版”字样。投标文件未密封将导致其投标被拒绝。</w:t>
      </w:r>
    </w:p>
    <w:p w14:paraId="53BFF9F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14.2 每一信封密封处应加盖投标人公章或由授权代表签字。</w:t>
      </w:r>
    </w:p>
    <w:p w14:paraId="463A361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14.3投标人应将投标文件按照本须知第14.1条至第14.2条的规定进行密封和标记，按“投标人须知前附表”注明的地址和时间派专人送达接收人。</w:t>
      </w:r>
    </w:p>
    <w:p w14:paraId="7C55DC0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14.4如果未按上述规定进行密封和标记，招标人将不承担由此造成的对投标文件的误投或提前拆封的责任。</w:t>
      </w:r>
    </w:p>
    <w:p w14:paraId="73EA4F2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14.5投标文件应在投标邀请中规定的截止时间前送达，迟到的投标文件为无效投标文件, 将被拒收。</w:t>
      </w:r>
    </w:p>
    <w:p w14:paraId="25B3CF1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14.6投标人在投标截止时间之前，允许对所提交的投标文件进行修改或者撤回，并书面通知招标人。修改的内容和撤回通知应当按本须知要求签署、盖章、密封，并作为投标文件的组成部分。</w:t>
      </w:r>
    </w:p>
    <w:p w14:paraId="0D8BDDF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14.7投标人在投标截止时间后不得修改、撤回投标文件。投标人在投标截止时间后修改投标文件的，其投标将被拒绝。</w:t>
      </w:r>
    </w:p>
    <w:p w14:paraId="255518F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14.8投标截止时间结束后，参加投标的投标人不足三家的，本次招标程序终止。除采购任务取消情形外，招标人将依法重新组织招标或者采取竞争性谈判等其他方式采购。</w:t>
      </w:r>
      <w:bookmarkStart w:id="312" w:name="_Toc192925665"/>
      <w:bookmarkStart w:id="313" w:name="_Toc191892317"/>
    </w:p>
    <w:p w14:paraId="41FAC310">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314" w:name="_Toc209383625"/>
      <w:bookmarkStart w:id="315" w:name="_Toc26702"/>
      <w:bookmarkStart w:id="316" w:name="_Toc690"/>
      <w:bookmarkStart w:id="317" w:name="_Toc8394"/>
      <w:bookmarkStart w:id="318" w:name="_Toc25302"/>
      <w:bookmarkStart w:id="319" w:name="_Toc13697"/>
      <w:bookmarkStart w:id="320" w:name="_Toc7103"/>
      <w:bookmarkStart w:id="321" w:name="_Toc17960"/>
      <w:bookmarkStart w:id="322" w:name="_Toc27443"/>
      <w:bookmarkStart w:id="323" w:name="_Toc32013"/>
      <w:bookmarkStart w:id="324" w:name="_Toc4497"/>
      <w:r>
        <w:rPr>
          <w:rFonts w:hint="eastAsia" w:ascii="仿宋" w:hAnsi="仿宋" w:eastAsia="仿宋"/>
          <w:color w:val="000000" w:themeColor="text1"/>
          <w:sz w:val="32"/>
          <w14:textFill>
            <w14:solidFill>
              <w14:schemeClr w14:val="tx1"/>
            </w14:solidFill>
          </w14:textFill>
        </w:rPr>
        <w:t>第五节  投标文件的评估和比较</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2508D84B">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25" w:name="_Toc1902"/>
      <w:bookmarkStart w:id="326" w:name="_Toc30863"/>
      <w:bookmarkStart w:id="327" w:name="_Toc14213"/>
      <w:bookmarkStart w:id="328" w:name="_Toc15809"/>
      <w:bookmarkStart w:id="329" w:name="_Toc192925666"/>
      <w:bookmarkStart w:id="330" w:name="_Toc21362"/>
      <w:bookmarkStart w:id="331" w:name="_Toc6741"/>
      <w:bookmarkStart w:id="332" w:name="_Toc191892318"/>
      <w:bookmarkStart w:id="333" w:name="_Toc15098"/>
      <w:bookmarkStart w:id="334" w:name="_Toc29010"/>
      <w:bookmarkStart w:id="335" w:name="_Toc209383626"/>
      <w:bookmarkStart w:id="336" w:name="_Toc1241"/>
      <w:bookmarkStart w:id="337" w:name="_Toc19349"/>
      <w:r>
        <w:rPr>
          <w:rFonts w:hint="eastAsia" w:ascii="仿宋" w:hAnsi="仿宋" w:eastAsia="仿宋"/>
          <w:color w:val="000000" w:themeColor="text1"/>
          <w:sz w:val="32"/>
          <w14:textFill>
            <w14:solidFill>
              <w14:schemeClr w14:val="tx1"/>
            </w14:solidFill>
          </w14:textFill>
        </w:rPr>
        <w:t>15．开标、评标时间</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2F1F4BB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15.1 在“投标人须知前附表”（有延期通知的以延期通知为准）中所规定的时间、地点开标。</w:t>
      </w:r>
    </w:p>
    <w:p w14:paraId="0B5359C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15.2招标人负责组建评标委员会，评标委员会负责评标工作。</w:t>
      </w:r>
    </w:p>
    <w:p w14:paraId="433FD0B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15.3本项目采用综合评分法评选方法评定，公司纪检人员进行监督。</w:t>
      </w:r>
    </w:p>
    <w:p w14:paraId="12D90F24">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38" w:name="_Toc11704"/>
      <w:bookmarkStart w:id="339" w:name="_Toc26462"/>
      <w:bookmarkStart w:id="340" w:name="_Toc22654"/>
      <w:bookmarkStart w:id="341" w:name="_Toc209383627"/>
      <w:bookmarkStart w:id="342" w:name="_Toc13051"/>
      <w:bookmarkStart w:id="343" w:name="_Toc11397"/>
      <w:bookmarkStart w:id="344" w:name="_Toc17714"/>
      <w:bookmarkStart w:id="345" w:name="_Toc16785"/>
      <w:bookmarkStart w:id="346" w:name="_Toc25710"/>
      <w:bookmarkStart w:id="347" w:name="_Toc13004"/>
      <w:bookmarkStart w:id="348" w:name="_Toc32401"/>
      <w:r>
        <w:rPr>
          <w:rFonts w:hint="eastAsia" w:ascii="仿宋" w:hAnsi="仿宋" w:eastAsia="仿宋"/>
          <w:color w:val="000000" w:themeColor="text1"/>
          <w:sz w:val="32"/>
          <w14:textFill>
            <w14:solidFill>
              <w14:schemeClr w14:val="tx1"/>
            </w14:solidFill>
          </w14:textFill>
        </w:rPr>
        <w:t>16．评标委员会</w:t>
      </w:r>
      <w:bookmarkEnd w:id="338"/>
      <w:bookmarkEnd w:id="339"/>
      <w:bookmarkEnd w:id="340"/>
      <w:bookmarkEnd w:id="341"/>
      <w:bookmarkEnd w:id="342"/>
      <w:bookmarkEnd w:id="343"/>
      <w:bookmarkEnd w:id="344"/>
      <w:bookmarkEnd w:id="345"/>
      <w:bookmarkEnd w:id="346"/>
      <w:bookmarkEnd w:id="347"/>
      <w:bookmarkEnd w:id="348"/>
    </w:p>
    <w:p w14:paraId="2F02E8B2">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1DAD91CF">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49" w:name="_Toc30400"/>
      <w:bookmarkStart w:id="350" w:name="_Toc209383628"/>
      <w:bookmarkStart w:id="351" w:name="_Toc191892320"/>
      <w:bookmarkStart w:id="352" w:name="_Toc12591"/>
      <w:bookmarkStart w:id="353" w:name="_Toc12880"/>
      <w:bookmarkStart w:id="354" w:name="_Toc7119"/>
      <w:bookmarkStart w:id="355" w:name="_Toc8822"/>
      <w:bookmarkStart w:id="356" w:name="_Toc2478"/>
      <w:bookmarkStart w:id="357" w:name="_Toc6723"/>
      <w:bookmarkStart w:id="358" w:name="_Toc11915"/>
      <w:bookmarkStart w:id="359" w:name="_Toc19857"/>
      <w:bookmarkStart w:id="360" w:name="_Toc192925668"/>
      <w:bookmarkStart w:id="361" w:name="_Toc31217"/>
      <w:r>
        <w:rPr>
          <w:rFonts w:hint="eastAsia" w:ascii="仿宋" w:hAnsi="仿宋" w:eastAsia="仿宋"/>
          <w:color w:val="000000" w:themeColor="text1"/>
          <w:sz w:val="32"/>
          <w14:textFill>
            <w14:solidFill>
              <w14:schemeClr w14:val="tx1"/>
            </w14:solidFill>
          </w14:textFill>
        </w:rPr>
        <w:t>17</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投标文件的初审</w:t>
      </w:r>
      <w:bookmarkEnd w:id="349"/>
      <w:bookmarkEnd w:id="350"/>
      <w:bookmarkEnd w:id="351"/>
      <w:bookmarkEnd w:id="352"/>
      <w:bookmarkEnd w:id="353"/>
      <w:bookmarkEnd w:id="354"/>
      <w:bookmarkEnd w:id="355"/>
      <w:bookmarkEnd w:id="356"/>
      <w:bookmarkEnd w:id="357"/>
      <w:bookmarkEnd w:id="358"/>
      <w:bookmarkEnd w:id="359"/>
      <w:bookmarkEnd w:id="360"/>
      <w:bookmarkEnd w:id="361"/>
    </w:p>
    <w:p w14:paraId="2A611B5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对所有投标人的评估，都采用相同的程序和标准。评议过程将严格按照招标文件的要求和条件进行。</w:t>
      </w:r>
    </w:p>
    <w:p w14:paraId="01FF25C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有关投标文件的审查、澄清、评估和比较以及推荐中标候选人的一切情况，都不得透露给任一投标人或与上述评标工作无关的人员。</w:t>
      </w:r>
    </w:p>
    <w:p w14:paraId="28FFFF6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投标人任何试图影响评委会对投标文件的评估、比较或者推荐候选人的行为，都将导致其投标被拒绝，并被没收投标保证金。</w:t>
      </w:r>
    </w:p>
    <w:p w14:paraId="4103926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17.1评标委员会将对投标文件进行审查，以确定投标文件是否完整、有无计算上的错误、是否提交了投标保证金、文件是否已正确签署。</w:t>
      </w:r>
    </w:p>
    <w:p w14:paraId="5136EBC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17.2 算术错误将按以下方法更正：</w:t>
      </w:r>
    </w:p>
    <w:p w14:paraId="10318ED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如投标文件中“开标一览表(报价表)”内容与投标文件中的明细表内容不一致的，以“开标一览表(报价表)”为准。</w:t>
      </w:r>
    </w:p>
    <w:p w14:paraId="60D7508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5293887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如果投标人不接受按上述方法对投标文件中的算术错误进行更正，其投标将被拒绝并没收其投标保证金。</w:t>
      </w:r>
    </w:p>
    <w:p w14:paraId="36E5EBE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17.3 资格性检查和符合性检查 </w:t>
      </w:r>
    </w:p>
    <w:p w14:paraId="458446BF">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17.3.</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645ED11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17.3.2符合性检查。依据招标文件的规定，评标委员会还将从投标文件的有效性、完整性和对招标文件的响应程度进行审查，以确定是否符合对招标文件的实质性要求做出响应。</w:t>
      </w:r>
    </w:p>
    <w:p w14:paraId="33D5F73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实质性偏离是指：（</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）实质性影响合同的范围、质量和履行；（</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）实质性违背招标文件，限制了招标人的权利和中标人合同项下的义务；（</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）不公正地影响了其它作出实质性响应的投标人的竞争地位。</w:t>
      </w:r>
    </w:p>
    <w:p w14:paraId="4A2898B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对没有实质性响应的投标文件将不进行评估，其投标将被拒绝。</w:t>
      </w:r>
    </w:p>
    <w:p w14:paraId="72534738">
      <w:pPr>
        <w:spacing w:line="500" w:lineRule="exact"/>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凡有</w:t>
      </w:r>
      <w:r>
        <w:rPr>
          <w:rFonts w:hint="eastAsia" w:ascii="仿宋" w:hAnsi="仿宋" w:eastAsia="仿宋"/>
          <w:b/>
          <w:color w:val="000000" w:themeColor="text1"/>
          <w:sz w:val="32"/>
          <w:szCs w:val="32"/>
          <w14:textFill>
            <w14:solidFill>
              <w14:schemeClr w14:val="tx1"/>
            </w14:solidFill>
          </w14:textFill>
        </w:rPr>
        <w:t>下列情况之一</w:t>
      </w:r>
      <w:r>
        <w:rPr>
          <w:rFonts w:hint="eastAsia" w:ascii="仿宋" w:hAnsi="仿宋" w:eastAsia="仿宋"/>
          <w:color w:val="000000" w:themeColor="text1"/>
          <w:sz w:val="32"/>
          <w:szCs w:val="32"/>
          <w14:textFill>
            <w14:solidFill>
              <w14:schemeClr w14:val="tx1"/>
            </w14:solidFill>
          </w14:textFill>
        </w:rPr>
        <w:t>者，投标文件也将被视为</w:t>
      </w:r>
      <w:r>
        <w:rPr>
          <w:rFonts w:hint="eastAsia" w:ascii="仿宋" w:hAnsi="仿宋" w:eastAsia="仿宋"/>
          <w:b/>
          <w:color w:val="000000" w:themeColor="text1"/>
          <w:sz w:val="32"/>
          <w:szCs w:val="32"/>
          <w14:textFill>
            <w14:solidFill>
              <w14:schemeClr w14:val="tx1"/>
            </w14:solidFill>
          </w14:textFill>
        </w:rPr>
        <w:t>未实质性响应招标文件要求：</w:t>
      </w:r>
    </w:p>
    <w:p w14:paraId="5F156EB2">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 投标文件未按照本须知第14条的规定进行密封、标记的；</w:t>
      </w:r>
    </w:p>
    <w:p w14:paraId="395E04BF">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 未按规定由投标人的法定代表人或其授权代表签字，或未加盖投标人公章的；或签字人未提供法定代表人有效授权委托书原件的；</w:t>
      </w:r>
    </w:p>
    <w:p w14:paraId="694EA706">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 未按规定提交投标保证金的；</w:t>
      </w:r>
    </w:p>
    <w:p w14:paraId="12047DFC">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(4) 投标有效期不满足招标文件要求的；</w:t>
      </w:r>
    </w:p>
    <w:p w14:paraId="27F2DF86">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(5) 投标内容与招标内容及要求有重大偏离或保留的；</w:t>
      </w:r>
    </w:p>
    <w:p w14:paraId="0B17C6DA">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(6) 投标人提交的是可选择的报价；</w:t>
      </w:r>
    </w:p>
    <w:p w14:paraId="7E62D2B7">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(7) 投标人未按规定对投标进行分项报价；</w:t>
      </w:r>
    </w:p>
    <w:p w14:paraId="3CA64491">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(8) 一个投标人对同一个合同包不止投一个标的；</w:t>
      </w:r>
    </w:p>
    <w:p w14:paraId="79C86BC8">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(9) 投标文件组成不符合招标文件要求的；</w:t>
      </w:r>
    </w:p>
    <w:p w14:paraId="4F606D33">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(10) 投标文件中提供虚假或失实资料的；</w:t>
      </w:r>
    </w:p>
    <w:p w14:paraId="480781D1">
      <w:pPr>
        <w:spacing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(11) 不符合招标文件中规定的</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号条款或其它实质性条款要求的。</w:t>
      </w:r>
    </w:p>
    <w:p w14:paraId="1B61D1B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投标人存在</w:t>
      </w:r>
      <w:r>
        <w:rPr>
          <w:rFonts w:hint="eastAsia" w:ascii="仿宋" w:hAnsi="仿宋" w:eastAsia="仿宋"/>
          <w:b/>
          <w:bCs/>
          <w:color w:val="000000" w:themeColor="text1"/>
          <w:sz w:val="32"/>
          <w:szCs w:val="32"/>
          <w14:textFill>
            <w14:solidFill>
              <w14:schemeClr w14:val="tx1"/>
            </w14:solidFill>
          </w14:textFill>
        </w:rPr>
        <w:t>下列情形之一</w:t>
      </w:r>
      <w:r>
        <w:rPr>
          <w:rFonts w:hint="eastAsia" w:ascii="仿宋" w:hAnsi="仿宋" w:eastAsia="仿宋"/>
          <w:color w:val="000000" w:themeColor="text1"/>
          <w:sz w:val="32"/>
          <w:szCs w:val="32"/>
          <w14:textFill>
            <w14:solidFill>
              <w14:schemeClr w14:val="tx1"/>
            </w14:solidFill>
          </w14:textFill>
        </w:rPr>
        <w:t>的，将被认定为</w:t>
      </w:r>
      <w:r>
        <w:rPr>
          <w:rFonts w:hint="eastAsia" w:ascii="仿宋" w:hAnsi="仿宋" w:eastAsia="仿宋"/>
          <w:b/>
          <w:bCs/>
          <w:color w:val="000000" w:themeColor="text1"/>
          <w:sz w:val="32"/>
          <w:szCs w:val="32"/>
          <w14:textFill>
            <w14:solidFill>
              <w14:schemeClr w14:val="tx1"/>
            </w14:solidFill>
          </w14:textFill>
        </w:rPr>
        <w:t>串通投标行为并作无效投标处理</w:t>
      </w:r>
      <w:r>
        <w:rPr>
          <w:rFonts w:hint="eastAsia" w:ascii="仿宋" w:hAnsi="仿宋" w:eastAsia="仿宋"/>
          <w:color w:val="000000" w:themeColor="text1"/>
          <w:sz w:val="32"/>
          <w:szCs w:val="32"/>
          <w14:textFill>
            <w14:solidFill>
              <w14:schemeClr w14:val="tx1"/>
            </w14:solidFill>
          </w14:textFill>
        </w:rPr>
        <w:t>：</w:t>
      </w:r>
    </w:p>
    <w:p w14:paraId="3C47D7A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（1）投标人之间协商投标报价等投标文件的实质性内容；</w:t>
      </w:r>
    </w:p>
    <w:p w14:paraId="48153B8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（2）投标人之间约定中标供应商；</w:t>
      </w:r>
    </w:p>
    <w:p w14:paraId="5ECB25A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（3）投标人之间约定部分投标人放弃投标或者中标；</w:t>
      </w:r>
    </w:p>
    <w:p w14:paraId="3E5618C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（4）属于同一集团、协会、商会等组织成员的投标人按照该组织要求协同投标；</w:t>
      </w:r>
    </w:p>
    <w:p w14:paraId="0E19C142">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（5）投标人之间为谋取中标或者排斥特定投标人而采取的其他联合行动；</w:t>
      </w:r>
    </w:p>
    <w:p w14:paraId="4CDF37B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（6）不同投标人的投标文件由同一单位或者个人编制；</w:t>
      </w:r>
    </w:p>
    <w:p w14:paraId="17C337E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（7）不同投标人委托同一单位或者个人办理投标事宜；</w:t>
      </w:r>
    </w:p>
    <w:p w14:paraId="487AD37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（8）不同投标人的投标文件载明的项目管理成员为同一人；</w:t>
      </w:r>
    </w:p>
    <w:p w14:paraId="0294950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（9）不同投标人的投标文件异常一致或者投标报价呈规律性差异；</w:t>
      </w:r>
    </w:p>
    <w:p w14:paraId="111B84B1">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（10）不同投标人的投标文件相互混装；</w:t>
      </w:r>
    </w:p>
    <w:p w14:paraId="515790A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（11）不同投标人的投标保证金从同一单位或者个人的账户转出。</w:t>
      </w:r>
    </w:p>
    <w:p w14:paraId="4A93E65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（12）不同投标人的投标文件错、漏之处一致或雷同，且不能合理解释的；</w:t>
      </w:r>
    </w:p>
    <w:p w14:paraId="3C2671C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（13）不同的投标人的法定代表人、委托代理人等由同一个单位缴纳社会保险的；</w:t>
      </w:r>
    </w:p>
    <w:p w14:paraId="37FB760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（14）由同一人或分别由几个有利害关系的人携带两个以上（含两个）投标人的企业资料参与资格审查、领取招标资料，或代表两个以上（含两个）投标人参加招标答疑会、交纳或退还投标保证金、开标的；</w:t>
      </w:r>
    </w:p>
    <w:p w14:paraId="7B9A78D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（15）有关法律、法规或规章规定的其他串通投标行为。</w:t>
      </w:r>
    </w:p>
    <w:p w14:paraId="441D54D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评标委员会决定投标的响应性，只根据投标文件本身的内容，而不寻求其他的外部证据。</w:t>
      </w:r>
    </w:p>
    <w:p w14:paraId="7F2C9CE8">
      <w:pPr>
        <w:pStyle w:val="4"/>
        <w:spacing w:line="500" w:lineRule="exact"/>
        <w:rPr>
          <w:rFonts w:ascii="仿宋" w:hAnsi="仿宋" w:eastAsia="仿宋"/>
          <w:color w:val="000000" w:themeColor="text1"/>
          <w:sz w:val="32"/>
          <w14:textFill>
            <w14:solidFill>
              <w14:schemeClr w14:val="tx1"/>
            </w14:solidFill>
          </w14:textFill>
        </w:rPr>
      </w:pPr>
      <w:bookmarkStart w:id="362" w:name="_Toc29617"/>
      <w:bookmarkStart w:id="363" w:name="_Toc27310"/>
      <w:bookmarkStart w:id="364" w:name="_Toc4061"/>
      <w:bookmarkStart w:id="365" w:name="_Toc7861"/>
      <w:bookmarkStart w:id="366" w:name="_Toc13679"/>
      <w:bookmarkStart w:id="367" w:name="_Toc10359"/>
      <w:bookmarkStart w:id="368" w:name="_Toc32363"/>
      <w:bookmarkStart w:id="369" w:name="_Toc17818"/>
      <w:bookmarkStart w:id="370" w:name="_Toc1129"/>
      <w:bookmarkStart w:id="371" w:name="_Toc18187"/>
      <w:bookmarkStart w:id="372" w:name="_Toc209383629"/>
      <w:r>
        <w:rPr>
          <w:rFonts w:hint="eastAsia" w:ascii="仿宋" w:hAnsi="仿宋" w:eastAsia="仿宋"/>
          <w:color w:val="000000" w:themeColor="text1"/>
          <w:sz w:val="32"/>
          <w14:textFill>
            <w14:solidFill>
              <w14:schemeClr w14:val="tx1"/>
            </w14:solidFill>
          </w14:textFill>
        </w:rPr>
        <w:t>18.</w:t>
      </w:r>
      <w:r>
        <w:rPr>
          <w:rFonts w:hint="eastAsia" w:ascii="仿宋" w:hAnsi="仿宋" w:eastAsia="仿宋"/>
          <w:color w:val="000000" w:themeColor="text1"/>
          <w:sz w:val="32"/>
          <w:lang w:val="en-US" w:eastAsia="zh-CN"/>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评标办法</w:t>
      </w:r>
      <w:bookmarkEnd w:id="362"/>
      <w:bookmarkEnd w:id="363"/>
      <w:bookmarkEnd w:id="364"/>
      <w:bookmarkEnd w:id="365"/>
      <w:bookmarkEnd w:id="366"/>
      <w:bookmarkEnd w:id="367"/>
      <w:bookmarkEnd w:id="368"/>
      <w:bookmarkEnd w:id="369"/>
      <w:bookmarkEnd w:id="370"/>
      <w:bookmarkEnd w:id="371"/>
      <w:bookmarkEnd w:id="372"/>
    </w:p>
    <w:p w14:paraId="55B82335">
      <w:pPr>
        <w:widowControl/>
        <w:adjustRightInd w:val="0"/>
        <w:snapToGrid w:val="0"/>
        <w:spacing w:beforeLines="25" w:afterLines="25"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本次招标采用综合评分法评标。</w:t>
      </w:r>
    </w:p>
    <w:p w14:paraId="29FA715B">
      <w:pPr>
        <w:widowControl/>
        <w:adjustRightInd w:val="0"/>
        <w:snapToGrid w:val="0"/>
        <w:spacing w:beforeLines="25" w:afterLines="25"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18.1 评标办法</w:t>
      </w:r>
    </w:p>
    <w:p w14:paraId="55819CD7">
      <w:pPr>
        <w:widowControl/>
        <w:adjustRightInd w:val="0"/>
        <w:snapToGrid w:val="0"/>
        <w:spacing w:beforeLines="25" w:afterLines="25"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初审合格（即资格性、符合性检查合格并按其他相关条款审查后）的投标人在三家以上（含三家）的，评标委员会将按以下评标方法与标准，对初审合格的投标文件进行商务和技术评估，综合比较与评价。</w:t>
      </w:r>
    </w:p>
    <w:p w14:paraId="7B642302">
      <w:pPr>
        <w:numPr>
          <w:ilvl w:val="0"/>
          <w:numId w:val="1"/>
        </w:numPr>
        <w:spacing w:line="500" w:lineRule="exact"/>
        <w:ind w:firstLine="472" w:firstLineChars="147"/>
        <w:rPr>
          <w:rFonts w:ascii="仿宋" w:hAnsi="仿宋" w:eastAsia="仿宋" w:cs="华文细黑"/>
          <w:b/>
          <w:color w:val="000000" w:themeColor="text1"/>
          <w:sz w:val="32"/>
          <w:szCs w:val="32"/>
          <w14:textFill>
            <w14:solidFill>
              <w14:schemeClr w14:val="tx1"/>
            </w14:solidFill>
          </w14:textFill>
        </w:rPr>
      </w:pPr>
      <w:r>
        <w:rPr>
          <w:rStyle w:val="19"/>
          <w:rFonts w:hint="eastAsia" w:ascii="仿宋" w:hAnsi="仿宋" w:eastAsia="仿宋" w:cs="华文细黑"/>
          <w:color w:val="000000" w:themeColor="text1"/>
          <w:sz w:val="32"/>
          <w:szCs w:val="32"/>
          <w14:textFill>
            <w14:solidFill>
              <w14:schemeClr w14:val="tx1"/>
            </w14:solidFill>
          </w14:textFill>
        </w:rPr>
        <w:t>技术分</w:t>
      </w:r>
      <w:r>
        <w:rPr>
          <w:rStyle w:val="19"/>
          <w:rFonts w:ascii="仿宋" w:hAnsi="仿宋" w:eastAsia="仿宋" w:cs="华文细黑"/>
          <w:color w:val="000000" w:themeColor="text1"/>
          <w:sz w:val="32"/>
          <w:szCs w:val="32"/>
          <w14:textFill>
            <w14:solidFill>
              <w14:schemeClr w14:val="tx1"/>
            </w14:solidFill>
          </w14:textFill>
        </w:rPr>
        <w:t>F1（</w:t>
      </w:r>
      <w:r>
        <w:rPr>
          <w:rFonts w:hint="eastAsia" w:ascii="仿宋" w:hAnsi="仿宋" w:eastAsia="仿宋" w:cs="华文细黑"/>
          <w:b/>
          <w:color w:val="000000" w:themeColor="text1"/>
          <w:sz w:val="32"/>
          <w:szCs w:val="32"/>
          <w14:textFill>
            <w14:solidFill>
              <w14:schemeClr w14:val="tx1"/>
            </w14:solidFill>
          </w14:textFill>
        </w:rPr>
        <w:t>满分</w:t>
      </w:r>
      <w:r>
        <w:rPr>
          <w:rFonts w:ascii="仿宋" w:hAnsi="仿宋" w:eastAsia="仿宋" w:cs="华文细黑"/>
          <w:color w:val="000000" w:themeColor="text1"/>
          <w:sz w:val="32"/>
          <w:szCs w:val="32"/>
          <w14:textFill>
            <w14:solidFill>
              <w14:schemeClr w14:val="tx1"/>
            </w14:solidFill>
          </w14:textFill>
        </w:rPr>
        <w:t>50</w:t>
      </w:r>
      <w:r>
        <w:rPr>
          <w:rFonts w:hint="eastAsia" w:ascii="仿宋" w:hAnsi="仿宋" w:eastAsia="仿宋" w:cs="华文细黑"/>
          <w:b/>
          <w:color w:val="000000" w:themeColor="text1"/>
          <w:sz w:val="32"/>
          <w:szCs w:val="32"/>
          <w14:textFill>
            <w14:solidFill>
              <w14:schemeClr w14:val="tx1"/>
            </w14:solidFill>
          </w14:textFill>
        </w:rPr>
        <w:t>分）</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906"/>
        <w:gridCol w:w="882"/>
      </w:tblGrid>
      <w:tr w14:paraId="6511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DE75D00">
            <w:pPr>
              <w:spacing w:line="480" w:lineRule="exact"/>
              <w:jc w:val="center"/>
              <w:rPr>
                <w:rFonts w:ascii="仿宋" w:hAnsi="仿宋" w:eastAsia="仿宋"/>
                <w:b/>
                <w:color w:val="000000" w:themeColor="text1"/>
                <w:sz w:val="32"/>
                <w:szCs w:val="32"/>
                <w14:textFill>
                  <w14:solidFill>
                    <w14:schemeClr w14:val="tx1"/>
                  </w14:solidFill>
                </w14:textFill>
              </w:rPr>
            </w:pPr>
            <w:bookmarkStart w:id="373" w:name="_Hlk209380950"/>
            <w:r>
              <w:rPr>
                <w:rFonts w:hint="eastAsia" w:ascii="仿宋" w:hAnsi="仿宋" w:eastAsia="仿宋"/>
                <w:b/>
                <w:color w:val="000000" w:themeColor="text1"/>
                <w:sz w:val="32"/>
                <w:szCs w:val="32"/>
                <w14:textFill>
                  <w14:solidFill>
                    <w14:schemeClr w14:val="tx1"/>
                  </w14:solidFill>
                </w14:textFill>
              </w:rPr>
              <w:t>序号</w:t>
            </w:r>
          </w:p>
        </w:tc>
        <w:tc>
          <w:tcPr>
            <w:tcW w:w="7906" w:type="dxa"/>
            <w:vAlign w:val="center"/>
          </w:tcPr>
          <w:p w14:paraId="091A229E">
            <w:pPr>
              <w:spacing w:line="480" w:lineRule="exact"/>
              <w:jc w:val="center"/>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评分界定</w:t>
            </w:r>
          </w:p>
        </w:tc>
        <w:tc>
          <w:tcPr>
            <w:tcW w:w="882" w:type="dxa"/>
            <w:vAlign w:val="center"/>
          </w:tcPr>
          <w:p w14:paraId="74FD6724">
            <w:pPr>
              <w:spacing w:line="480" w:lineRule="exact"/>
              <w:jc w:val="center"/>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满分分值</w:t>
            </w:r>
          </w:p>
        </w:tc>
      </w:tr>
      <w:tr w14:paraId="24A8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68B6131">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w:t>
            </w:r>
          </w:p>
        </w:tc>
        <w:tc>
          <w:tcPr>
            <w:tcW w:w="7906" w:type="dxa"/>
            <w:vAlign w:val="center"/>
          </w:tcPr>
          <w:p w14:paraId="1D50C137">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根据投标人</w:t>
            </w:r>
            <w:r>
              <w:rPr>
                <w:rFonts w:hint="eastAsia" w:ascii="仿宋" w:hAnsi="仿宋" w:eastAsia="仿宋" w:cs="宋体"/>
                <w:color w:val="000000" w:themeColor="text1"/>
                <w:sz w:val="24"/>
                <w14:textFill>
                  <w14:solidFill>
                    <w14:schemeClr w14:val="tx1"/>
                  </w14:solidFill>
                </w14:textFill>
              </w:rPr>
              <w:t>针对本项目</w:t>
            </w:r>
            <w:r>
              <w:rPr>
                <w:rFonts w:hint="eastAsia" w:ascii="仿宋" w:hAnsi="仿宋" w:eastAsia="仿宋"/>
                <w:color w:val="000000" w:themeColor="text1"/>
                <w:kern w:val="0"/>
                <w:sz w:val="24"/>
                <w14:textFill>
                  <w14:solidFill>
                    <w14:schemeClr w14:val="tx1"/>
                  </w14:solidFill>
                </w14:textFill>
              </w:rPr>
              <w:t>提供的</w:t>
            </w:r>
            <w:r>
              <w:rPr>
                <w:rFonts w:hint="eastAsia" w:ascii="仿宋" w:hAnsi="仿宋" w:eastAsia="仿宋" w:cs="仿宋_GB2312"/>
                <w:b/>
                <w:bCs/>
                <w:color w:val="000000" w:themeColor="text1"/>
                <w:kern w:val="0"/>
                <w:sz w:val="24"/>
                <w14:textFill>
                  <w14:solidFill>
                    <w14:schemeClr w14:val="tx1"/>
                  </w14:solidFill>
                </w14:textFill>
              </w:rPr>
              <w:t>整体服务方案</w:t>
            </w:r>
            <w:r>
              <w:rPr>
                <w:rFonts w:hint="eastAsia" w:ascii="仿宋" w:hAnsi="仿宋" w:eastAsia="仿宋" w:cs="仿宋_GB2312"/>
                <w:color w:val="000000" w:themeColor="text1"/>
                <w:kern w:val="0"/>
                <w:sz w:val="24"/>
                <w14:textFill>
                  <w14:solidFill>
                    <w14:schemeClr w14:val="tx1"/>
                  </w14:solidFill>
                </w14:textFill>
              </w:rPr>
              <w:t>进行评价：</w:t>
            </w:r>
            <w:r>
              <w:rPr>
                <w:rFonts w:ascii="仿宋" w:hAnsi="仿宋" w:eastAsia="仿宋" w:cs="仿宋_GB2312"/>
                <w:color w:val="000000" w:themeColor="text1"/>
                <w:kern w:val="0"/>
                <w:sz w:val="24"/>
                <w14:textFill>
                  <w14:solidFill>
                    <w14:schemeClr w14:val="tx1"/>
                  </w14:solidFill>
                </w14:textFill>
              </w:rPr>
              <w:t xml:space="preserve"> </w:t>
            </w:r>
          </w:p>
          <w:p w14:paraId="77E078FE">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w:t>
            </w:r>
            <w:r>
              <w:rPr>
                <w:rFonts w:hint="eastAsia" w:ascii="仿宋" w:hAnsi="仿宋" w:eastAsia="仿宋"/>
                <w:color w:val="000000" w:themeColor="text1"/>
                <w:kern w:val="0"/>
                <w:sz w:val="24"/>
                <w14:textFill>
                  <w14:solidFill>
                    <w14:schemeClr w14:val="tx1"/>
                  </w14:solidFill>
                </w14:textFill>
              </w:rPr>
              <w:t>有</w:t>
            </w:r>
            <w:r>
              <w:rPr>
                <w:rFonts w:ascii="仿宋" w:hAnsi="仿宋" w:eastAsia="仿宋" w:cs="宋体"/>
                <w:bCs/>
                <w:color w:val="000000" w:themeColor="text1"/>
                <w:sz w:val="24"/>
                <w14:textFill>
                  <w14:solidFill>
                    <w14:schemeClr w14:val="tx1"/>
                  </w14:solidFill>
                </w14:textFill>
              </w:rPr>
              <w:t>结合项目情况</w:t>
            </w:r>
            <w:r>
              <w:rPr>
                <w:rFonts w:hint="eastAsia" w:ascii="仿宋" w:hAnsi="仿宋" w:eastAsia="仿宋" w:cs="宋体"/>
                <w:color w:val="000000" w:themeColor="text1"/>
                <w:sz w:val="24"/>
                <w14:textFill>
                  <w14:solidFill>
                    <w14:schemeClr w14:val="tx1"/>
                  </w14:solidFill>
                </w14:textFill>
              </w:rPr>
              <w:t>提供整体服务方案，明确服务流程、方法和预计效果的得</w:t>
            </w:r>
            <w:r>
              <w:rPr>
                <w:rFonts w:ascii="仿宋" w:hAnsi="仿宋" w:eastAsia="仿宋" w:cs="宋体"/>
                <w:color w:val="000000" w:themeColor="text1"/>
                <w:sz w:val="24"/>
                <w14:textFill>
                  <w14:solidFill>
                    <w14:schemeClr w14:val="tx1"/>
                  </w14:solidFill>
                </w14:textFill>
              </w:rPr>
              <w:t>2.5分</w:t>
            </w:r>
            <w:r>
              <w:rPr>
                <w:rFonts w:hint="eastAsia" w:ascii="仿宋" w:hAnsi="仿宋" w:eastAsia="仿宋" w:cs="仿宋_GB2312"/>
                <w:color w:val="000000" w:themeColor="text1"/>
                <w:kern w:val="0"/>
                <w:sz w:val="24"/>
                <w14:textFill>
                  <w14:solidFill>
                    <w14:schemeClr w14:val="tx1"/>
                  </w14:solidFill>
                </w14:textFill>
              </w:rPr>
              <w:t>；</w:t>
            </w:r>
            <w:r>
              <w:rPr>
                <w:rFonts w:ascii="仿宋" w:hAnsi="仿宋" w:eastAsia="仿宋" w:cs="仿宋_GB2312"/>
                <w:color w:val="000000" w:themeColor="text1"/>
                <w:kern w:val="0"/>
                <w:sz w:val="24"/>
                <w14:textFill>
                  <w14:solidFill>
                    <w14:schemeClr w14:val="tx1"/>
                  </w14:solidFill>
                </w14:textFill>
              </w:rPr>
              <w:t xml:space="preserve"> </w:t>
            </w:r>
          </w:p>
          <w:p w14:paraId="36F68F30">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②在满足①的基础上，方案内容包括但不限于</w:t>
            </w:r>
            <w:r>
              <w:rPr>
                <w:rFonts w:hint="eastAsia" w:ascii="仿宋" w:hAnsi="仿宋" w:eastAsia="仿宋" w:cs="宋体"/>
                <w:color w:val="000000" w:themeColor="text1"/>
                <w:sz w:val="24"/>
                <w14:textFill>
                  <w14:solidFill>
                    <w14:schemeClr w14:val="tx1"/>
                  </w14:solidFill>
                </w14:textFill>
              </w:rPr>
              <w:t>服务人员安排、现场协调管理</w:t>
            </w:r>
            <w:r>
              <w:rPr>
                <w:rFonts w:hint="eastAsia" w:ascii="仿宋" w:hAnsi="仿宋" w:eastAsia="仿宋" w:cs="仿宋_GB2312"/>
                <w:color w:val="000000" w:themeColor="text1"/>
                <w:kern w:val="0"/>
                <w:sz w:val="24"/>
                <w14:textFill>
                  <w14:solidFill>
                    <w14:schemeClr w14:val="tx1"/>
                  </w14:solidFill>
                </w14:textFill>
              </w:rPr>
              <w:t>、服务质量控制方式，能确保项目实施并达到预期目标的得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r>
              <w:rPr>
                <w:rFonts w:ascii="仿宋" w:hAnsi="仿宋" w:eastAsia="仿宋" w:cs="仿宋_GB2312"/>
                <w:color w:val="000000" w:themeColor="text1"/>
                <w:kern w:val="0"/>
                <w:sz w:val="24"/>
                <w14:textFill>
                  <w14:solidFill>
                    <w14:schemeClr w14:val="tx1"/>
                  </w14:solidFill>
                </w14:textFill>
              </w:rPr>
              <w:t xml:space="preserve"> </w:t>
            </w:r>
          </w:p>
          <w:p w14:paraId="363A2DA6">
            <w:pPr>
              <w:spacing w:line="480" w:lineRule="exact"/>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2CEEC78E">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735F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41C38E5D">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2</w:t>
            </w:r>
          </w:p>
        </w:tc>
        <w:tc>
          <w:tcPr>
            <w:tcW w:w="7906" w:type="dxa"/>
            <w:vAlign w:val="center"/>
          </w:tcPr>
          <w:p w14:paraId="214F6D79">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根据投标人</w:t>
            </w:r>
            <w:r>
              <w:rPr>
                <w:rFonts w:hint="eastAsia" w:ascii="仿宋" w:hAnsi="仿宋" w:eastAsia="仿宋" w:cs="宋体"/>
                <w:color w:val="000000" w:themeColor="text1"/>
                <w:sz w:val="24"/>
                <w14:textFill>
                  <w14:solidFill>
                    <w14:schemeClr w14:val="tx1"/>
                  </w14:solidFill>
                </w14:textFill>
              </w:rPr>
              <w:t>针对本项目</w:t>
            </w:r>
            <w:r>
              <w:rPr>
                <w:rFonts w:hint="eastAsia" w:ascii="仿宋" w:hAnsi="仿宋" w:eastAsia="仿宋"/>
                <w:color w:val="000000" w:themeColor="text1"/>
                <w:kern w:val="0"/>
                <w:sz w:val="24"/>
                <w14:textFill>
                  <w14:solidFill>
                    <w14:schemeClr w14:val="tx1"/>
                  </w14:solidFill>
                </w14:textFill>
              </w:rPr>
              <w:t>提供的</w:t>
            </w:r>
            <w:r>
              <w:rPr>
                <w:rFonts w:hint="eastAsia" w:ascii="仿宋" w:hAnsi="仿宋" w:eastAsia="仿宋" w:cs="仿宋_GB2312"/>
                <w:b/>
                <w:bCs/>
                <w:color w:val="000000" w:themeColor="text1"/>
                <w:kern w:val="0"/>
                <w:sz w:val="24"/>
                <w14:textFill>
                  <w14:solidFill>
                    <w14:schemeClr w14:val="tx1"/>
                  </w14:solidFill>
                </w14:textFill>
              </w:rPr>
              <w:t>服务质量保障措施</w:t>
            </w:r>
            <w:r>
              <w:rPr>
                <w:rFonts w:hint="eastAsia" w:ascii="仿宋" w:hAnsi="仿宋" w:eastAsia="仿宋" w:cs="仿宋_GB2312"/>
                <w:color w:val="000000" w:themeColor="text1"/>
                <w:kern w:val="0"/>
                <w:sz w:val="24"/>
                <w14:textFill>
                  <w14:solidFill>
                    <w14:schemeClr w14:val="tx1"/>
                  </w14:solidFill>
                </w14:textFill>
              </w:rPr>
              <w:t>进行评价：</w:t>
            </w:r>
          </w:p>
          <w:p w14:paraId="51FD0041">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w:t>
            </w:r>
            <w:r>
              <w:rPr>
                <w:rFonts w:hint="eastAsia" w:ascii="仿宋" w:hAnsi="仿宋" w:eastAsia="仿宋"/>
                <w:color w:val="000000" w:themeColor="text1"/>
                <w:kern w:val="0"/>
                <w:sz w:val="24"/>
                <w14:textFill>
                  <w14:solidFill>
                    <w14:schemeClr w14:val="tx1"/>
                  </w14:solidFill>
                </w14:textFill>
              </w:rPr>
              <w:t>有</w:t>
            </w:r>
            <w:r>
              <w:rPr>
                <w:rFonts w:ascii="仿宋" w:hAnsi="仿宋" w:eastAsia="仿宋" w:cs="宋体"/>
                <w:bCs/>
                <w:color w:val="000000" w:themeColor="text1"/>
                <w:sz w:val="24"/>
                <w14:textFill>
                  <w14:solidFill>
                    <w14:schemeClr w14:val="tx1"/>
                  </w14:solidFill>
                </w14:textFill>
              </w:rPr>
              <w:t>结合项目情况</w:t>
            </w:r>
            <w:r>
              <w:rPr>
                <w:rFonts w:hint="eastAsia" w:ascii="仿宋" w:hAnsi="仿宋" w:eastAsia="仿宋" w:cs="仿宋_GB2312"/>
                <w:color w:val="000000" w:themeColor="text1"/>
                <w:kern w:val="0"/>
                <w:sz w:val="24"/>
                <w14:textFill>
                  <w14:solidFill>
                    <w14:schemeClr w14:val="tx1"/>
                  </w14:solidFill>
                </w14:textFill>
              </w:rPr>
              <w:t>提供服务质量保障措施，且满足本项目采购需求的得</w:t>
            </w:r>
            <w:r>
              <w:rPr>
                <w:rFonts w:ascii="仿宋" w:hAnsi="仿宋" w:eastAsia="仿宋" w:cs="仿宋_GB2312"/>
                <w:color w:val="000000" w:themeColor="text1"/>
                <w:kern w:val="0"/>
                <w:sz w:val="24"/>
                <w14:textFill>
                  <w14:solidFill>
                    <w14:schemeClr w14:val="tx1"/>
                  </w14:solidFill>
                </w14:textFill>
              </w:rPr>
              <w:t xml:space="preserve">2.5分； </w:t>
            </w:r>
          </w:p>
          <w:p w14:paraId="7499EA7B">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②在满足①的基础上，服务质量保障措施内容完整，对服务过程中的关键节点有具体质量控制措施，有相应的人力、物力投入安排，能够确保服务质量的得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r>
              <w:rPr>
                <w:rFonts w:ascii="仿宋" w:hAnsi="仿宋" w:eastAsia="仿宋" w:cs="仿宋_GB2312"/>
                <w:color w:val="000000" w:themeColor="text1"/>
                <w:kern w:val="0"/>
                <w:sz w:val="24"/>
                <w14:textFill>
                  <w14:solidFill>
                    <w14:schemeClr w14:val="tx1"/>
                  </w14:solidFill>
                </w14:textFill>
              </w:rPr>
              <w:t xml:space="preserve"> </w:t>
            </w:r>
          </w:p>
          <w:p w14:paraId="7CA16163">
            <w:pPr>
              <w:spacing w:line="480" w:lineRule="exact"/>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6C17A50D">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31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B6EE98E">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p>
        </w:tc>
        <w:tc>
          <w:tcPr>
            <w:tcW w:w="7906" w:type="dxa"/>
            <w:vAlign w:val="center"/>
          </w:tcPr>
          <w:p w14:paraId="2A1D7FF0">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根据投标人</w:t>
            </w:r>
            <w:r>
              <w:rPr>
                <w:rFonts w:hint="eastAsia" w:ascii="仿宋" w:hAnsi="仿宋" w:eastAsia="仿宋" w:cs="宋体"/>
                <w:color w:val="000000" w:themeColor="text1"/>
                <w:sz w:val="24"/>
                <w14:textFill>
                  <w14:solidFill>
                    <w14:schemeClr w14:val="tx1"/>
                  </w14:solidFill>
                </w14:textFill>
              </w:rPr>
              <w:t>针对本项目</w:t>
            </w:r>
            <w:r>
              <w:rPr>
                <w:rFonts w:hint="eastAsia" w:ascii="仿宋" w:hAnsi="仿宋" w:eastAsia="仿宋"/>
                <w:color w:val="000000" w:themeColor="text1"/>
                <w:kern w:val="0"/>
                <w:sz w:val="24"/>
                <w14:textFill>
                  <w14:solidFill>
                    <w14:schemeClr w14:val="tx1"/>
                  </w14:solidFill>
                </w14:textFill>
              </w:rPr>
              <w:t>提供的</w:t>
            </w:r>
            <w:r>
              <w:rPr>
                <w:rFonts w:hint="eastAsia" w:ascii="仿宋" w:hAnsi="仿宋" w:eastAsia="仿宋"/>
                <w:b/>
                <w:bCs/>
                <w:color w:val="000000" w:themeColor="text1"/>
                <w:kern w:val="0"/>
                <w:sz w:val="24"/>
                <w14:textFill>
                  <w14:solidFill>
                    <w14:schemeClr w14:val="tx1"/>
                  </w14:solidFill>
                </w14:textFill>
              </w:rPr>
              <w:t>突发事件处理应急方案</w:t>
            </w:r>
            <w:r>
              <w:rPr>
                <w:rFonts w:hint="eastAsia" w:ascii="仿宋" w:hAnsi="仿宋" w:eastAsia="仿宋"/>
                <w:color w:val="000000" w:themeColor="text1"/>
                <w:kern w:val="0"/>
                <w:sz w:val="24"/>
                <w14:textFill>
                  <w14:solidFill>
                    <w14:schemeClr w14:val="tx1"/>
                  </w14:solidFill>
                </w14:textFill>
              </w:rPr>
              <w:t>进行评价：</w:t>
            </w:r>
          </w:p>
          <w:p w14:paraId="430991B7">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①有根据</w:t>
            </w:r>
            <w:r>
              <w:rPr>
                <w:rFonts w:hint="eastAsia" w:ascii="仿宋" w:hAnsi="仿宋" w:eastAsia="仿宋"/>
                <w:color w:val="000000" w:themeColor="text1"/>
                <w:kern w:val="0"/>
                <w:sz w:val="24"/>
                <w14:textFill>
                  <w14:solidFill>
                    <w14:schemeClr w14:val="tx1"/>
                  </w14:solidFill>
                </w14:textFill>
              </w:rPr>
              <w:t>日常管理中常见的</w:t>
            </w:r>
            <w:r>
              <w:rPr>
                <w:rFonts w:hint="eastAsia" w:ascii="仿宋" w:hAnsi="仿宋" w:eastAsia="仿宋" w:cs="仿宋_GB2312"/>
                <w:color w:val="000000" w:themeColor="text1"/>
                <w:kern w:val="0"/>
                <w:sz w:val="24"/>
                <w14:textFill>
                  <w14:solidFill>
                    <w14:schemeClr w14:val="tx1"/>
                  </w14:solidFill>
                </w14:textFill>
              </w:rPr>
              <w:t>台风暴雨异常天气、突发事件，暴雨、运输车辆发生损坏、突发交通事故等</w:t>
            </w:r>
            <w:r>
              <w:rPr>
                <w:rFonts w:hint="eastAsia" w:ascii="仿宋" w:hAnsi="仿宋" w:eastAsia="仿宋"/>
                <w:color w:val="000000" w:themeColor="text1"/>
                <w:kern w:val="0"/>
                <w:sz w:val="24"/>
                <w14:textFill>
                  <w14:solidFill>
                    <w14:schemeClr w14:val="tx1"/>
                  </w14:solidFill>
                </w14:textFill>
              </w:rPr>
              <w:t>制定相应操作规程及措施的得</w:t>
            </w:r>
            <w:r>
              <w:rPr>
                <w:rFonts w:ascii="仿宋" w:hAnsi="仿宋" w:eastAsia="仿宋"/>
                <w:color w:val="000000" w:themeColor="text1"/>
                <w:kern w:val="0"/>
                <w:sz w:val="24"/>
                <w14:textFill>
                  <w14:solidFill>
                    <w14:schemeClr w14:val="tx1"/>
                  </w14:solidFill>
                </w14:textFill>
              </w:rPr>
              <w:t>2.5分；</w:t>
            </w:r>
          </w:p>
          <w:p w14:paraId="73480DE2">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w:t>
            </w:r>
            <w:r>
              <w:rPr>
                <w:rFonts w:hint="eastAsia" w:ascii="仿宋" w:hAnsi="仿宋" w:eastAsia="仿宋" w:cs="宋体"/>
                <w:bCs/>
                <w:color w:val="000000" w:themeColor="text1"/>
                <w:kern w:val="0"/>
                <w:sz w:val="24"/>
                <w14:textFill>
                  <w14:solidFill>
                    <w14:schemeClr w14:val="tx1"/>
                  </w14:solidFill>
                </w14:textFill>
              </w:rPr>
              <w:t>针对各突发事件的处理及应对措施完整详细，具体可行，能有效、及时处理现场突发事件的得</w:t>
            </w:r>
            <w:r>
              <w:rPr>
                <w:rFonts w:ascii="仿宋" w:hAnsi="仿宋" w:eastAsia="仿宋" w:cs="宋体"/>
                <w:bCs/>
                <w:color w:val="000000" w:themeColor="text1"/>
                <w:kern w:val="0"/>
                <w:sz w:val="24"/>
                <w14:textFill>
                  <w14:solidFill>
                    <w14:schemeClr w14:val="tx1"/>
                  </w14:solidFill>
                </w14:textFill>
              </w:rPr>
              <w:t>5</w:t>
            </w:r>
            <w:r>
              <w:rPr>
                <w:rFonts w:hint="eastAsia" w:ascii="仿宋" w:hAnsi="仿宋" w:eastAsia="仿宋" w:cs="宋体"/>
                <w:bCs/>
                <w:color w:val="000000" w:themeColor="text1"/>
                <w:kern w:val="0"/>
                <w:sz w:val="24"/>
                <w14:textFill>
                  <w14:solidFill>
                    <w14:schemeClr w14:val="tx1"/>
                  </w14:solidFill>
                </w14:textFill>
              </w:rPr>
              <w:t>分；</w:t>
            </w:r>
          </w:p>
          <w:p w14:paraId="5021F69E">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18BDEE7C">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1097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0756A582">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p>
        </w:tc>
        <w:tc>
          <w:tcPr>
            <w:tcW w:w="7906" w:type="dxa"/>
            <w:vAlign w:val="center"/>
          </w:tcPr>
          <w:p w14:paraId="5A77F837">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根据投标人针对本项目提供的</w:t>
            </w:r>
            <w:r>
              <w:rPr>
                <w:rFonts w:hint="eastAsia" w:ascii="仿宋" w:hAnsi="仿宋" w:eastAsia="仿宋" w:cs="宋体"/>
                <w:b/>
                <w:bCs/>
                <w:color w:val="000000" w:themeColor="text1"/>
                <w:sz w:val="24"/>
                <w14:textFill>
                  <w14:solidFill>
                    <w14:schemeClr w14:val="tx1"/>
                  </w14:solidFill>
                </w14:textFill>
              </w:rPr>
              <w:t>建筑垃圾清运方案</w:t>
            </w:r>
            <w:r>
              <w:rPr>
                <w:rFonts w:hint="eastAsia" w:ascii="仿宋" w:hAnsi="仿宋" w:eastAsia="仿宋" w:cs="宋体"/>
                <w:color w:val="000000" w:themeColor="text1"/>
                <w:sz w:val="24"/>
                <w14:textFill>
                  <w14:solidFill>
                    <w14:schemeClr w14:val="tx1"/>
                  </w14:solidFill>
                </w14:textFill>
              </w:rPr>
              <w:t>进行评价：</w:t>
            </w:r>
          </w:p>
          <w:p w14:paraId="20B8BFAA">
            <w:pPr>
              <w:pStyle w:val="23"/>
              <w:widowControl/>
              <w:numPr>
                <w:ilvl w:val="-1"/>
                <w:numId w:val="0"/>
              </w:numPr>
              <w:spacing w:line="420" w:lineRule="exact"/>
              <w:ind w:left="0" w:firstLine="0" w:firstLineChars="0"/>
              <w:rPr>
                <w:rFonts w:ascii="仿宋" w:hAnsi="仿宋" w:eastAsia="仿宋" w:cs="仿宋_GB2312"/>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w:t>
            </w:r>
            <w:r>
              <w:rPr>
                <w:rFonts w:hint="eastAsia" w:ascii="仿宋" w:hAnsi="仿宋" w:eastAsia="仿宋" w:cs="宋体"/>
                <w:color w:val="000000" w:themeColor="text1"/>
                <w:sz w:val="24"/>
                <w14:textFill>
                  <w14:solidFill>
                    <w14:schemeClr w14:val="tx1"/>
                  </w14:solidFill>
                </w14:textFill>
              </w:rPr>
              <w:t>有提供建筑垃圾清运方案</w:t>
            </w:r>
            <w:r>
              <w:rPr>
                <w:rFonts w:hint="eastAsia" w:ascii="仿宋" w:hAnsi="仿宋" w:eastAsia="仿宋" w:cs="宋体"/>
                <w:bCs/>
                <w:color w:val="000000" w:themeColor="text1"/>
                <w:kern w:val="0"/>
                <w:sz w:val="24"/>
                <w14:textFill>
                  <w14:solidFill>
                    <w14:schemeClr w14:val="tx1"/>
                  </w14:solidFill>
                </w14:textFill>
              </w:rPr>
              <w:t>的得</w:t>
            </w:r>
            <w:r>
              <w:rPr>
                <w:rFonts w:ascii="仿宋" w:hAnsi="仿宋" w:eastAsia="仿宋" w:cs="宋体"/>
                <w:bCs/>
                <w:color w:val="000000" w:themeColor="text1"/>
                <w:kern w:val="0"/>
                <w:sz w:val="24"/>
                <w14:textFill>
                  <w14:solidFill>
                    <w14:schemeClr w14:val="tx1"/>
                  </w14:solidFill>
                </w14:textFill>
              </w:rPr>
              <w:t>2.5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 xml:space="preserve">； </w:t>
            </w:r>
          </w:p>
          <w:p w14:paraId="68BC279D">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②在满足①的基础上，方案有具体服务保障措施、作业规范，能够切实保证实施效果的得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r>
              <w:rPr>
                <w:rFonts w:ascii="仿宋" w:hAnsi="仿宋" w:eastAsia="仿宋" w:cs="仿宋_GB2312"/>
                <w:color w:val="000000" w:themeColor="text1"/>
                <w:kern w:val="0"/>
                <w:sz w:val="24"/>
                <w14:textFill>
                  <w14:solidFill>
                    <w14:schemeClr w14:val="tx1"/>
                  </w14:solidFill>
                </w14:textFill>
              </w:rPr>
              <w:t xml:space="preserve"> </w:t>
            </w:r>
          </w:p>
          <w:p w14:paraId="74DC0A07">
            <w:pPr>
              <w:spacing w:line="480" w:lineRule="exact"/>
              <w:jc w:val="left"/>
              <w:rPr>
                <w:rFonts w:ascii="仿宋" w:hAnsi="仿宋" w:eastAsia="仿宋" w:cs="Arial"/>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007ABAA4">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4EE5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162F0C3C">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5</w:t>
            </w:r>
          </w:p>
        </w:tc>
        <w:tc>
          <w:tcPr>
            <w:tcW w:w="7906" w:type="dxa"/>
            <w:vAlign w:val="center"/>
          </w:tcPr>
          <w:p w14:paraId="49812A12">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根据投标人针对本项目提供的</w:t>
            </w:r>
            <w:r>
              <w:rPr>
                <w:rFonts w:hint="eastAsia" w:ascii="仿宋" w:hAnsi="仿宋" w:eastAsia="仿宋" w:cs="宋体"/>
                <w:b/>
                <w:bCs/>
                <w:color w:val="000000" w:themeColor="text1"/>
                <w:sz w:val="24"/>
                <w14:textFill>
                  <w14:solidFill>
                    <w14:schemeClr w14:val="tx1"/>
                  </w14:solidFill>
                </w14:textFill>
              </w:rPr>
              <w:t>服务人员培训方案</w:t>
            </w:r>
            <w:r>
              <w:rPr>
                <w:rFonts w:hint="eastAsia" w:ascii="仿宋" w:hAnsi="仿宋" w:eastAsia="仿宋" w:cs="宋体"/>
                <w:color w:val="000000" w:themeColor="text1"/>
                <w:sz w:val="24"/>
                <w14:textFill>
                  <w14:solidFill>
                    <w14:schemeClr w14:val="tx1"/>
                  </w14:solidFill>
                </w14:textFill>
              </w:rPr>
              <w:t>进行评价：</w:t>
            </w:r>
          </w:p>
          <w:p w14:paraId="63DDAEB4">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w:t>
            </w:r>
            <w:r>
              <w:rPr>
                <w:rFonts w:hint="eastAsia" w:ascii="仿宋" w:hAnsi="仿宋" w:eastAsia="仿宋" w:cs="宋体"/>
                <w:color w:val="000000" w:themeColor="text1"/>
                <w:sz w:val="24"/>
                <w14:textFill>
                  <w14:solidFill>
                    <w14:schemeClr w14:val="tx1"/>
                  </w14:solidFill>
                </w14:textFill>
              </w:rPr>
              <w:t>有提供服务人员培训方案，内容包括培训计划、培训内容安排</w:t>
            </w:r>
            <w:r>
              <w:rPr>
                <w:rFonts w:hint="eastAsia" w:ascii="仿宋" w:hAnsi="仿宋" w:eastAsia="仿宋" w:cs="宋体"/>
                <w:bCs/>
                <w:color w:val="000000" w:themeColor="text1"/>
                <w:kern w:val="0"/>
                <w:sz w:val="24"/>
                <w14:textFill>
                  <w14:solidFill>
                    <w14:schemeClr w14:val="tx1"/>
                  </w14:solidFill>
                </w14:textFill>
              </w:rPr>
              <w:t>的</w:t>
            </w:r>
            <w:r>
              <w:rPr>
                <w:rFonts w:hint="eastAsia" w:ascii="仿宋" w:hAnsi="仿宋" w:eastAsia="仿宋" w:cs="宋体"/>
                <w:bCs/>
                <w:color w:val="000000" w:themeColor="text1"/>
                <w:kern w:val="0"/>
                <w:sz w:val="24"/>
                <w:lang w:val="en-US" w:eastAsia="zh-CN"/>
                <w14:textFill>
                  <w14:solidFill>
                    <w14:schemeClr w14:val="tx1"/>
                  </w14:solidFill>
                </w14:textFill>
              </w:rPr>
              <w:t>得</w:t>
            </w:r>
            <w:r>
              <w:rPr>
                <w:rFonts w:ascii="仿宋" w:hAnsi="仿宋" w:eastAsia="仿宋" w:cs="宋体"/>
                <w:bCs/>
                <w:color w:val="000000" w:themeColor="text1"/>
                <w:kern w:val="0"/>
                <w:sz w:val="24"/>
                <w14:textFill>
                  <w14:solidFill>
                    <w14:schemeClr w14:val="tx1"/>
                  </w14:solidFill>
                </w14:textFill>
              </w:rPr>
              <w:t>2.5分</w:t>
            </w:r>
            <w:r>
              <w:rPr>
                <w:rFonts w:hint="eastAsia" w:ascii="仿宋" w:hAnsi="仿宋" w:eastAsia="仿宋" w:cs="仿宋_GB2312"/>
                <w:color w:val="000000" w:themeColor="text1"/>
                <w:kern w:val="0"/>
                <w:sz w:val="24"/>
                <w14:textFill>
                  <w14:solidFill>
                    <w14:schemeClr w14:val="tx1"/>
                  </w14:solidFill>
                </w14:textFill>
              </w:rPr>
              <w:t>；</w:t>
            </w:r>
          </w:p>
          <w:p w14:paraId="6B0EEF39">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w:t>
            </w:r>
            <w:r>
              <w:rPr>
                <w:rFonts w:hint="eastAsia" w:ascii="仿宋" w:hAnsi="仿宋" w:eastAsia="仿宋" w:cs="宋体"/>
                <w:color w:val="000000" w:themeColor="text1"/>
                <w:sz w:val="24"/>
                <w14:textFill>
                  <w14:solidFill>
                    <w14:schemeClr w14:val="tx1"/>
                  </w14:solidFill>
                </w14:textFill>
              </w:rPr>
              <w:t>以往有培训案例（提供培训现场照片），可有效提高人员服务质量，保证文明作业</w:t>
            </w:r>
            <w:r>
              <w:rPr>
                <w:rFonts w:hint="eastAsia" w:ascii="仿宋" w:hAnsi="仿宋" w:eastAsia="仿宋" w:cs="宋体"/>
                <w:bCs/>
                <w:color w:val="000000" w:themeColor="text1"/>
                <w:kern w:val="0"/>
                <w:sz w:val="24"/>
                <w14:textFill>
                  <w14:solidFill>
                    <w14:schemeClr w14:val="tx1"/>
                  </w14:solidFill>
                </w14:textFill>
              </w:rPr>
              <w:t>的</w:t>
            </w:r>
            <w:r>
              <w:rPr>
                <w:rFonts w:hint="eastAsia" w:ascii="仿宋" w:hAnsi="仿宋" w:eastAsia="仿宋" w:cs="仿宋_GB2312"/>
                <w:color w:val="000000" w:themeColor="text1"/>
                <w:kern w:val="0"/>
                <w:sz w:val="24"/>
                <w14:textFill>
                  <w14:solidFill>
                    <w14:schemeClr w14:val="tx1"/>
                  </w14:solidFill>
                </w14:textFill>
              </w:rPr>
              <w:t>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p>
          <w:p w14:paraId="0B792300">
            <w:pPr>
              <w:widowControl/>
              <w:spacing w:line="42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③未提供或不满足以上情形的不得分。</w:t>
            </w:r>
          </w:p>
        </w:tc>
        <w:tc>
          <w:tcPr>
            <w:tcW w:w="882" w:type="dxa"/>
            <w:vAlign w:val="center"/>
          </w:tcPr>
          <w:p w14:paraId="28AAA0ED">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1665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61E1CD51">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6</w:t>
            </w:r>
          </w:p>
        </w:tc>
        <w:tc>
          <w:tcPr>
            <w:tcW w:w="7906" w:type="dxa"/>
            <w:vAlign w:val="center"/>
          </w:tcPr>
          <w:p w14:paraId="53A90F1E">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根据投标人针对本项目提供的</w:t>
            </w:r>
            <w:r>
              <w:rPr>
                <w:rFonts w:hint="eastAsia" w:ascii="仿宋" w:hAnsi="仿宋" w:eastAsia="仿宋" w:cs="宋体"/>
                <w:b/>
                <w:color w:val="000000" w:themeColor="text1"/>
                <w:sz w:val="24"/>
                <w14:textFill>
                  <w14:solidFill>
                    <w14:schemeClr w14:val="tx1"/>
                  </w14:solidFill>
                </w14:textFill>
              </w:rPr>
              <w:t>突击性任务配合保障措施方案</w:t>
            </w:r>
            <w:r>
              <w:rPr>
                <w:rFonts w:hint="eastAsia" w:ascii="仿宋" w:hAnsi="仿宋" w:eastAsia="仿宋" w:cs="仿宋_GB2312"/>
                <w:color w:val="000000" w:themeColor="text1"/>
                <w:kern w:val="0"/>
                <w:sz w:val="24"/>
                <w14:textFill>
                  <w14:solidFill>
                    <w14:schemeClr w14:val="tx1"/>
                  </w14:solidFill>
                </w14:textFill>
              </w:rPr>
              <w:t>进行评价：</w:t>
            </w:r>
            <w:r>
              <w:rPr>
                <w:rFonts w:ascii="仿宋" w:hAnsi="仿宋" w:eastAsia="仿宋" w:cs="仿宋_GB2312"/>
                <w:color w:val="000000" w:themeColor="text1"/>
                <w:kern w:val="0"/>
                <w:sz w:val="24"/>
                <w14:textFill>
                  <w14:solidFill>
                    <w14:schemeClr w14:val="tx1"/>
                  </w14:solidFill>
                </w14:textFill>
              </w:rPr>
              <w:t xml:space="preserve"> </w:t>
            </w:r>
          </w:p>
          <w:p w14:paraId="3E7203FC">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①有</w:t>
            </w:r>
            <w:r>
              <w:rPr>
                <w:rFonts w:hint="eastAsia" w:ascii="仿宋" w:hAnsi="仿宋" w:eastAsia="仿宋"/>
                <w:color w:val="000000" w:themeColor="text1"/>
                <w:kern w:val="0"/>
                <w:sz w:val="24"/>
                <w14:textFill>
                  <w14:solidFill>
                    <w14:schemeClr w14:val="tx1"/>
                  </w14:solidFill>
                </w14:textFill>
              </w:rPr>
              <w:t>提供突击性任务配合保障措施方案，至少包含</w:t>
            </w:r>
            <w:r>
              <w:rPr>
                <w:rFonts w:hint="eastAsia" w:ascii="仿宋" w:hAnsi="仿宋" w:eastAsia="仿宋" w:cs="宋体"/>
                <w:color w:val="000000" w:themeColor="text1"/>
                <w:sz w:val="24"/>
                <w14:textFill>
                  <w14:solidFill>
                    <w14:schemeClr w14:val="tx1"/>
                  </w14:solidFill>
                </w14:textFill>
              </w:rPr>
              <w:t>相关突击性任务配合保障措施、服务承诺</w:t>
            </w:r>
            <w:r>
              <w:rPr>
                <w:rFonts w:hint="eastAsia" w:ascii="仿宋" w:hAnsi="仿宋" w:eastAsia="仿宋" w:cs="宋体"/>
                <w:bCs/>
                <w:color w:val="000000" w:themeColor="text1"/>
                <w:kern w:val="0"/>
                <w:sz w:val="24"/>
                <w14:textFill>
                  <w14:solidFill>
                    <w14:schemeClr w14:val="tx1"/>
                  </w14:solidFill>
                </w14:textFill>
              </w:rPr>
              <w:t>的</w:t>
            </w:r>
            <w:r>
              <w:rPr>
                <w:rFonts w:hint="eastAsia" w:ascii="仿宋" w:hAnsi="仿宋" w:eastAsia="仿宋" w:cs="宋体"/>
                <w:bCs/>
                <w:color w:val="000000" w:themeColor="text1"/>
                <w:kern w:val="0"/>
                <w:sz w:val="24"/>
                <w:lang w:val="en-US" w:eastAsia="zh-CN"/>
                <w14:textFill>
                  <w14:solidFill>
                    <w14:schemeClr w14:val="tx1"/>
                  </w14:solidFill>
                </w14:textFill>
              </w:rPr>
              <w:t>得</w:t>
            </w:r>
            <w:r>
              <w:rPr>
                <w:rFonts w:ascii="仿宋" w:hAnsi="仿宋" w:eastAsia="仿宋" w:cs="宋体"/>
                <w:bCs/>
                <w:color w:val="000000" w:themeColor="text1"/>
                <w:kern w:val="0"/>
                <w:sz w:val="24"/>
                <w14:textFill>
                  <w14:solidFill>
                    <w14:schemeClr w14:val="tx1"/>
                  </w14:solidFill>
                </w14:textFill>
              </w:rPr>
              <w:t>2.5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w:t>
            </w:r>
          </w:p>
          <w:p w14:paraId="1E0FA17F">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w:t>
            </w:r>
            <w:r>
              <w:rPr>
                <w:rFonts w:hint="eastAsia" w:ascii="仿宋" w:hAnsi="仿宋" w:eastAsia="仿宋" w:cs="宋体"/>
                <w:bCs/>
                <w:color w:val="000000" w:themeColor="text1"/>
                <w:kern w:val="0"/>
                <w:sz w:val="24"/>
                <w14:textFill>
                  <w14:solidFill>
                    <w14:schemeClr w14:val="tx1"/>
                  </w14:solidFill>
                </w14:textFill>
              </w:rPr>
              <w:t>方案完整详细、切实可行，能有效保障项目顺利实施的得</w:t>
            </w:r>
            <w:r>
              <w:rPr>
                <w:rFonts w:ascii="仿宋" w:hAnsi="仿宋" w:eastAsia="仿宋" w:cs="宋体"/>
                <w:bCs/>
                <w:color w:val="000000" w:themeColor="text1"/>
                <w:kern w:val="0"/>
                <w:sz w:val="24"/>
                <w14:textFill>
                  <w14:solidFill>
                    <w14:schemeClr w14:val="tx1"/>
                  </w14:solidFill>
                </w14:textFill>
              </w:rPr>
              <w:t>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w:t>
            </w:r>
          </w:p>
          <w:p w14:paraId="0488DA8A">
            <w:pPr>
              <w:widowControl/>
              <w:spacing w:line="42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02FEEE0A">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46E7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6BDD0669">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7</w:t>
            </w:r>
          </w:p>
        </w:tc>
        <w:tc>
          <w:tcPr>
            <w:tcW w:w="7906" w:type="dxa"/>
            <w:vAlign w:val="center"/>
          </w:tcPr>
          <w:p w14:paraId="53622919">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根据投标人针对本项目提供的</w:t>
            </w:r>
            <w:r>
              <w:rPr>
                <w:rFonts w:hint="eastAsia" w:ascii="仿宋" w:hAnsi="仿宋" w:eastAsia="仿宋" w:cs="宋体"/>
                <w:b/>
                <w:color w:val="000000" w:themeColor="text1"/>
                <w:sz w:val="24"/>
                <w14:textFill>
                  <w14:solidFill>
                    <w14:schemeClr w14:val="tx1"/>
                  </w14:solidFill>
                </w14:textFill>
              </w:rPr>
              <w:t>检查评比配合保障措施方案</w:t>
            </w:r>
            <w:r>
              <w:rPr>
                <w:rFonts w:hint="eastAsia" w:ascii="仿宋" w:hAnsi="仿宋" w:eastAsia="仿宋" w:cs="仿宋_GB2312"/>
                <w:color w:val="000000" w:themeColor="text1"/>
                <w:kern w:val="0"/>
                <w:sz w:val="24"/>
                <w14:textFill>
                  <w14:solidFill>
                    <w14:schemeClr w14:val="tx1"/>
                  </w14:solidFill>
                </w14:textFill>
              </w:rPr>
              <w:t>进行评价</w:t>
            </w:r>
            <w:r>
              <w:rPr>
                <w:rFonts w:hint="eastAsia" w:ascii="仿宋" w:hAnsi="仿宋" w:eastAsia="仿宋" w:cs="宋体"/>
                <w:color w:val="000000" w:themeColor="text1"/>
                <w:sz w:val="24"/>
                <w14:textFill>
                  <w14:solidFill>
                    <w14:schemeClr w14:val="tx1"/>
                  </w14:solidFill>
                </w14:textFill>
              </w:rPr>
              <w:t>：</w:t>
            </w:r>
          </w:p>
          <w:p w14:paraId="6AF5C49D">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w:t>
            </w:r>
            <w:r>
              <w:rPr>
                <w:rFonts w:hint="eastAsia" w:ascii="仿宋" w:hAnsi="仿宋" w:eastAsia="仿宋"/>
                <w:color w:val="000000" w:themeColor="text1"/>
                <w:kern w:val="0"/>
                <w:sz w:val="24"/>
                <w14:textFill>
                  <w14:solidFill>
                    <w14:schemeClr w14:val="tx1"/>
                  </w14:solidFill>
                </w14:textFill>
              </w:rPr>
              <w:t>有提供检查评比配合保障措施方案，至少包含</w:t>
            </w:r>
            <w:r>
              <w:rPr>
                <w:rFonts w:hint="eastAsia" w:ascii="仿宋" w:hAnsi="仿宋" w:eastAsia="仿宋" w:cs="宋体"/>
                <w:color w:val="000000" w:themeColor="text1"/>
                <w:sz w:val="24"/>
                <w14:textFill>
                  <w14:solidFill>
                    <w14:schemeClr w14:val="tx1"/>
                  </w14:solidFill>
                </w14:textFill>
              </w:rPr>
              <w:t>相关检查评比配合保障措施、服务承诺</w:t>
            </w:r>
            <w:r>
              <w:rPr>
                <w:rFonts w:hint="eastAsia" w:ascii="仿宋" w:hAnsi="仿宋" w:eastAsia="仿宋" w:cs="宋体"/>
                <w:bCs/>
                <w:color w:val="000000" w:themeColor="text1"/>
                <w:kern w:val="0"/>
                <w:sz w:val="24"/>
                <w14:textFill>
                  <w14:solidFill>
                    <w14:schemeClr w14:val="tx1"/>
                  </w14:solidFill>
                </w14:textFill>
              </w:rPr>
              <w:t>的</w:t>
            </w:r>
            <w:r>
              <w:rPr>
                <w:rFonts w:hint="eastAsia" w:ascii="仿宋" w:hAnsi="仿宋" w:eastAsia="仿宋" w:cs="宋体"/>
                <w:bCs/>
                <w:color w:val="000000" w:themeColor="text1"/>
                <w:kern w:val="0"/>
                <w:sz w:val="24"/>
                <w:lang w:val="en-US" w:eastAsia="zh-CN"/>
                <w14:textFill>
                  <w14:solidFill>
                    <w14:schemeClr w14:val="tx1"/>
                  </w14:solidFill>
                </w14:textFill>
              </w:rPr>
              <w:t>得</w:t>
            </w:r>
            <w:r>
              <w:rPr>
                <w:rFonts w:ascii="仿宋" w:hAnsi="仿宋" w:eastAsia="仿宋" w:cs="宋体"/>
                <w:bCs/>
                <w:color w:val="000000" w:themeColor="text1"/>
                <w:kern w:val="0"/>
                <w:sz w:val="24"/>
                <w14:textFill>
                  <w14:solidFill>
                    <w14:schemeClr w14:val="tx1"/>
                  </w14:solidFill>
                </w14:textFill>
              </w:rPr>
              <w:t>2.5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w:t>
            </w:r>
          </w:p>
          <w:p w14:paraId="11542307">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w:t>
            </w:r>
            <w:r>
              <w:rPr>
                <w:rFonts w:hint="eastAsia" w:ascii="仿宋" w:hAnsi="仿宋" w:eastAsia="仿宋" w:cs="宋体"/>
                <w:bCs/>
                <w:color w:val="000000" w:themeColor="text1"/>
                <w:kern w:val="0"/>
                <w:sz w:val="24"/>
                <w14:textFill>
                  <w14:solidFill>
                    <w14:schemeClr w14:val="tx1"/>
                  </w14:solidFill>
                </w14:textFill>
              </w:rPr>
              <w:t>方案完整详细、切实可行，能有效保障项目顺利实施的得</w:t>
            </w:r>
            <w:r>
              <w:rPr>
                <w:rFonts w:ascii="仿宋" w:hAnsi="仿宋" w:eastAsia="仿宋" w:cs="宋体"/>
                <w:bCs/>
                <w:color w:val="000000" w:themeColor="text1"/>
                <w:kern w:val="0"/>
                <w:sz w:val="24"/>
                <w14:textFill>
                  <w14:solidFill>
                    <w14:schemeClr w14:val="tx1"/>
                  </w14:solidFill>
                </w14:textFill>
              </w:rPr>
              <w:t>5</w:t>
            </w:r>
            <w:r>
              <w:rPr>
                <w:rFonts w:hint="eastAsia" w:ascii="仿宋" w:hAnsi="仿宋" w:eastAsia="仿宋" w:cs="宋体"/>
                <w:bCs/>
                <w:color w:val="000000" w:themeColor="text1"/>
                <w:kern w:val="0"/>
                <w:sz w:val="24"/>
                <w14:textFill>
                  <w14:solidFill>
                    <w14:schemeClr w14:val="tx1"/>
                  </w14:solidFill>
                </w14:textFill>
              </w:rPr>
              <w:t>分</w:t>
            </w:r>
            <w:r>
              <w:rPr>
                <w:rFonts w:hint="eastAsia" w:ascii="仿宋" w:hAnsi="仿宋" w:eastAsia="仿宋" w:cs="仿宋_GB2312"/>
                <w:color w:val="000000" w:themeColor="text1"/>
                <w:kern w:val="0"/>
                <w:sz w:val="24"/>
                <w14:textFill>
                  <w14:solidFill>
                    <w14:schemeClr w14:val="tx1"/>
                  </w14:solidFill>
                </w14:textFill>
              </w:rPr>
              <w:t>；</w:t>
            </w:r>
          </w:p>
          <w:p w14:paraId="552CBD7A">
            <w:pPr>
              <w:widowControl/>
              <w:spacing w:line="42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③未提供或不符合上述情形的不得分。</w:t>
            </w:r>
          </w:p>
        </w:tc>
        <w:tc>
          <w:tcPr>
            <w:tcW w:w="882" w:type="dxa"/>
            <w:vAlign w:val="center"/>
          </w:tcPr>
          <w:p w14:paraId="0A77BF6D">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403B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35605CFC">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8</w:t>
            </w:r>
          </w:p>
        </w:tc>
        <w:tc>
          <w:tcPr>
            <w:tcW w:w="7906" w:type="dxa"/>
            <w:vAlign w:val="center"/>
          </w:tcPr>
          <w:p w14:paraId="7AF69A7E">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根据投标人</w:t>
            </w:r>
            <w:r>
              <w:rPr>
                <w:rFonts w:hint="eastAsia" w:ascii="仿宋" w:hAnsi="仿宋" w:eastAsia="仿宋" w:cs="Arial"/>
                <w:color w:val="000000" w:themeColor="text1"/>
                <w:sz w:val="24"/>
                <w14:textFill>
                  <w14:solidFill>
                    <w14:schemeClr w14:val="tx1"/>
                  </w14:solidFill>
                </w14:textFill>
              </w:rPr>
              <w:t>针对本项目提供的</w:t>
            </w:r>
            <w:r>
              <w:rPr>
                <w:rFonts w:hint="eastAsia" w:ascii="仿宋" w:hAnsi="仿宋" w:eastAsia="仿宋" w:cs="仿宋_GB2312"/>
                <w:b/>
                <w:bCs/>
                <w:color w:val="000000" w:themeColor="text1"/>
                <w:kern w:val="0"/>
                <w:sz w:val="24"/>
                <w14:textFill>
                  <w14:solidFill>
                    <w14:schemeClr w14:val="tx1"/>
                  </w14:solidFill>
                </w14:textFill>
              </w:rPr>
              <w:t>投诉处理机制及处理方案</w:t>
            </w:r>
            <w:r>
              <w:rPr>
                <w:rFonts w:hint="eastAsia" w:ascii="仿宋" w:hAnsi="仿宋" w:eastAsia="仿宋" w:cs="仿宋_GB2312"/>
                <w:color w:val="000000" w:themeColor="text1"/>
                <w:kern w:val="0"/>
                <w:sz w:val="24"/>
                <w14:textFill>
                  <w14:solidFill>
                    <w14:schemeClr w14:val="tx1"/>
                  </w14:solidFill>
                </w14:textFill>
              </w:rPr>
              <w:t>进行评价：</w:t>
            </w:r>
            <w:r>
              <w:rPr>
                <w:rFonts w:ascii="仿宋" w:hAnsi="仿宋" w:eastAsia="仿宋" w:cs="仿宋_GB2312"/>
                <w:color w:val="000000" w:themeColor="text1"/>
                <w:kern w:val="0"/>
                <w:sz w:val="24"/>
                <w14:textFill>
                  <w14:solidFill>
                    <w14:schemeClr w14:val="tx1"/>
                  </w14:solidFill>
                </w14:textFill>
              </w:rPr>
              <w:t xml:space="preserve"> </w:t>
            </w:r>
          </w:p>
          <w:p w14:paraId="27CFC8F9">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①投标人有针对本项目提供投诉处理机制及处理方案，方案包含但不限于对业主、群众投诉、其他渠道反映等突发事件有相应措施的得</w:t>
            </w:r>
            <w:r>
              <w:rPr>
                <w:rFonts w:ascii="仿宋" w:hAnsi="仿宋" w:eastAsia="仿宋" w:cs="仿宋_GB2312"/>
                <w:color w:val="000000" w:themeColor="text1"/>
                <w:kern w:val="0"/>
                <w:sz w:val="24"/>
                <w14:textFill>
                  <w14:solidFill>
                    <w14:schemeClr w14:val="tx1"/>
                  </w14:solidFill>
                </w14:textFill>
              </w:rPr>
              <w:t xml:space="preserve">2.5分； </w:t>
            </w:r>
          </w:p>
          <w:p w14:paraId="3EBBB8B8">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②在满足①的基础上，有针对性的处理措施，可有效的解决投诉事项，并提供具体、详细的投诉预防措施，可有效的减少或避免投诉事件，有利于项目实施并达到预期目标的得</w:t>
            </w:r>
            <w:r>
              <w:rPr>
                <w:rFonts w:ascii="仿宋" w:hAnsi="仿宋" w:eastAsia="仿宋" w:cs="仿宋_GB2312"/>
                <w:color w:val="000000" w:themeColor="text1"/>
                <w:kern w:val="0"/>
                <w:sz w:val="24"/>
                <w14:textFill>
                  <w14:solidFill>
                    <w14:schemeClr w14:val="tx1"/>
                  </w14:solidFill>
                </w14:textFill>
              </w:rPr>
              <w:t>5</w:t>
            </w:r>
            <w:r>
              <w:rPr>
                <w:rFonts w:hint="eastAsia" w:ascii="仿宋" w:hAnsi="仿宋" w:eastAsia="仿宋" w:cs="仿宋_GB2312"/>
                <w:color w:val="000000" w:themeColor="text1"/>
                <w:kern w:val="0"/>
                <w:sz w:val="24"/>
                <w14:textFill>
                  <w14:solidFill>
                    <w14:schemeClr w14:val="tx1"/>
                  </w14:solidFill>
                </w14:textFill>
              </w:rPr>
              <w:t>分；</w:t>
            </w:r>
            <w:r>
              <w:rPr>
                <w:rFonts w:ascii="仿宋" w:hAnsi="仿宋" w:eastAsia="仿宋" w:cs="仿宋_GB2312"/>
                <w:color w:val="000000" w:themeColor="text1"/>
                <w:kern w:val="0"/>
                <w:sz w:val="24"/>
                <w14:textFill>
                  <w14:solidFill>
                    <w14:schemeClr w14:val="tx1"/>
                  </w14:solidFill>
                </w14:textFill>
              </w:rPr>
              <w:t xml:space="preserve"> </w:t>
            </w:r>
          </w:p>
          <w:p w14:paraId="6B423493">
            <w:pPr>
              <w:widowControl/>
              <w:spacing w:line="420" w:lineRule="exact"/>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③未提供方案或方案不满足以上要求的不得分。</w:t>
            </w:r>
          </w:p>
        </w:tc>
        <w:tc>
          <w:tcPr>
            <w:tcW w:w="882" w:type="dxa"/>
            <w:vAlign w:val="center"/>
          </w:tcPr>
          <w:p w14:paraId="424C57AF">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4D8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14:paraId="6B380217">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9</w:t>
            </w:r>
          </w:p>
        </w:tc>
        <w:tc>
          <w:tcPr>
            <w:tcW w:w="7906" w:type="dxa"/>
            <w:tcBorders>
              <w:bottom w:val="single" w:color="auto" w:sz="4" w:space="0"/>
            </w:tcBorders>
            <w:vAlign w:val="center"/>
          </w:tcPr>
          <w:p w14:paraId="025503F1">
            <w:pPr>
              <w:widowControl/>
              <w:spacing w:line="420" w:lineRule="exac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投标人书面承诺“中标后为本项目配备</w:t>
            </w:r>
            <w:r>
              <w:rPr>
                <w:rFonts w:ascii="仿宋" w:hAnsi="仿宋" w:eastAsia="仿宋"/>
                <w:color w:val="000000" w:themeColor="text1"/>
                <w:sz w:val="24"/>
                <w14:textFill>
                  <w14:solidFill>
                    <w14:schemeClr w14:val="tx1"/>
                  </w14:solidFill>
                </w14:textFill>
              </w:rPr>
              <w:t>1名专业的保洁人员及时清理装卸车现场及周边遗落的土头或垃圾”的得1</w:t>
            </w:r>
            <w:r>
              <w:rPr>
                <w:rFonts w:hint="eastAsia" w:ascii="仿宋" w:hAnsi="仿宋" w:eastAsia="仿宋"/>
                <w:color w:val="000000" w:themeColor="text1"/>
                <w:sz w:val="24"/>
                <w14:textFill>
                  <w14:solidFill>
                    <w14:schemeClr w14:val="tx1"/>
                  </w14:solidFill>
                </w14:textFill>
              </w:rPr>
              <w:t>分，“中标后为本项目配备</w:t>
            </w:r>
            <w:r>
              <w:rPr>
                <w:rFonts w:ascii="仿宋" w:hAnsi="仿宋" w:eastAsia="仿宋"/>
                <w:color w:val="000000" w:themeColor="text1"/>
                <w:sz w:val="24"/>
                <w14:textFill>
                  <w14:solidFill>
                    <w14:schemeClr w14:val="tx1"/>
                  </w14:solidFill>
                </w14:textFill>
              </w:rPr>
              <w:t>2名或以上专业的保洁人员及时清理装卸车现场及周边遗落的土头或垃圾”的得3</w:t>
            </w:r>
            <w:r>
              <w:rPr>
                <w:rFonts w:hint="eastAsia" w:ascii="仿宋" w:hAnsi="仿宋" w:eastAsia="仿宋"/>
                <w:color w:val="000000" w:themeColor="text1"/>
                <w:sz w:val="24"/>
                <w14:textFill>
                  <w14:solidFill>
                    <w14:schemeClr w14:val="tx1"/>
                  </w14:solidFill>
                </w14:textFill>
              </w:rPr>
              <w:t>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tcBorders>
              <w:bottom w:val="single" w:color="auto" w:sz="4" w:space="0"/>
            </w:tcBorders>
            <w:vAlign w:val="center"/>
          </w:tcPr>
          <w:p w14:paraId="00FD1A90">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3</w:t>
            </w:r>
          </w:p>
        </w:tc>
      </w:tr>
      <w:tr w14:paraId="61B7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7E4C1B82">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10</w:t>
            </w:r>
          </w:p>
        </w:tc>
        <w:tc>
          <w:tcPr>
            <w:tcW w:w="7906" w:type="dxa"/>
            <w:vAlign w:val="center"/>
          </w:tcPr>
          <w:p w14:paraId="71FCEC32">
            <w:pPr>
              <w:widowControl/>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投标人书面承诺“中标后加强对所属运输车辆及其驾驶员的管理，建立建筑垃圾运输车辆和驾驶员的动态管理制度”</w:t>
            </w:r>
            <w:r>
              <w:rPr>
                <w:rFonts w:ascii="仿宋" w:hAnsi="仿宋" w:eastAsia="仿宋" w:cs="宋体"/>
                <w:color w:val="000000" w:themeColor="text1"/>
                <w:sz w:val="24"/>
                <w14:textFill>
                  <w14:solidFill>
                    <w14:schemeClr w14:val="tx1"/>
                  </w14:solidFill>
                </w14:textFill>
              </w:rPr>
              <w:t>的得3分。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vAlign w:val="center"/>
          </w:tcPr>
          <w:p w14:paraId="1721ACCF">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3</w:t>
            </w:r>
          </w:p>
        </w:tc>
      </w:tr>
      <w:tr w14:paraId="512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14:paraId="4DFC3A71">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11</w:t>
            </w:r>
          </w:p>
        </w:tc>
        <w:tc>
          <w:tcPr>
            <w:tcW w:w="7906" w:type="dxa"/>
            <w:tcBorders>
              <w:bottom w:val="single" w:color="auto" w:sz="4" w:space="0"/>
            </w:tcBorders>
            <w:vAlign w:val="center"/>
          </w:tcPr>
          <w:p w14:paraId="360A2FAE">
            <w:pPr>
              <w:widowControl/>
              <w:spacing w:line="4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投标人书面承诺“运输车辆应当适量装载，随车携带建筑垃圾运输单，并按指定的时间、路线行驶，运输途中不得泄漏、遗撒。”</w:t>
            </w:r>
            <w:r>
              <w:rPr>
                <w:rFonts w:ascii="仿宋" w:hAnsi="仿宋" w:eastAsia="仿宋" w:cs="宋体"/>
                <w:color w:val="000000" w:themeColor="text1"/>
                <w:sz w:val="24"/>
                <w14:textFill>
                  <w14:solidFill>
                    <w14:schemeClr w14:val="tx1"/>
                  </w14:solidFill>
                </w14:textFill>
              </w:rPr>
              <w:t>的得2分。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tcBorders>
              <w:bottom w:val="single" w:color="auto" w:sz="4" w:space="0"/>
            </w:tcBorders>
            <w:vAlign w:val="center"/>
          </w:tcPr>
          <w:p w14:paraId="7DFE0D61">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2</w:t>
            </w:r>
          </w:p>
        </w:tc>
      </w:tr>
      <w:tr w14:paraId="3FDD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Borders>
              <w:top w:val="single" w:color="auto" w:sz="4" w:space="0"/>
              <w:left w:val="single" w:color="auto" w:sz="4" w:space="0"/>
              <w:bottom w:val="single" w:color="auto" w:sz="4" w:space="0"/>
              <w:right w:val="single" w:color="auto" w:sz="4" w:space="0"/>
            </w:tcBorders>
            <w:vAlign w:val="center"/>
          </w:tcPr>
          <w:p w14:paraId="52FDE7F4">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12</w:t>
            </w:r>
          </w:p>
        </w:tc>
        <w:tc>
          <w:tcPr>
            <w:tcW w:w="7906" w:type="dxa"/>
            <w:tcBorders>
              <w:top w:val="single" w:color="auto" w:sz="4" w:space="0"/>
              <w:left w:val="single" w:color="auto" w:sz="4" w:space="0"/>
              <w:bottom w:val="single" w:color="auto" w:sz="4" w:space="0"/>
              <w:right w:val="single" w:color="auto" w:sz="4" w:space="0"/>
            </w:tcBorders>
            <w:vAlign w:val="center"/>
          </w:tcPr>
          <w:p w14:paraId="3CDBEB58">
            <w:pPr>
              <w:widowControl/>
              <w:spacing w:line="420" w:lineRule="exac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投标人书面承诺“中标后对建筑垃圾运输车辆进行定期清洁保养，保持车况完好，符合建筑垃圾运输要求。”</w:t>
            </w:r>
            <w:r>
              <w:rPr>
                <w:rFonts w:ascii="仿宋" w:hAnsi="仿宋" w:eastAsia="仿宋" w:cs="宋体"/>
                <w:color w:val="000000" w:themeColor="text1"/>
                <w:sz w:val="24"/>
                <w14:textFill>
                  <w14:solidFill>
                    <w14:schemeClr w14:val="tx1"/>
                  </w14:solidFill>
                </w14:textFill>
              </w:rPr>
              <w:t>的得2分。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tcBorders>
              <w:top w:val="single" w:color="auto" w:sz="4" w:space="0"/>
              <w:left w:val="single" w:color="auto" w:sz="4" w:space="0"/>
              <w:bottom w:val="single" w:color="auto" w:sz="4" w:space="0"/>
              <w:right w:val="single" w:color="auto" w:sz="4" w:space="0"/>
            </w:tcBorders>
            <w:vAlign w:val="center"/>
          </w:tcPr>
          <w:p w14:paraId="205AAEFB">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2</w:t>
            </w:r>
          </w:p>
        </w:tc>
      </w:tr>
      <w:bookmarkEnd w:id="373"/>
    </w:tbl>
    <w:p w14:paraId="7AA803C5">
      <w:pPr>
        <w:spacing w:beforeLines="50" w:afterLines="50" w:line="500" w:lineRule="exact"/>
        <w:ind w:right="-78"/>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（2）商务分F2（满分20分）</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906"/>
        <w:gridCol w:w="882"/>
      </w:tblGrid>
      <w:tr w14:paraId="6C71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3AD23ABF">
            <w:pPr>
              <w:spacing w:line="480" w:lineRule="exac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序号</w:t>
            </w:r>
          </w:p>
        </w:tc>
        <w:tc>
          <w:tcPr>
            <w:tcW w:w="7906" w:type="dxa"/>
            <w:vAlign w:val="center"/>
          </w:tcPr>
          <w:p w14:paraId="139D08C6">
            <w:pPr>
              <w:spacing w:line="480" w:lineRule="exact"/>
              <w:jc w:val="center"/>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评分界定</w:t>
            </w:r>
          </w:p>
        </w:tc>
        <w:tc>
          <w:tcPr>
            <w:tcW w:w="882" w:type="dxa"/>
            <w:vAlign w:val="center"/>
          </w:tcPr>
          <w:p w14:paraId="256F35EB">
            <w:pPr>
              <w:spacing w:line="480" w:lineRule="exact"/>
              <w:jc w:val="center"/>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满分分值</w:t>
            </w:r>
          </w:p>
        </w:tc>
      </w:tr>
      <w:tr w14:paraId="0A5D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0F133DA2">
            <w:pPr>
              <w:spacing w:line="480" w:lineRule="exact"/>
              <w:jc w:val="center"/>
              <w:rPr>
                <w:rFonts w:ascii="仿宋" w:hAnsi="仿宋" w:eastAsia="仿宋"/>
                <w:color w:val="000000" w:themeColor="text1"/>
                <w:sz w:val="24"/>
                <w:highlight w:val="yellow"/>
                <w14:textFill>
                  <w14:solidFill>
                    <w14:schemeClr w14:val="tx1"/>
                  </w14:solidFill>
                </w14:textFill>
              </w:rPr>
            </w:pPr>
            <w:r>
              <w:rPr>
                <w:rFonts w:ascii="仿宋" w:hAnsi="仿宋" w:eastAsia="仿宋"/>
                <w:color w:val="000000" w:themeColor="text1"/>
                <w:sz w:val="24"/>
                <w14:textFill>
                  <w14:solidFill>
                    <w14:schemeClr w14:val="tx1"/>
                  </w14:solidFill>
                </w14:textFill>
              </w:rPr>
              <w:t>1</w:t>
            </w:r>
          </w:p>
        </w:tc>
        <w:tc>
          <w:tcPr>
            <w:tcW w:w="7906" w:type="dxa"/>
            <w:vAlign w:val="center"/>
          </w:tcPr>
          <w:p w14:paraId="66DE77E4">
            <w:pPr>
              <w:spacing w:line="480" w:lineRule="exact"/>
              <w:jc w:val="left"/>
              <w:rPr>
                <w:rFonts w:ascii="仿宋" w:hAnsi="仿宋" w:eastAsia="仿宋" w:cs="Arial"/>
                <w:color w:val="000000" w:themeColor="text1"/>
                <w:sz w:val="24"/>
                <w:highlight w:val="yellow"/>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投标人书面承诺“对投入本项目的所有服务人员购买意外险或公众责任险，</w:t>
            </w:r>
            <w:r>
              <w:rPr>
                <w:rFonts w:hint="eastAsia" w:ascii="仿宋" w:hAnsi="仿宋" w:eastAsia="仿宋" w:cs="宋体"/>
                <w:color w:val="000000" w:themeColor="text1"/>
                <w:sz w:val="24"/>
                <w:shd w:val="clear" w:color="auto" w:fill="FFFFFF"/>
                <w14:textFill>
                  <w14:solidFill>
                    <w14:schemeClr w14:val="tx1"/>
                  </w14:solidFill>
                </w14:textFill>
              </w:rPr>
              <w:t>人均赔偿金额不低于</w:t>
            </w:r>
            <w:r>
              <w:rPr>
                <w:rFonts w:ascii="仿宋" w:hAnsi="仿宋" w:eastAsia="仿宋" w:cs="宋体"/>
                <w:color w:val="000000" w:themeColor="text1"/>
                <w:sz w:val="24"/>
                <w:shd w:val="clear" w:color="auto" w:fill="FFFFFF"/>
                <w14:textFill>
                  <w14:solidFill>
                    <w14:schemeClr w14:val="tx1"/>
                  </w14:solidFill>
                </w14:textFill>
              </w:rPr>
              <w:t>100万（保险期需涵盖项目服务期限）。</w:t>
            </w:r>
            <w:r>
              <w:rPr>
                <w:rFonts w:hint="eastAsia" w:ascii="仿宋" w:hAnsi="仿宋" w:eastAsia="仿宋" w:cs="宋体"/>
                <w:color w:val="000000" w:themeColor="text1"/>
                <w:sz w:val="24"/>
                <w14:textFill>
                  <w14:solidFill>
                    <w14:schemeClr w14:val="tx1"/>
                  </w14:solidFill>
                </w14:textFill>
              </w:rPr>
              <w:t>并对所有服务人员工伤意外、劳务纠纷、安全事故等特殊情况承担全部责任”的得</w:t>
            </w:r>
            <w:r>
              <w:rPr>
                <w:rFonts w:ascii="仿宋" w:hAnsi="仿宋" w:eastAsia="仿宋" w:cs="宋体"/>
                <w:color w:val="000000" w:themeColor="text1"/>
                <w:sz w:val="24"/>
                <w14:textFill>
                  <w14:solidFill>
                    <w14:schemeClr w14:val="tx1"/>
                  </w14:solidFill>
                </w14:textFill>
              </w:rPr>
              <w:t>5分。投标人须提供书面承诺函（承诺函格式自拟），否则不得分。</w:t>
            </w:r>
          </w:p>
        </w:tc>
        <w:tc>
          <w:tcPr>
            <w:tcW w:w="882" w:type="dxa"/>
            <w:vAlign w:val="center"/>
          </w:tcPr>
          <w:p w14:paraId="4C275A75">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6D3D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223901F4">
            <w:pPr>
              <w:spacing w:line="480" w:lineRule="exact"/>
              <w:jc w:val="center"/>
              <w:rPr>
                <w:rFonts w:ascii="仿宋" w:hAnsi="仿宋" w:eastAsia="仿宋"/>
                <w:color w:val="000000" w:themeColor="text1"/>
                <w:sz w:val="24"/>
                <w:highlight w:val="yellow"/>
                <w14:textFill>
                  <w14:solidFill>
                    <w14:schemeClr w14:val="tx1"/>
                  </w14:solidFill>
                </w14:textFill>
              </w:rPr>
            </w:pPr>
            <w:r>
              <w:rPr>
                <w:rFonts w:ascii="仿宋" w:hAnsi="仿宋" w:eastAsia="仿宋"/>
                <w:color w:val="000000" w:themeColor="text1"/>
                <w:sz w:val="24"/>
                <w14:textFill>
                  <w14:solidFill>
                    <w14:schemeClr w14:val="tx1"/>
                  </w14:solidFill>
                </w14:textFill>
              </w:rPr>
              <w:t>2</w:t>
            </w:r>
          </w:p>
        </w:tc>
        <w:tc>
          <w:tcPr>
            <w:tcW w:w="7906" w:type="dxa"/>
            <w:vAlign w:val="center"/>
          </w:tcPr>
          <w:p w14:paraId="4E1C9B3B">
            <w:pPr>
              <w:spacing w:line="480" w:lineRule="exact"/>
              <w:jc w:val="left"/>
              <w:rPr>
                <w:rFonts w:ascii="仿宋" w:hAnsi="仿宋" w:eastAsia="仿宋" w:cs="Arial"/>
                <w:color w:val="000000" w:themeColor="text1"/>
                <w:sz w:val="24"/>
                <w:highlight w:val="yellow"/>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w:t>
            </w:r>
            <w:r>
              <w:rPr>
                <w:rFonts w:ascii="仿宋" w:hAnsi="仿宋" w:eastAsia="仿宋" w:cs="宋体"/>
                <w:color w:val="000000" w:themeColor="text1"/>
                <w:sz w:val="24"/>
                <w14:textFill>
                  <w14:solidFill>
                    <w14:schemeClr w14:val="tx1"/>
                  </w14:solidFill>
                </w14:textFill>
              </w:rPr>
              <w:t>标人承诺能在60分钟（含60分钟）内响应应急事件，并调配应急人员到现场的得3分；在30分钟（含30分钟）内响应应急事件，并调配应急人员到现场的得5分。投标人须提供书面承诺函（承诺函格式自拟），否则不得分。</w:t>
            </w:r>
          </w:p>
        </w:tc>
        <w:tc>
          <w:tcPr>
            <w:tcW w:w="882" w:type="dxa"/>
            <w:vAlign w:val="center"/>
          </w:tcPr>
          <w:p w14:paraId="54992B26">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24C7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6B3E83B7">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w:t>
            </w:r>
          </w:p>
        </w:tc>
        <w:tc>
          <w:tcPr>
            <w:tcW w:w="7906" w:type="dxa"/>
            <w:vAlign w:val="center"/>
          </w:tcPr>
          <w:p w14:paraId="331C12D9">
            <w:pPr>
              <w:spacing w:line="48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投标人书面承诺“指派专业人员定期（每月不少于</w:t>
            </w:r>
            <w:r>
              <w:rPr>
                <w:rFonts w:ascii="仿宋" w:hAnsi="仿宋" w:eastAsia="仿宋"/>
                <w:color w:val="000000" w:themeColor="text1"/>
                <w:sz w:val="24"/>
                <w14:textFill>
                  <w14:solidFill>
                    <w14:schemeClr w14:val="tx1"/>
                  </w14:solidFill>
                </w14:textFill>
              </w:rPr>
              <w:t>1次）对作业人员进行作业指导培训”</w:t>
            </w:r>
            <w:r>
              <w:rPr>
                <w:rFonts w:ascii="仿宋" w:hAnsi="仿宋" w:eastAsia="仿宋" w:cs="宋体"/>
                <w:color w:val="000000" w:themeColor="text1"/>
                <w:sz w:val="24"/>
                <w14:textFill>
                  <w14:solidFill>
                    <w14:schemeClr w14:val="tx1"/>
                  </w14:solidFill>
                </w14:textFill>
              </w:rPr>
              <w:t>的得5分</w:t>
            </w:r>
            <w:r>
              <w:rPr>
                <w:rFonts w:hint="eastAsia" w:ascii="仿宋" w:hAnsi="仿宋" w:eastAsia="仿宋" w:cs="宋体"/>
                <w:color w:val="000000" w:themeColor="text1"/>
                <w:sz w:val="24"/>
                <w14:textFill>
                  <w14:solidFill>
                    <w14:schemeClr w14:val="tx1"/>
                  </w14:solidFill>
                </w14:textFill>
              </w:rPr>
              <w:t>。投标人须提供书面承诺函（承诺函格式自拟），否则不得分</w:t>
            </w:r>
            <w:r>
              <w:rPr>
                <w:rFonts w:ascii="仿宋" w:hAnsi="仿宋" w:eastAsia="仿宋" w:cs="宋体"/>
                <w:color w:val="000000" w:themeColor="text1"/>
                <w:sz w:val="24"/>
                <w14:textFill>
                  <w14:solidFill>
                    <w14:schemeClr w14:val="tx1"/>
                  </w14:solidFill>
                </w14:textFill>
              </w:rPr>
              <w:t>。</w:t>
            </w:r>
          </w:p>
        </w:tc>
        <w:tc>
          <w:tcPr>
            <w:tcW w:w="882" w:type="dxa"/>
            <w:vAlign w:val="center"/>
          </w:tcPr>
          <w:p w14:paraId="2045C406">
            <w:pPr>
              <w:spacing w:line="480" w:lineRule="exact"/>
              <w:jc w:val="center"/>
              <w:rPr>
                <w:rFonts w:ascii="仿宋" w:hAnsi="仿宋" w:eastAsia="仿宋" w:cs="Arial"/>
                <w:color w:val="000000" w:themeColor="text1"/>
                <w:sz w:val="24"/>
                <w14:textFill>
                  <w14:solidFill>
                    <w14:schemeClr w14:val="tx1"/>
                  </w14:solidFill>
                </w14:textFill>
              </w:rPr>
            </w:pPr>
            <w:r>
              <w:rPr>
                <w:rFonts w:ascii="仿宋" w:hAnsi="仿宋" w:eastAsia="仿宋" w:cs="Arial"/>
                <w:color w:val="000000" w:themeColor="text1"/>
                <w:sz w:val="24"/>
                <w14:textFill>
                  <w14:solidFill>
                    <w14:schemeClr w14:val="tx1"/>
                  </w14:solidFill>
                </w14:textFill>
              </w:rPr>
              <w:t>5</w:t>
            </w:r>
          </w:p>
        </w:tc>
      </w:tr>
      <w:tr w14:paraId="2C6D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dxa"/>
            <w:vAlign w:val="center"/>
          </w:tcPr>
          <w:p w14:paraId="7E2F04F5">
            <w:pPr>
              <w:spacing w:line="480" w:lineRule="exac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4</w:t>
            </w:r>
          </w:p>
        </w:tc>
        <w:tc>
          <w:tcPr>
            <w:tcW w:w="7906" w:type="dxa"/>
            <w:vAlign w:val="center"/>
          </w:tcPr>
          <w:p w14:paraId="5D71600E">
            <w:pPr>
              <w:keepNext/>
              <w:keepLines/>
              <w:spacing w:before="120" w:after="120" w:line="44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投标人自</w:t>
            </w:r>
            <w:r>
              <w:rPr>
                <w:rFonts w:ascii="仿宋" w:hAnsi="仿宋" w:eastAsia="仿宋" w:cs="宋体"/>
                <w:color w:val="000000" w:themeColor="text1"/>
                <w:sz w:val="24"/>
                <w14:textFill>
                  <w14:solidFill>
                    <w14:schemeClr w14:val="tx1"/>
                  </w14:solidFill>
                </w14:textFill>
              </w:rPr>
              <w:t>2023年1月1日以来（以合同签订日期为准）具有建筑垃</w:t>
            </w:r>
            <w:r>
              <w:rPr>
                <w:rFonts w:hint="eastAsia" w:ascii="仿宋" w:hAnsi="仿宋" w:eastAsia="仿宋" w:cs="宋体"/>
                <w:color w:val="000000" w:themeColor="text1"/>
                <w:sz w:val="24"/>
                <w14:textFill>
                  <w14:solidFill>
                    <w14:schemeClr w14:val="tx1"/>
                  </w14:solidFill>
                </w14:textFill>
              </w:rPr>
              <w:t>圾清运服务业绩的，每提供</w:t>
            </w:r>
            <w:r>
              <w:rPr>
                <w:rFonts w:ascii="仿宋" w:hAnsi="仿宋" w:eastAsia="仿宋" w:cs="宋体"/>
                <w:color w:val="000000" w:themeColor="text1"/>
                <w:sz w:val="24"/>
                <w14:textFill>
                  <w14:solidFill>
                    <w14:schemeClr w14:val="tx1"/>
                  </w14:solidFill>
                </w14:textFill>
              </w:rPr>
              <w:t>1个得5分</w:t>
            </w:r>
            <w:r>
              <w:rPr>
                <w:rFonts w:hint="eastAsia" w:ascii="仿宋" w:hAnsi="仿宋" w:eastAsia="仿宋" w:cs="宋体"/>
                <w:color w:val="000000" w:themeColor="text1"/>
                <w:sz w:val="24"/>
                <w14:textFill>
                  <w14:solidFill>
                    <w14:schemeClr w14:val="tx1"/>
                  </w14:solidFill>
                </w14:textFill>
              </w:rPr>
              <w:t>。须提供业绩证明文件（业绩证明文件需</w:t>
            </w:r>
            <w:r>
              <w:rPr>
                <w:rFonts w:ascii="仿宋" w:hAnsi="仿宋" w:eastAsia="仿宋" w:cs="宋体"/>
                <w:color w:val="000000" w:themeColor="text1"/>
                <w:sz w:val="24"/>
                <w14:textFill>
                  <w14:solidFill>
                    <w14:schemeClr w14:val="tx1"/>
                  </w14:solidFill>
                </w14:textFill>
              </w:rPr>
              <w:t>包括：与用户签订的</w:t>
            </w:r>
            <w:r>
              <w:rPr>
                <w:rFonts w:hint="eastAsia" w:ascii="仿宋" w:hAnsi="仿宋" w:eastAsia="仿宋" w:cs="宋体"/>
                <w:color w:val="000000" w:themeColor="text1"/>
                <w:sz w:val="24"/>
                <w14:textFill>
                  <w14:solidFill>
                    <w14:schemeClr w14:val="tx1"/>
                  </w14:solidFill>
                </w14:textFill>
              </w:rPr>
              <w:t>合同首页、合同服务内容所在页、盖章页等有效证明材料复印件）并加盖投标人公章，否则不得分</w:t>
            </w:r>
            <w:r>
              <w:rPr>
                <w:rFonts w:ascii="仿宋" w:hAnsi="仿宋" w:eastAsia="仿宋" w:cs="宋体"/>
                <w:color w:val="000000" w:themeColor="text1"/>
                <w:sz w:val="24"/>
                <w14:textFill>
                  <w14:solidFill>
                    <w14:schemeClr w14:val="tx1"/>
                  </w14:solidFill>
                </w14:textFill>
              </w:rPr>
              <w:t>。</w:t>
            </w:r>
          </w:p>
          <w:p w14:paraId="7B5D7524">
            <w:pPr>
              <w:keepNext/>
              <w:keepLines/>
              <w:spacing w:before="120" w:after="120" w:line="440" w:lineRule="exact"/>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 xml:space="preserve">  </w:t>
            </w:r>
            <w:r>
              <w:rPr>
                <w:rFonts w:hint="eastAsia" w:ascii="仿宋" w:hAnsi="仿宋" w:eastAsia="仿宋" w:cs="宋体"/>
                <w:color w:val="000000" w:themeColor="text1"/>
                <w:sz w:val="24"/>
                <w14:textFill>
                  <w14:solidFill>
                    <w14:schemeClr w14:val="tx1"/>
                  </w14:solidFill>
                </w14:textFill>
              </w:rPr>
              <w:t>所提供业绩案例不包含资格准入已经提供的业绩案例，重复提供的该业绩案例不计分。</w:t>
            </w:r>
          </w:p>
          <w:p w14:paraId="626D3BBB">
            <w:pPr>
              <w:keepNext/>
              <w:keepLines/>
              <w:spacing w:before="120" w:after="120" w:line="440" w:lineRule="exact"/>
              <w:ind w:firstLine="240" w:firstLineChars="1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如未按照招标文件要求提供该项业绩完整资料的，评标委员会对该项业绩将不予采信。</w:t>
            </w:r>
          </w:p>
        </w:tc>
        <w:tc>
          <w:tcPr>
            <w:tcW w:w="882" w:type="dxa"/>
            <w:vAlign w:val="center"/>
          </w:tcPr>
          <w:p w14:paraId="56142C2B">
            <w:pPr>
              <w:spacing w:beforeLines="25" w:afterLines="25" w:line="500" w:lineRule="exact"/>
              <w:ind w:left="-99" w:leftChars="-47" w:right="-78" w:rightChars="-37"/>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5</w:t>
            </w:r>
          </w:p>
        </w:tc>
      </w:tr>
    </w:tbl>
    <w:p w14:paraId="0116998F">
      <w:pPr>
        <w:spacing w:beforeLines="50" w:line="500" w:lineRule="exact"/>
        <w:ind w:firstLine="314"/>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（3）价格分F3（满分</w:t>
      </w:r>
      <w:r>
        <w:rPr>
          <w:rFonts w:ascii="仿宋" w:hAnsi="仿宋" w:eastAsia="仿宋" w:cs="华文细黑"/>
          <w:b/>
          <w:bCs/>
          <w:color w:val="000000" w:themeColor="text1"/>
          <w:sz w:val="32"/>
          <w:szCs w:val="32"/>
          <w14:textFill>
            <w14:solidFill>
              <w14:schemeClr w14:val="tx1"/>
            </w14:solidFill>
          </w14:textFill>
        </w:rPr>
        <w:t>30</w:t>
      </w:r>
      <w:r>
        <w:rPr>
          <w:rFonts w:hint="eastAsia" w:ascii="仿宋" w:hAnsi="仿宋" w:eastAsia="仿宋" w:cs="华文细黑"/>
          <w:b/>
          <w:color w:val="000000" w:themeColor="text1"/>
          <w:sz w:val="32"/>
          <w:szCs w:val="32"/>
          <w14:textFill>
            <w14:solidFill>
              <w14:schemeClr w14:val="tx1"/>
            </w14:solidFill>
          </w14:textFill>
        </w:rPr>
        <w:t>分）</w:t>
      </w:r>
    </w:p>
    <w:p w14:paraId="1D574F71">
      <w:pPr>
        <w:spacing w:line="500" w:lineRule="exact"/>
        <w:ind w:firstLine="633" w:firstLineChars="198"/>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评标基准价计算方法采用低价优先法，即满足招标文件要求且评标价最低的评标价作为评标基准价，其价格分为满分。其他投标人价格分按下列公式计算：</w:t>
      </w:r>
    </w:p>
    <w:p w14:paraId="6FBCE60A">
      <w:pPr>
        <w:spacing w:line="500" w:lineRule="exact"/>
        <w:ind w:firstLine="315" w:firstLineChars="98"/>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价格分=评标基准价/投标人的评标价×3</w:t>
      </w:r>
      <w:r>
        <w:rPr>
          <w:rFonts w:ascii="仿宋" w:hAnsi="仿宋" w:eastAsia="仿宋" w:cs="华文细黑"/>
          <w:b/>
          <w:color w:val="000000" w:themeColor="text1"/>
          <w:sz w:val="32"/>
          <w:szCs w:val="32"/>
          <w14:textFill>
            <w14:solidFill>
              <w14:schemeClr w14:val="tx1"/>
            </w14:solidFill>
          </w14:textFill>
        </w:rPr>
        <w:t>0</w:t>
      </w:r>
    </w:p>
    <w:p w14:paraId="7F3A0769">
      <w:pPr>
        <w:spacing w:line="500" w:lineRule="exact"/>
        <w:ind w:firstLine="313" w:firstLineChars="98"/>
        <w:rPr>
          <w:rFonts w:ascii="仿宋" w:hAnsi="仿宋" w:eastAsia="仿宋" w:cs="华文细黑"/>
          <w:color w:val="000000" w:themeColor="text1"/>
          <w:spacing w:val="-4"/>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注：如投标人的投标报价存在</w:t>
      </w:r>
      <w:r>
        <w:rPr>
          <w:rFonts w:hint="eastAsia" w:ascii="仿宋" w:hAnsi="仿宋" w:eastAsia="仿宋" w:cs="华文细黑"/>
          <w:color w:val="000000" w:themeColor="text1"/>
          <w:spacing w:val="-4"/>
          <w:sz w:val="32"/>
          <w:szCs w:val="32"/>
          <w14:textFill>
            <w14:solidFill>
              <w14:schemeClr w14:val="tx1"/>
            </w14:solidFill>
          </w14:textFill>
        </w:rPr>
        <w:t>漏（缺）项的，按废标处理。</w:t>
      </w:r>
    </w:p>
    <w:p w14:paraId="3A480C1A">
      <w:pPr>
        <w:spacing w:line="500" w:lineRule="exact"/>
        <w:ind w:firstLine="313" w:firstLineChars="98"/>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（由评标委员会当场统一计算）。</w:t>
      </w:r>
    </w:p>
    <w:p w14:paraId="5F3D6FBA">
      <w:pPr>
        <w:spacing w:line="500" w:lineRule="exact"/>
        <w:ind w:firstLine="321" w:firstLineChars="100"/>
        <w:rPr>
          <w:rFonts w:ascii="仿宋" w:hAnsi="仿宋" w:eastAsia="仿宋" w:cs="华文细黑"/>
          <w:b/>
          <w:color w:val="000000" w:themeColor="text1"/>
          <w:sz w:val="32"/>
          <w:szCs w:val="32"/>
          <w14:textFill>
            <w14:solidFill>
              <w14:schemeClr w14:val="tx1"/>
            </w14:solidFill>
          </w14:textFill>
        </w:rPr>
      </w:pPr>
      <w:r>
        <w:rPr>
          <w:rFonts w:hint="eastAsia" w:ascii="仿宋" w:hAnsi="仿宋" w:eastAsia="仿宋" w:cs="华文细黑"/>
          <w:b/>
          <w:color w:val="000000" w:themeColor="text1"/>
          <w:sz w:val="32"/>
          <w:szCs w:val="32"/>
          <w14:textFill>
            <w14:solidFill>
              <w14:schemeClr w14:val="tx1"/>
            </w14:solidFill>
          </w14:textFill>
        </w:rPr>
        <w:t xml:space="preserve">（4）各初审合格投标人综合得分= F1＋F2＋F3 </w:t>
      </w:r>
    </w:p>
    <w:p w14:paraId="43A343A5">
      <w:pPr>
        <w:widowControl/>
        <w:spacing w:line="500" w:lineRule="exact"/>
        <w:ind w:firstLine="320" w:firstLineChars="1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说明：计算技术汇总得分、商务汇总得分及价格分时，经四舍五入后保留三位小数，计算投标人综合得分时，经四舍五入后保留两位小数。</w:t>
      </w:r>
    </w:p>
    <w:p w14:paraId="7BF5FBB5">
      <w:pPr>
        <w:ind w:firstLine="643" w:firstLineChars="200"/>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18.2 推荐中标候选人原则</w:t>
      </w:r>
    </w:p>
    <w:p w14:paraId="383CB822">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18.2.1排名及排名规则：评标委员会根据以下原则对初审合格的投标人进行排名：</w:t>
      </w:r>
    </w:p>
    <w:p w14:paraId="4A7DB202">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（1）综合得分高者排名在前，即：综合得分最高者排名第一，综合得分次高者排名第二，以此类推。</w:t>
      </w:r>
    </w:p>
    <w:p w14:paraId="591E7D81">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（2）综合得分相同时，投标报价低者排名在前；</w:t>
      </w:r>
    </w:p>
    <w:p w14:paraId="73B2F572">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（3）综合得分相同且投标报价相同时，技术分得分高者（即F1得分高者）排名在前；</w:t>
      </w:r>
    </w:p>
    <w:p w14:paraId="2837D488">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（4）以上办法都不能确定排名时，评标委员会根据有利于项目实施的原则确定排名。</w:t>
      </w:r>
    </w:p>
    <w:p w14:paraId="46B236F1">
      <w:pPr>
        <w:spacing w:line="500" w:lineRule="exact"/>
        <w:ind w:firstLine="640" w:firstLineChars="200"/>
        <w:rPr>
          <w:rFonts w:ascii="仿宋" w:hAnsi="仿宋" w:eastAsia="仿宋" w:cs="华文细黑"/>
          <w:color w:val="000000" w:themeColor="text1"/>
          <w:sz w:val="32"/>
          <w:szCs w:val="32"/>
          <w14:textFill>
            <w14:solidFill>
              <w14:schemeClr w14:val="tx1"/>
            </w14:solidFill>
          </w14:textFill>
        </w:rPr>
      </w:pPr>
      <w:r>
        <w:rPr>
          <w:rFonts w:hint="eastAsia" w:ascii="仿宋" w:hAnsi="仿宋" w:eastAsia="仿宋" w:cs="华文细黑"/>
          <w:color w:val="000000" w:themeColor="text1"/>
          <w:sz w:val="32"/>
          <w:szCs w:val="32"/>
          <w14:textFill>
            <w14:solidFill>
              <w14:schemeClr w14:val="tx1"/>
            </w14:solidFill>
          </w14:textFill>
        </w:rPr>
        <w:t>18.2.2推荐中标候选人：评标委员会将按比较与评价最优先原则，推荐出中标候选单位，其余的合格投标单位为备选供应商。</w:t>
      </w:r>
    </w:p>
    <w:p w14:paraId="42105F04">
      <w:pPr>
        <w:ind w:firstLine="643" w:firstLineChars="200"/>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18.3 定标准则</w:t>
      </w:r>
    </w:p>
    <w:p w14:paraId="09B6E988">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1招标人将按照评标报告中推荐的中标候选人顺序确定拟中标人。</w:t>
      </w:r>
    </w:p>
    <w:p w14:paraId="2859725C">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2招标人将审查拟中标人的投标人资格、信誉、生产条件、产品技术状态、性能以及其它投标人认为有必要了解的问题。</w:t>
      </w:r>
    </w:p>
    <w:p w14:paraId="3A437170">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3如果确定拟中标人无能力履行合同，其投标将被拒绝，招标人将对下一个可能中标的投标人做类似审查。</w:t>
      </w:r>
    </w:p>
    <w:p w14:paraId="7511CE79">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18.3.4接受审查的拟中标人必须如实回答询问或接受招标人的考察，并提供所需的有关资料。</w:t>
      </w:r>
    </w:p>
    <w:p w14:paraId="3BCA7BE6">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5中标通知书生效后，如果已中标的投标人不能按投标文件中承诺的条件履行签约行为，招标人有权在评标委员会推荐的中标候选人名单中按顺序选择新的合同授予人。</w:t>
      </w:r>
    </w:p>
    <w:p w14:paraId="73F11112">
      <w:pPr>
        <w:adjustRightInd w:val="0"/>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18.3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6招标人有权在任何时间终止本项目的招标程序，投标人应承担项目终止的所有风险，招标人对此不承担任何责任并且无需向投标人作出任何解释。</w:t>
      </w:r>
    </w:p>
    <w:p w14:paraId="396E2758">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74" w:name="_Toc18072"/>
      <w:bookmarkStart w:id="375" w:name="_Toc192925669"/>
      <w:bookmarkStart w:id="376" w:name="_Toc25581"/>
      <w:bookmarkStart w:id="377" w:name="_Toc5320"/>
      <w:bookmarkStart w:id="378" w:name="_Toc31490"/>
      <w:bookmarkStart w:id="379" w:name="_Toc15301"/>
      <w:bookmarkStart w:id="380" w:name="_Toc14814"/>
      <w:bookmarkStart w:id="381" w:name="_Toc5082"/>
      <w:bookmarkStart w:id="382" w:name="_Toc9937"/>
      <w:bookmarkStart w:id="383" w:name="_Toc1721"/>
      <w:bookmarkStart w:id="384" w:name="_Toc18607"/>
      <w:bookmarkStart w:id="385" w:name="_Toc209383630"/>
      <w:bookmarkStart w:id="386" w:name="_Toc191892321"/>
      <w:r>
        <w:rPr>
          <w:rFonts w:hint="eastAsia" w:ascii="仿宋" w:hAnsi="仿宋" w:eastAsia="仿宋"/>
          <w:color w:val="000000" w:themeColor="text1"/>
          <w:sz w:val="32"/>
          <w14:textFill>
            <w14:solidFill>
              <w14:schemeClr w14:val="tx1"/>
            </w14:solidFill>
          </w14:textFill>
        </w:rPr>
        <w:t>19. 投标文件的澄清</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6C3010D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541B6013">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387" w:name="_Toc26076"/>
      <w:bookmarkStart w:id="388" w:name="_Toc191892322"/>
      <w:bookmarkStart w:id="389" w:name="_Toc6884"/>
      <w:bookmarkStart w:id="390" w:name="_Toc3145"/>
      <w:bookmarkStart w:id="391" w:name="_Toc598"/>
      <w:bookmarkStart w:id="392" w:name="_Toc414"/>
      <w:bookmarkStart w:id="393" w:name="_Toc22770"/>
      <w:bookmarkStart w:id="394" w:name="_Toc209383631"/>
      <w:bookmarkStart w:id="395" w:name="_Toc26793"/>
      <w:bookmarkStart w:id="396" w:name="_Toc3197"/>
      <w:bookmarkStart w:id="397" w:name="_Toc11018"/>
      <w:bookmarkStart w:id="398" w:name="_Toc192925670"/>
      <w:bookmarkStart w:id="399" w:name="_Toc12372"/>
      <w:r>
        <w:rPr>
          <w:rFonts w:hint="eastAsia" w:ascii="仿宋" w:hAnsi="仿宋" w:eastAsia="仿宋"/>
          <w:color w:val="000000" w:themeColor="text1"/>
          <w:sz w:val="32"/>
          <w14:textFill>
            <w14:solidFill>
              <w14:schemeClr w14:val="tx1"/>
            </w14:solidFill>
          </w14:textFill>
        </w:rPr>
        <w:t>20. 比较与评价</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4E80AAA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20.1 评标委员会将根据评标方法与标准，对资格性检查和符合性检查合格的投标文件，进行商务和技术评估，综合比较与评价。  </w:t>
      </w:r>
    </w:p>
    <w:p w14:paraId="7FBBFE2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14C6A336">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02862A7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20.4评标委员会将按比较与评价最优在先原则, 排列评价顺序, 根据在投标人须知前附表中确定的中标候选人数量，推荐出中标候选人。</w:t>
      </w:r>
    </w:p>
    <w:p w14:paraId="64FFD40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20.5 在评标期间，若出现符合本须知规定的所有投标条件的投标人不足三家情形的，本次招标程序终止，除招标任务取消情形外，招标人将依法重新组织招标或者采取竞争性谈判等其他方式采购。</w:t>
      </w:r>
    </w:p>
    <w:p w14:paraId="1C8B98DF">
      <w:pPr>
        <w:pStyle w:val="3"/>
        <w:keepNext w:val="0"/>
        <w:keepLines w:val="0"/>
        <w:spacing w:before="0" w:after="0" w:line="500" w:lineRule="exact"/>
        <w:rPr>
          <w:rFonts w:ascii="仿宋" w:hAnsi="仿宋" w:eastAsia="仿宋"/>
          <w:color w:val="000000" w:themeColor="text1"/>
          <w:sz w:val="32"/>
          <w14:textFill>
            <w14:solidFill>
              <w14:schemeClr w14:val="tx1"/>
            </w14:solidFill>
          </w14:textFill>
        </w:rPr>
      </w:pPr>
      <w:bookmarkStart w:id="400" w:name="_Toc16752"/>
      <w:bookmarkStart w:id="401" w:name="_Toc20136"/>
      <w:bookmarkStart w:id="402" w:name="_Toc9919"/>
      <w:bookmarkStart w:id="403" w:name="_Toc192925671"/>
      <w:bookmarkStart w:id="404" w:name="_Toc209383632"/>
      <w:bookmarkStart w:id="405" w:name="_Toc5460"/>
      <w:bookmarkStart w:id="406" w:name="_Toc24614"/>
      <w:bookmarkStart w:id="407" w:name="_Toc27394"/>
      <w:bookmarkStart w:id="408" w:name="_Toc31679"/>
      <w:bookmarkStart w:id="409" w:name="_Toc5217"/>
      <w:bookmarkStart w:id="410" w:name="_Toc18720"/>
      <w:bookmarkStart w:id="411" w:name="_Toc31570"/>
      <w:bookmarkStart w:id="412" w:name="_Toc191892323"/>
      <w:r>
        <w:rPr>
          <w:rFonts w:hint="eastAsia" w:ascii="仿宋" w:hAnsi="仿宋" w:eastAsia="仿宋"/>
          <w:color w:val="000000" w:themeColor="text1"/>
          <w:sz w:val="32"/>
          <w14:textFill>
            <w14:solidFill>
              <w14:schemeClr w14:val="tx1"/>
            </w14:solidFill>
          </w14:textFill>
        </w:rPr>
        <w:t>第六节 定标与签订合同</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C32C155">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413" w:name="_Toc26546"/>
      <w:bookmarkStart w:id="414" w:name="_Toc191892324"/>
      <w:bookmarkStart w:id="415" w:name="_Toc8282"/>
      <w:bookmarkStart w:id="416" w:name="_Toc3773"/>
      <w:bookmarkStart w:id="417" w:name="_Toc8150"/>
      <w:bookmarkStart w:id="418" w:name="_Toc19236"/>
      <w:bookmarkStart w:id="419" w:name="_Toc209383633"/>
      <w:bookmarkStart w:id="420" w:name="_Toc31646"/>
      <w:bookmarkStart w:id="421" w:name="_Toc25098"/>
      <w:bookmarkStart w:id="422" w:name="_Toc192925672"/>
      <w:bookmarkStart w:id="423" w:name="_Toc7140"/>
      <w:bookmarkStart w:id="424" w:name="_Toc21926"/>
      <w:bookmarkStart w:id="425" w:name="_Toc6738"/>
      <w:r>
        <w:rPr>
          <w:rFonts w:hint="eastAsia" w:ascii="仿宋" w:hAnsi="仿宋" w:eastAsia="仿宋"/>
          <w:color w:val="000000" w:themeColor="text1"/>
          <w:sz w:val="32"/>
          <w14:textFill>
            <w14:solidFill>
              <w14:schemeClr w14:val="tx1"/>
            </w14:solidFill>
          </w14:textFill>
        </w:rPr>
        <w:t>21</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 xml:space="preserve"> 定标准则</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6256157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投标人的投标文件符合招标文件要求，按招标文件确定评标标准、方法，经评委评审并推荐中标候选人。</w:t>
      </w:r>
    </w:p>
    <w:p w14:paraId="51C12177">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426" w:name="_Toc24328"/>
      <w:bookmarkStart w:id="427" w:name="_Toc18502"/>
      <w:bookmarkStart w:id="428" w:name="_Toc192925673"/>
      <w:bookmarkStart w:id="429" w:name="_Toc7123"/>
      <w:bookmarkStart w:id="430" w:name="_Toc22441"/>
      <w:bookmarkStart w:id="431" w:name="_Toc191892325"/>
      <w:bookmarkStart w:id="432" w:name="_Toc16250"/>
      <w:bookmarkStart w:id="433" w:name="_Toc24477"/>
      <w:bookmarkStart w:id="434" w:name="_Toc6133"/>
      <w:bookmarkStart w:id="435" w:name="_Toc3756"/>
      <w:bookmarkStart w:id="436" w:name="_Toc19617"/>
      <w:bookmarkStart w:id="437" w:name="_Toc320"/>
      <w:bookmarkStart w:id="438" w:name="_Toc209383634"/>
      <w:r>
        <w:rPr>
          <w:rFonts w:hint="eastAsia" w:ascii="仿宋" w:hAnsi="仿宋" w:eastAsia="仿宋"/>
          <w:color w:val="000000" w:themeColor="text1"/>
          <w:sz w:val="32"/>
          <w14:textFill>
            <w14:solidFill>
              <w14:schemeClr w14:val="tx1"/>
            </w14:solidFill>
          </w14:textFill>
        </w:rPr>
        <w:t>22</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中标通知</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056BF43E">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22</w:t>
      </w:r>
      <w:r>
        <w:rPr>
          <w:rFonts w:ascii="仿宋" w:hAnsi="仿宋" w:eastAsia="仿宋"/>
          <w:color w:val="000000" w:themeColor="text1"/>
          <w:sz w:val="32"/>
          <w:szCs w:val="32"/>
          <w14:textFill>
            <w14:solidFill>
              <w14:schemeClr w14:val="tx1"/>
            </w14:solidFill>
          </w14:textFill>
        </w:rPr>
        <w:t xml:space="preserve">.1 </w:t>
      </w:r>
      <w:r>
        <w:rPr>
          <w:rFonts w:hint="eastAsia" w:ascii="仿宋" w:hAnsi="仿宋" w:eastAsia="仿宋"/>
          <w:color w:val="000000" w:themeColor="text1"/>
          <w:sz w:val="32"/>
          <w:szCs w:val="32"/>
          <w14:textFill>
            <w14:solidFill>
              <w14:schemeClr w14:val="tx1"/>
            </w14:solidFill>
          </w14:textFill>
        </w:rPr>
        <w:t>评标结束后，评标结果经招标人流程确认后，招标人将向中标人发出中标通知书。中标通知书对招标人和中标人具有同等法律效力。中标通知书发出后，中标人放弃中标，应承担相应的法律责任。</w:t>
      </w:r>
    </w:p>
    <w:p w14:paraId="748D394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22.2 招标人将向中标单位发出《中标通知书》，没有中标的其它投标人不另行通知。</w:t>
      </w:r>
    </w:p>
    <w:p w14:paraId="1D4550A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3《中标通知书》将作为签订采购合同的依据。采购合同签订后，《中标通知书》成为合同的一部分。</w:t>
      </w:r>
    </w:p>
    <w:p w14:paraId="4C4F73C9">
      <w:pPr>
        <w:pStyle w:val="4"/>
        <w:keepNext w:val="0"/>
        <w:keepLines w:val="0"/>
        <w:spacing w:before="0" w:after="0" w:line="500" w:lineRule="exact"/>
        <w:ind w:firstLine="643" w:firstLineChars="200"/>
        <w:rPr>
          <w:rFonts w:ascii="仿宋" w:hAnsi="仿宋" w:eastAsia="仿宋"/>
          <w:color w:val="000000" w:themeColor="text1"/>
          <w:sz w:val="32"/>
          <w14:textFill>
            <w14:solidFill>
              <w14:schemeClr w14:val="tx1"/>
            </w14:solidFill>
          </w14:textFill>
        </w:rPr>
      </w:pPr>
      <w:bookmarkStart w:id="439" w:name="_Toc209383635"/>
      <w:bookmarkStart w:id="440" w:name="_Toc20868"/>
      <w:bookmarkStart w:id="441" w:name="_Toc27703"/>
      <w:bookmarkStart w:id="442" w:name="_Toc191892326"/>
      <w:bookmarkStart w:id="443" w:name="_Toc12900"/>
      <w:bookmarkStart w:id="444" w:name="_Toc32531"/>
      <w:bookmarkStart w:id="445" w:name="_Toc28307"/>
      <w:bookmarkStart w:id="446" w:name="_Toc11963"/>
      <w:bookmarkStart w:id="447" w:name="_Toc24304"/>
      <w:bookmarkStart w:id="448" w:name="_Toc22290"/>
      <w:bookmarkStart w:id="449" w:name="_Toc224"/>
      <w:bookmarkStart w:id="450" w:name="_Toc192925674"/>
      <w:bookmarkStart w:id="451" w:name="_Toc26810"/>
      <w:r>
        <w:rPr>
          <w:rFonts w:hint="eastAsia" w:ascii="仿宋" w:hAnsi="仿宋" w:eastAsia="仿宋"/>
          <w:color w:val="000000" w:themeColor="text1"/>
          <w:sz w:val="32"/>
          <w14:textFill>
            <w14:solidFill>
              <w14:schemeClr w14:val="tx1"/>
            </w14:solidFill>
          </w14:textFill>
        </w:rPr>
        <w:t>23. 签订合同</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351A6515">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1中标人在《中标通知书》发出之日起30日内，根据招标文件确定的事项和中标人投标文件，与招标人签订采购合同。双方所签订的采购合同，不得对招标文件和中标人投标文件作实质性修改。逾期未签订采购合同，按照有关法律规定承担相应的法律责任；属于中标人责任的，招标人将没收其投标保证金，以抵偿对招标人造成的损失。</w:t>
      </w:r>
    </w:p>
    <w:p w14:paraId="6D4A13DA">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14:paraId="442557F4">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3中标人因不可抗力或者自身原因不能履行采购合同的，招标人将与排位在中标人之后第一位的中标候选人签订采购合同，以此类推。</w:t>
      </w:r>
    </w:p>
    <w:p w14:paraId="01427473">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23.4 中标人未能按招标人的要求，随时提供投标文件中出具的相关证明材料的原件，招标人有权认定投标人存在弄虚作假、骗取中标的行为。</w:t>
      </w:r>
    </w:p>
    <w:p w14:paraId="03532AE4">
      <w:pPr>
        <w:pStyle w:val="2"/>
        <w:keepNext w:val="0"/>
        <w:keepLines w:val="0"/>
        <w:spacing w:before="0" w:after="0" w:line="360" w:lineRule="auto"/>
        <w:jc w:val="center"/>
        <w:rPr>
          <w:rFonts w:ascii="仿宋" w:hAnsi="仿宋" w:eastAsia="仿宋"/>
          <w:color w:val="000000" w:themeColor="text1"/>
          <w:szCs w:val="32"/>
          <w14:textFill>
            <w14:solidFill>
              <w14:schemeClr w14:val="tx1"/>
            </w14:solidFill>
          </w14:textFill>
        </w:rPr>
      </w:pPr>
      <w:r>
        <w:rPr>
          <w:rFonts w:ascii="仿宋" w:hAnsi="仿宋" w:eastAsia="仿宋"/>
          <w:color w:val="000000" w:themeColor="text1"/>
          <w14:textFill>
            <w14:solidFill>
              <w14:schemeClr w14:val="tx1"/>
            </w14:solidFill>
          </w14:textFill>
        </w:rPr>
        <w:br w:type="page"/>
      </w:r>
      <w:bookmarkStart w:id="452" w:name="_Toc209383636"/>
      <w:bookmarkStart w:id="453" w:name="_Toc16559"/>
      <w:bookmarkStart w:id="454" w:name="_Toc32657"/>
      <w:bookmarkStart w:id="455" w:name="_Toc18841"/>
      <w:bookmarkStart w:id="456" w:name="_Toc20484"/>
      <w:bookmarkStart w:id="457" w:name="_Toc1788"/>
      <w:bookmarkStart w:id="458" w:name="_Toc25804"/>
      <w:bookmarkStart w:id="459" w:name="_Toc27236"/>
      <w:bookmarkStart w:id="460" w:name="_Toc19202"/>
      <w:bookmarkStart w:id="461" w:name="_Toc26934"/>
      <w:bookmarkStart w:id="462" w:name="_Toc22758"/>
      <w:r>
        <w:rPr>
          <w:rFonts w:hint="eastAsia" w:ascii="仿宋" w:hAnsi="仿宋" w:eastAsia="仿宋"/>
          <w:color w:val="000000" w:themeColor="text1"/>
          <w:szCs w:val="32"/>
          <w14:textFill>
            <w14:solidFill>
              <w14:schemeClr w14:val="tx1"/>
            </w14:solidFill>
          </w14:textFill>
        </w:rPr>
        <w:t>第三章　招标内容及要求</w:t>
      </w:r>
      <w:bookmarkEnd w:id="452"/>
      <w:bookmarkEnd w:id="453"/>
      <w:bookmarkEnd w:id="454"/>
      <w:bookmarkEnd w:id="455"/>
      <w:bookmarkEnd w:id="456"/>
      <w:bookmarkEnd w:id="457"/>
      <w:bookmarkEnd w:id="458"/>
      <w:bookmarkEnd w:id="459"/>
      <w:bookmarkEnd w:id="460"/>
      <w:bookmarkEnd w:id="461"/>
      <w:bookmarkEnd w:id="462"/>
    </w:p>
    <w:p w14:paraId="5BF012A2">
      <w:pPr>
        <w:pStyle w:val="3"/>
        <w:keepNext w:val="0"/>
        <w:keepLines w:val="0"/>
        <w:spacing w:before="0" w:after="0" w:line="360" w:lineRule="auto"/>
        <w:jc w:val="center"/>
        <w:rPr>
          <w:rFonts w:ascii="仿宋" w:hAnsi="仿宋" w:eastAsia="仿宋"/>
          <w:color w:val="000000" w:themeColor="text1"/>
          <w:sz w:val="32"/>
          <w14:textFill>
            <w14:solidFill>
              <w14:schemeClr w14:val="tx1"/>
            </w14:solidFill>
          </w14:textFill>
        </w:rPr>
      </w:pPr>
      <w:bookmarkStart w:id="463" w:name="_Toc15093"/>
      <w:bookmarkStart w:id="464" w:name="_Toc19868"/>
      <w:bookmarkStart w:id="465" w:name="_Toc10122"/>
      <w:bookmarkStart w:id="466" w:name="_Toc26250"/>
      <w:bookmarkStart w:id="467" w:name="_Toc32112"/>
      <w:bookmarkStart w:id="468" w:name="_Toc4525"/>
      <w:bookmarkStart w:id="469" w:name="_Toc14752"/>
      <w:bookmarkStart w:id="470" w:name="_Toc209383637"/>
      <w:bookmarkStart w:id="471" w:name="_Toc29044"/>
      <w:bookmarkStart w:id="472" w:name="_Toc27480"/>
      <w:bookmarkStart w:id="473" w:name="_Toc4388"/>
      <w:r>
        <w:rPr>
          <w:rFonts w:hint="eastAsia" w:ascii="仿宋" w:hAnsi="仿宋" w:eastAsia="仿宋"/>
          <w:color w:val="000000" w:themeColor="text1"/>
          <w:sz w:val="32"/>
          <w14:textFill>
            <w14:solidFill>
              <w14:schemeClr w14:val="tx1"/>
            </w14:solidFill>
          </w14:textFill>
        </w:rPr>
        <w:t>第一节 项目需求</w:t>
      </w:r>
      <w:bookmarkEnd w:id="463"/>
      <w:bookmarkEnd w:id="464"/>
      <w:bookmarkEnd w:id="465"/>
      <w:bookmarkEnd w:id="466"/>
      <w:bookmarkEnd w:id="467"/>
      <w:bookmarkEnd w:id="468"/>
      <w:bookmarkEnd w:id="469"/>
      <w:bookmarkEnd w:id="470"/>
      <w:bookmarkEnd w:id="471"/>
      <w:bookmarkEnd w:id="472"/>
      <w:bookmarkEnd w:id="473"/>
    </w:p>
    <w:p w14:paraId="418EF012">
      <w:pPr>
        <w:spacing w:line="500" w:lineRule="exact"/>
        <w:rPr>
          <w:rFonts w:ascii="仿宋" w:hAnsi="仿宋" w:eastAsia="仿宋"/>
          <w:b/>
          <w:color w:val="000000" w:themeColor="text1"/>
          <w:sz w:val="32"/>
          <w:szCs w:val="32"/>
          <w14:textFill>
            <w14:solidFill>
              <w14:schemeClr w14:val="tx1"/>
            </w14:solidFill>
          </w14:textFill>
        </w:rPr>
      </w:pPr>
      <w:bookmarkStart w:id="474" w:name="_bookmark18"/>
      <w:bookmarkEnd w:id="474"/>
      <w:r>
        <w:rPr>
          <w:rFonts w:hint="eastAsia" w:ascii="仿宋" w:hAnsi="仿宋" w:eastAsia="仿宋"/>
          <w:b/>
          <w:color w:val="000000" w:themeColor="text1"/>
          <w:sz w:val="32"/>
          <w:szCs w:val="32"/>
          <w14:textFill>
            <w14:solidFill>
              <w14:schemeClr w14:val="tx1"/>
            </w14:solidFill>
          </w14:textFill>
        </w:rPr>
        <w:t>一、项目基本情况概述</w:t>
      </w:r>
    </w:p>
    <w:p w14:paraId="7ED2111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泉州江南璟上位于福建省泉州市鲤城区，本物业由厦门国贸物业服务有限公司进行管理，项目占地面积</w:t>
      </w:r>
      <w:r>
        <w:rPr>
          <w:rFonts w:ascii="仿宋" w:hAnsi="仿宋" w:eastAsia="仿宋"/>
          <w:color w:val="000000" w:themeColor="text1"/>
          <w:sz w:val="32"/>
          <w:szCs w:val="32"/>
          <w:u w:val="none"/>
          <w14:textFill>
            <w14:solidFill>
              <w14:schemeClr w14:val="tx1"/>
            </w14:solidFill>
          </w14:textFill>
        </w:rPr>
        <w:t>33636.76</w:t>
      </w:r>
      <w:r>
        <w:rPr>
          <w:rFonts w:hint="eastAsia" w:ascii="仿宋" w:hAnsi="仿宋" w:eastAsia="仿宋"/>
          <w:color w:val="000000" w:themeColor="text1"/>
          <w:sz w:val="32"/>
          <w:szCs w:val="32"/>
          <w14:textFill>
            <w14:solidFill>
              <w14:schemeClr w14:val="tx1"/>
            </w14:solidFill>
          </w14:textFill>
        </w:rPr>
        <w:t>㎡，总建筑面积</w:t>
      </w:r>
      <w:r>
        <w:rPr>
          <w:rFonts w:ascii="仿宋" w:hAnsi="仿宋" w:eastAsia="仿宋"/>
          <w:color w:val="000000" w:themeColor="text1"/>
          <w:sz w:val="32"/>
          <w:szCs w:val="32"/>
          <w:u w:val="none"/>
          <w14:textFill>
            <w14:solidFill>
              <w14:schemeClr w14:val="tx1"/>
            </w14:solidFill>
          </w14:textFill>
        </w:rPr>
        <w:t>127973.52</w:t>
      </w:r>
      <w:r>
        <w:rPr>
          <w:rFonts w:hint="eastAsia" w:ascii="仿宋" w:hAnsi="仿宋" w:eastAsia="仿宋"/>
          <w:color w:val="000000" w:themeColor="text1"/>
          <w:sz w:val="32"/>
          <w:szCs w:val="32"/>
          <w14:textFill>
            <w14:solidFill>
              <w14:schemeClr w14:val="tx1"/>
            </w14:solidFill>
          </w14:textFill>
        </w:rPr>
        <w:t>㎡，其中住宅建筑面积</w:t>
      </w:r>
      <w:r>
        <w:rPr>
          <w:rFonts w:ascii="仿宋" w:hAnsi="仿宋" w:eastAsia="仿宋"/>
          <w:color w:val="000000" w:themeColor="text1"/>
          <w:sz w:val="32"/>
          <w:szCs w:val="32"/>
          <w14:textFill>
            <w14:solidFill>
              <w14:schemeClr w14:val="tx1"/>
            </w14:solidFill>
          </w14:textFill>
        </w:rPr>
        <w:t>90526.45</w:t>
      </w:r>
      <w:r>
        <w:rPr>
          <w:rFonts w:hint="eastAsia" w:ascii="仿宋" w:hAnsi="仿宋" w:eastAsia="仿宋"/>
          <w:color w:val="000000" w:themeColor="text1"/>
          <w:sz w:val="32"/>
          <w:szCs w:val="32"/>
          <w14:textFill>
            <w14:solidFill>
              <w14:schemeClr w14:val="tx1"/>
            </w14:solidFill>
          </w14:textFill>
        </w:rPr>
        <w:t>㎡，无沿街商业。项目绿地率</w:t>
      </w:r>
      <w:r>
        <w:rPr>
          <w:rFonts w:ascii="仿宋" w:hAnsi="仿宋" w:eastAsia="仿宋"/>
          <w:color w:val="000000" w:themeColor="text1"/>
          <w:sz w:val="32"/>
          <w:szCs w:val="32"/>
          <w14:textFill>
            <w14:solidFill>
              <w14:schemeClr w14:val="tx1"/>
            </w14:solidFill>
          </w14:textFill>
        </w:rPr>
        <w:t>30.53%，</w:t>
      </w:r>
      <w:r>
        <w:rPr>
          <w:rFonts w:hint="eastAsia" w:ascii="仿宋" w:hAnsi="仿宋" w:eastAsia="仿宋"/>
          <w:color w:val="000000" w:themeColor="text1"/>
          <w:sz w:val="32"/>
          <w:szCs w:val="32"/>
          <w14:textFill>
            <w14:solidFill>
              <w14:schemeClr w14:val="tx1"/>
            </w14:solidFill>
          </w14:textFill>
        </w:rPr>
        <w:t>绿地面积</w:t>
      </w:r>
      <w:r>
        <w:rPr>
          <w:rFonts w:ascii="仿宋" w:hAnsi="仿宋" w:eastAsia="仿宋"/>
          <w:color w:val="000000" w:themeColor="text1"/>
          <w:sz w:val="32"/>
          <w:szCs w:val="32"/>
          <w14:textFill>
            <w14:solidFill>
              <w14:schemeClr w14:val="tx1"/>
            </w14:solidFill>
          </w14:textFill>
        </w:rPr>
        <w:t>10269.3</w:t>
      </w:r>
      <w:r>
        <w:rPr>
          <w:rFonts w:hint="eastAsia" w:ascii="仿宋" w:hAnsi="仿宋" w:eastAsia="仿宋"/>
          <w:color w:val="000000" w:themeColor="text1"/>
          <w:sz w:val="32"/>
          <w:szCs w:val="32"/>
          <w14:textFill>
            <w14:solidFill>
              <w14:schemeClr w14:val="tx1"/>
            </w14:solidFill>
          </w14:textFill>
        </w:rPr>
        <w:t>㎡。项目分一个地块，共</w:t>
      </w:r>
      <w:r>
        <w:rPr>
          <w:rFonts w:ascii="仿宋" w:hAnsi="仿宋" w:eastAsia="仿宋"/>
          <w:color w:val="000000" w:themeColor="text1"/>
          <w:sz w:val="32"/>
          <w:szCs w:val="32"/>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栋楼，</w:t>
      </w:r>
      <w:r>
        <w:rPr>
          <w:rFonts w:ascii="仿宋" w:hAnsi="仿宋" w:eastAsia="仿宋"/>
          <w:color w:val="000000" w:themeColor="text1"/>
          <w:sz w:val="32"/>
          <w:szCs w:val="32"/>
          <w14:textFill>
            <w14:solidFill>
              <w14:schemeClr w14:val="tx1"/>
            </w14:solidFill>
          </w14:textFill>
        </w:rPr>
        <w:t>737</w:t>
      </w:r>
      <w:r>
        <w:rPr>
          <w:rFonts w:hint="eastAsia" w:ascii="仿宋" w:hAnsi="仿宋" w:eastAsia="仿宋"/>
          <w:color w:val="000000" w:themeColor="text1"/>
          <w:sz w:val="32"/>
          <w:szCs w:val="32"/>
          <w14:textFill>
            <w14:solidFill>
              <w14:schemeClr w14:val="tx1"/>
            </w14:solidFill>
          </w14:textFill>
        </w:rPr>
        <w:t>户住宅。</w:t>
      </w:r>
    </w:p>
    <w:p w14:paraId="17B54C6D">
      <w:pPr>
        <w:spacing w:line="50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二、清运范围和内容</w:t>
      </w:r>
    </w:p>
    <w:p w14:paraId="3123B9E4">
      <w:pPr>
        <w:widowControl/>
        <w:spacing w:line="520" w:lineRule="exact"/>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1、建筑垃圾清运服务范围为：本项目业主在装修时所产生的建筑垃圾（不包含园林绿化垃圾、生活垃圾的清运）。</w:t>
      </w:r>
    </w:p>
    <w:p w14:paraId="5E958CFD">
      <w:pPr>
        <w:widowControl/>
        <w:spacing w:line="520" w:lineRule="exact"/>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2、新项目交付两年装修率按85%计算，则合同期内预计装修住宅建筑面积约76947.48㎡。</w:t>
      </w:r>
    </w:p>
    <w:tbl>
      <w:tblPr>
        <w:tblStyle w:val="16"/>
        <w:tblpPr w:leftFromText="180" w:rightFromText="180" w:vertAnchor="text" w:horzAnchor="page" w:tblpX="2483" w:tblpY="126"/>
        <w:tblOverlap w:val="never"/>
        <w:tblW w:w="7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3613"/>
      </w:tblGrid>
      <w:tr w14:paraId="00BB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437" w:type="dxa"/>
            <w:vAlign w:val="center"/>
          </w:tcPr>
          <w:p w14:paraId="46846E0A">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服务项目</w:t>
            </w:r>
          </w:p>
        </w:tc>
        <w:tc>
          <w:tcPr>
            <w:tcW w:w="3613" w:type="dxa"/>
            <w:vAlign w:val="center"/>
          </w:tcPr>
          <w:p w14:paraId="286E8E50">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建筑面积（㎡）</w:t>
            </w:r>
          </w:p>
        </w:tc>
      </w:tr>
      <w:tr w14:paraId="1645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437" w:type="dxa"/>
            <w:vAlign w:val="center"/>
          </w:tcPr>
          <w:p w14:paraId="3C380698">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泉州国贸江南璟上</w:t>
            </w:r>
          </w:p>
        </w:tc>
        <w:tc>
          <w:tcPr>
            <w:tcW w:w="3613" w:type="dxa"/>
            <w:vAlign w:val="center"/>
          </w:tcPr>
          <w:p w14:paraId="3FC68FA2">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约76947.48</w:t>
            </w:r>
          </w:p>
        </w:tc>
      </w:tr>
    </w:tbl>
    <w:p w14:paraId="24773585">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p w14:paraId="7E7152E2">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p w14:paraId="107BAC42">
      <w:pPr>
        <w:spacing w:line="500" w:lineRule="exact"/>
        <w:rPr>
          <w:rFonts w:ascii="仿宋" w:hAnsi="仿宋" w:eastAsia="仿宋" w:cs="仿宋"/>
          <w:bCs/>
          <w:color w:val="000000" w:themeColor="text1"/>
          <w:sz w:val="32"/>
          <w:szCs w:val="32"/>
          <w14:textFill>
            <w14:solidFill>
              <w14:schemeClr w14:val="tx1"/>
            </w14:solidFill>
          </w14:textFill>
        </w:rPr>
      </w:pPr>
    </w:p>
    <w:p w14:paraId="7465960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注：如有疑问或需现场踏勘，请联系陈女士</w:t>
      </w:r>
      <w:r>
        <w:rPr>
          <w:rFonts w:ascii="仿宋" w:hAnsi="仿宋" w:eastAsia="仿宋"/>
          <w:color w:val="000000" w:themeColor="text1"/>
          <w:sz w:val="32"/>
          <w:szCs w:val="32"/>
          <w14:textFill>
            <w14:solidFill>
              <w14:schemeClr w14:val="tx1"/>
            </w14:solidFill>
          </w14:textFill>
        </w:rPr>
        <w:t>13860707526</w:t>
      </w:r>
      <w:r>
        <w:rPr>
          <w:rFonts w:hint="eastAsia" w:ascii="仿宋" w:hAnsi="仿宋" w:eastAsia="仿宋"/>
          <w:color w:val="000000" w:themeColor="text1"/>
          <w:sz w:val="32"/>
          <w:szCs w:val="32"/>
          <w14:textFill>
            <w14:solidFill>
              <w14:schemeClr w14:val="tx1"/>
            </w14:solidFill>
          </w14:textFill>
        </w:rPr>
        <w:t>。</w:t>
      </w:r>
    </w:p>
    <w:p w14:paraId="6627F6A3">
      <w:pPr>
        <w:widowControl/>
        <w:spacing w:line="520" w:lineRule="exact"/>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3、本项目建筑垃圾清运服务的内容为：</w:t>
      </w:r>
    </w:p>
    <w:p w14:paraId="2107BC32">
      <w:pPr>
        <w:widowControl/>
        <w:spacing w:line="52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（1）本项目服务范围内所有建筑垃圾的清理、清运。</w:t>
      </w:r>
    </w:p>
    <w:p w14:paraId="2E8CBAB4">
      <w:pPr>
        <w:widowControl/>
        <w:spacing w:line="52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（2）负责在项目指定的堆放点修建围栏设施，以免造成区域污染（硬隔断、墙面、柱角、地面保护等）。</w:t>
      </w:r>
    </w:p>
    <w:p w14:paraId="2CC3F47A">
      <w:pPr>
        <w:widowControl/>
        <w:spacing w:line="52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（3）配备专业的保洁人员及时清理装卸车现场及周边遗落的建筑垃圾，针对某些部位无法采用常规办法清扫的，应配备专业工具（如吸尘器）予以清理，保持环境整体整洁、干净。</w:t>
      </w:r>
    </w:p>
    <w:p w14:paraId="3F96CEB6">
      <w:pPr>
        <w:widowControl/>
        <w:spacing w:line="520" w:lineRule="exact"/>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根据《鲤城区城市建筑垃圾专项整治实施方案》等有关要求配合并落实。</w:t>
      </w:r>
    </w:p>
    <w:p w14:paraId="2BF03123">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p w14:paraId="4FBC5DBA">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p w14:paraId="1AFC2E3B">
      <w:pPr>
        <w:spacing w:line="500" w:lineRule="exac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三、装修垃圾清运要求</w:t>
      </w:r>
    </w:p>
    <w:tbl>
      <w:tblPr>
        <w:tblStyle w:val="16"/>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105"/>
      </w:tblGrid>
      <w:tr w14:paraId="6C12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376" w:type="dxa"/>
            <w:vMerge w:val="restart"/>
            <w:vAlign w:val="center"/>
          </w:tcPr>
          <w:p w14:paraId="6ED03655">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清运标准</w:t>
            </w:r>
          </w:p>
        </w:tc>
        <w:tc>
          <w:tcPr>
            <w:tcW w:w="7105" w:type="dxa"/>
            <w:vAlign w:val="center"/>
          </w:tcPr>
          <w:p w14:paraId="564323E9">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（1）需设立</w:t>
            </w:r>
            <w:r>
              <w:rPr>
                <w:rFonts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个垃圾堆放点，堆放点的堆放饱和度不超过60%；</w:t>
            </w:r>
          </w:p>
        </w:tc>
      </w:tr>
      <w:tr w14:paraId="242B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376" w:type="dxa"/>
            <w:vMerge w:val="continue"/>
            <w:vAlign w:val="center"/>
          </w:tcPr>
          <w:p w14:paraId="51DDC73D">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626CDB27">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2）清运车辆在运输过程中保证车辆的四周围挡应封闭良好；</w:t>
            </w:r>
          </w:p>
        </w:tc>
      </w:tr>
      <w:tr w14:paraId="6CD6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76" w:type="dxa"/>
            <w:vMerge w:val="continue"/>
            <w:vAlign w:val="center"/>
          </w:tcPr>
          <w:p w14:paraId="72387DA5">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04EDB112">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3）严格按照清运路线进行运输，不得超高，不得损坏相关设施设备，使用相关材料做好清运场地的保护，并做好清运范围内的保洁工作，禁止粉尘污染，并及时保证现场的整洁、有序；</w:t>
            </w:r>
          </w:p>
        </w:tc>
      </w:tr>
      <w:tr w14:paraId="6B18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22D73ECF">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414B061C">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4）有足够的车辆来保证</w:t>
            </w:r>
            <w:r>
              <w:rPr>
                <w:rFonts w:hint="eastAsia" w:ascii="仿宋" w:hAnsi="仿宋" w:eastAsia="仿宋" w:cs="仿宋"/>
                <w:bCs/>
                <w:color w:val="000000" w:themeColor="text1"/>
                <w:sz w:val="32"/>
                <w:szCs w:val="32"/>
                <w14:textFill>
                  <w14:solidFill>
                    <w14:schemeClr w14:val="tx1"/>
                  </w14:solidFill>
                </w14:textFill>
              </w:rPr>
              <w:t>装修垃圾现场；</w:t>
            </w:r>
          </w:p>
        </w:tc>
      </w:tr>
      <w:tr w14:paraId="1C9B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0DA868CB">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0D567B3F">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5）清运时人员配置为清运车司机、地面清理工人、铲车司机。</w:t>
            </w:r>
          </w:p>
        </w:tc>
      </w:tr>
      <w:tr w14:paraId="18A8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76" w:type="dxa"/>
            <w:vMerge w:val="restart"/>
            <w:vAlign w:val="center"/>
          </w:tcPr>
          <w:p w14:paraId="52C20B21">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设施设备保护</w:t>
            </w:r>
          </w:p>
        </w:tc>
        <w:tc>
          <w:tcPr>
            <w:tcW w:w="7105" w:type="dxa"/>
            <w:vAlign w:val="center"/>
          </w:tcPr>
          <w:p w14:paraId="616A372C">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（1）负责场地围挡日常维护并保证其安全、整洁，相关费用包含在总报价内；</w:t>
            </w:r>
          </w:p>
        </w:tc>
      </w:tr>
      <w:tr w14:paraId="75A5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76" w:type="dxa"/>
            <w:vMerge w:val="continue"/>
            <w:vAlign w:val="center"/>
          </w:tcPr>
          <w:p w14:paraId="1A055F13">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p>
        </w:tc>
        <w:tc>
          <w:tcPr>
            <w:tcW w:w="7105" w:type="dxa"/>
            <w:vAlign w:val="center"/>
          </w:tcPr>
          <w:p w14:paraId="234C355F">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ascii="仿宋" w:hAnsi="仿宋" w:eastAsia="仿宋" w:cs="仿宋"/>
                <w:bCs/>
                <w:color w:val="000000" w:themeColor="text1"/>
                <w:sz w:val="32"/>
                <w:szCs w:val="32"/>
                <w14:textFill>
                  <w14:solidFill>
                    <w14:schemeClr w14:val="tx1"/>
                  </w14:solidFill>
                </w14:textFill>
              </w:rPr>
              <w:t>2）在运输的过程中车辆四周围挡封闭良好从而保证清运经过路面的不受损害。</w:t>
            </w:r>
          </w:p>
        </w:tc>
      </w:tr>
      <w:tr w14:paraId="1179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76" w:type="dxa"/>
            <w:vAlign w:val="center"/>
          </w:tcPr>
          <w:p w14:paraId="4E1D7913">
            <w:pPr>
              <w:spacing w:line="500" w:lineRule="exact"/>
              <w:jc w:val="center"/>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响应时间</w:t>
            </w:r>
          </w:p>
        </w:tc>
        <w:tc>
          <w:tcPr>
            <w:tcW w:w="7105" w:type="dxa"/>
            <w:vAlign w:val="center"/>
          </w:tcPr>
          <w:p w14:paraId="627097EE">
            <w:pPr>
              <w:spacing w:line="500" w:lineRule="exac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接甲方电话通知后30分钟内到现场清运，并及时清理完毕。</w:t>
            </w:r>
          </w:p>
        </w:tc>
      </w:tr>
    </w:tbl>
    <w:p w14:paraId="25592A50">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其他要求：</w:t>
      </w:r>
    </w:p>
    <w:p w14:paraId="342EE852">
      <w:p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承包单位需在建设建筑垃圾点（需围合，顶部需采用彩条布遮盖）同时增加降尘喷雾设备，并且保证垃圾房及周边清运通道干净整洁，设施设备完好运转，清运通道路面完好，如有破损需及时修复，由此产生的修复费用由承包单位承担。</w:t>
      </w:r>
    </w:p>
    <w:p w14:paraId="4FEBE065">
      <w:pPr>
        <w:numPr>
          <w:ilvl w:val="0"/>
          <w:numId w:val="2"/>
        </w:numPr>
        <w:spacing w:line="500" w:lineRule="exac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款项结算</w:t>
      </w:r>
    </w:p>
    <w:p w14:paraId="602C389C">
      <w:pPr>
        <w:numPr>
          <w:ilvl w:val="255"/>
          <w:numId w:val="0"/>
        </w:numPr>
        <w:spacing w:line="500" w:lineRule="exact"/>
        <w:ind w:firstLine="320" w:firstLineChars="1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分阶段付款：</w:t>
      </w:r>
    </w:p>
    <w:p w14:paraId="5DFBC1B7">
      <w:pPr>
        <w:numPr>
          <w:ilvl w:val="255"/>
          <w:numId w:val="0"/>
        </w:numPr>
        <w:spacing w:line="5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自</w:t>
      </w:r>
      <w:r>
        <w:rPr>
          <w:rFonts w:hint="eastAsia" w:ascii="仿宋" w:hAnsi="仿宋" w:eastAsia="仿宋" w:cs="仿宋"/>
          <w:bCs/>
          <w:color w:val="000000" w:themeColor="text1"/>
          <w:sz w:val="32"/>
          <w:szCs w:val="32"/>
          <w:lang w:val="en-US" w:eastAsia="zh-CN"/>
          <w14:textFill>
            <w14:solidFill>
              <w14:schemeClr w14:val="tx1"/>
            </w14:solidFill>
          </w14:textFill>
        </w:rPr>
        <w:t>服务期满</w:t>
      </w:r>
      <w:r>
        <w:rPr>
          <w:rFonts w:hint="eastAsia" w:ascii="仿宋" w:hAnsi="仿宋" w:eastAsia="仿宋" w:cs="仿宋"/>
          <w:bCs/>
          <w:color w:val="000000" w:themeColor="text1"/>
          <w:sz w:val="32"/>
          <w:szCs w:val="32"/>
          <w14:textFill>
            <w14:solidFill>
              <w14:schemeClr w14:val="tx1"/>
            </w14:solidFill>
          </w14:textFill>
        </w:rPr>
        <w:t>半年后，结算</w:t>
      </w:r>
      <w:r>
        <w:rPr>
          <w:rFonts w:hint="eastAsia" w:ascii="仿宋" w:hAnsi="仿宋" w:eastAsia="仿宋" w:cs="仿宋"/>
          <w:bCs/>
          <w:color w:val="000000" w:themeColor="text1"/>
          <w:sz w:val="32"/>
          <w:szCs w:val="32"/>
          <w:lang w:val="en-US" w:eastAsia="zh-CN"/>
          <w14:textFill>
            <w14:solidFill>
              <w14:schemeClr w14:val="tx1"/>
            </w14:solidFill>
          </w14:textFill>
        </w:rPr>
        <w:t>本</w:t>
      </w:r>
      <w:r>
        <w:rPr>
          <w:rFonts w:hint="eastAsia" w:ascii="仿宋" w:hAnsi="仿宋" w:eastAsia="仿宋" w:cs="仿宋"/>
          <w:bCs/>
          <w:color w:val="000000" w:themeColor="text1"/>
          <w:sz w:val="32"/>
          <w:szCs w:val="32"/>
          <w14:textFill>
            <w14:solidFill>
              <w14:schemeClr w14:val="tx1"/>
            </w14:solidFill>
          </w14:textFill>
        </w:rPr>
        <w:t>项目</w:t>
      </w:r>
      <w:r>
        <w:rPr>
          <w:rFonts w:hint="eastAsia" w:ascii="仿宋" w:hAnsi="仿宋" w:eastAsia="仿宋" w:cs="仿宋"/>
          <w:bCs/>
          <w:color w:val="000000" w:themeColor="text1"/>
          <w:sz w:val="32"/>
          <w:szCs w:val="32"/>
          <w:lang w:val="en-US" w:eastAsia="zh-CN"/>
          <w14:textFill>
            <w14:solidFill>
              <w14:schemeClr w14:val="tx1"/>
            </w14:solidFill>
          </w14:textFill>
        </w:rPr>
        <w:t>实际装修业主</w:t>
      </w:r>
      <w:r>
        <w:rPr>
          <w:rFonts w:hint="eastAsia" w:ascii="仿宋" w:hAnsi="仿宋" w:eastAsia="仿宋" w:cs="仿宋"/>
          <w:bCs/>
          <w:color w:val="000000" w:themeColor="text1"/>
          <w:sz w:val="32"/>
          <w:szCs w:val="32"/>
          <w14:textFill>
            <w14:solidFill>
              <w14:schemeClr w14:val="tx1"/>
            </w14:solidFill>
          </w14:textFill>
        </w:rPr>
        <w:t>土头清运</w:t>
      </w:r>
      <w:r>
        <w:rPr>
          <w:rFonts w:hint="eastAsia" w:ascii="仿宋" w:hAnsi="仿宋" w:eastAsia="仿宋" w:cs="仿宋"/>
          <w:bCs/>
          <w:color w:val="000000" w:themeColor="text1"/>
          <w:sz w:val="32"/>
          <w:szCs w:val="32"/>
          <w:lang w:val="en-US" w:eastAsia="zh-CN"/>
          <w14:textFill>
            <w14:solidFill>
              <w14:schemeClr w14:val="tx1"/>
            </w14:solidFill>
          </w14:textFill>
        </w:rPr>
        <w:t>费</w:t>
      </w:r>
      <w:r>
        <w:rPr>
          <w:rFonts w:hint="eastAsia" w:ascii="仿宋" w:hAnsi="仿宋" w:eastAsia="仿宋" w:cs="仿宋"/>
          <w:bCs/>
          <w:color w:val="000000" w:themeColor="text1"/>
          <w:sz w:val="32"/>
          <w:szCs w:val="32"/>
          <w14:textFill>
            <w14:solidFill>
              <w14:schemeClr w14:val="tx1"/>
            </w14:solidFill>
          </w14:textFill>
        </w:rPr>
        <w:t>的30%。</w:t>
      </w:r>
    </w:p>
    <w:p w14:paraId="1BD447E9">
      <w:pPr>
        <w:widowControl/>
        <w:spacing w:line="500" w:lineRule="exact"/>
        <w:ind w:firstLine="640" w:firstLineChars="200"/>
        <w:jc w:val="left"/>
        <w:rPr>
          <w:rFonts w:ascii="仿宋" w:hAnsi="仿宋" w:eastAsia="仿宋" w:cs="仿宋"/>
          <w:bCs/>
          <w:color w:val="000000" w:themeColor="text1"/>
          <w:sz w:val="32"/>
          <w:szCs w:val="32"/>
          <w:highlight w:val="yellow"/>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业主装修</w:t>
      </w:r>
      <w:r>
        <w:rPr>
          <w:rFonts w:hint="eastAsia" w:ascii="仿宋" w:hAnsi="仿宋" w:eastAsia="仿宋" w:cs="仿宋"/>
          <w:bCs/>
          <w:color w:val="000000" w:themeColor="text1"/>
          <w:sz w:val="32"/>
          <w:szCs w:val="32"/>
          <w:lang w:val="en-US" w:eastAsia="zh-CN"/>
          <w14:textFill>
            <w14:solidFill>
              <w14:schemeClr w14:val="tx1"/>
            </w14:solidFill>
          </w14:textFill>
        </w:rPr>
        <w:t>完工并通过</w:t>
      </w:r>
      <w:r>
        <w:rPr>
          <w:rFonts w:hint="eastAsia" w:ascii="仿宋" w:hAnsi="仿宋" w:eastAsia="仿宋" w:cs="仿宋"/>
          <w:bCs/>
          <w:color w:val="000000" w:themeColor="text1"/>
          <w:sz w:val="32"/>
          <w:szCs w:val="32"/>
          <w14:textFill>
            <w14:solidFill>
              <w14:schemeClr w14:val="tx1"/>
            </w14:solidFill>
          </w14:textFill>
        </w:rPr>
        <w:t>验收，且</w:t>
      </w:r>
      <w:r>
        <w:rPr>
          <w:rFonts w:hint="eastAsia" w:ascii="仿宋" w:hAnsi="仿宋" w:eastAsia="仿宋" w:cs="仿宋"/>
          <w:bCs/>
          <w:color w:val="000000" w:themeColor="text1"/>
          <w:sz w:val="32"/>
          <w:szCs w:val="32"/>
          <w:lang w:val="en-US" w:eastAsia="zh-CN"/>
          <w14:textFill>
            <w14:solidFill>
              <w14:schemeClr w14:val="tx1"/>
            </w14:solidFill>
          </w14:textFill>
        </w:rPr>
        <w:t>招标人全额退还业主</w:t>
      </w:r>
      <w:r>
        <w:rPr>
          <w:rFonts w:hint="eastAsia" w:ascii="仿宋" w:hAnsi="仿宋" w:eastAsia="仿宋" w:cs="仿宋"/>
          <w:bCs/>
          <w:color w:val="000000" w:themeColor="text1"/>
          <w:sz w:val="32"/>
          <w:szCs w:val="32"/>
          <w14:textFill>
            <w14:solidFill>
              <w14:schemeClr w14:val="tx1"/>
            </w14:solidFill>
          </w14:textFill>
        </w:rPr>
        <w:t>装修保证金后，结算该</w:t>
      </w:r>
      <w:r>
        <w:rPr>
          <w:rFonts w:hint="eastAsia" w:ascii="仿宋" w:hAnsi="仿宋" w:eastAsia="仿宋" w:cs="仿宋"/>
          <w:bCs/>
          <w:color w:val="000000" w:themeColor="text1"/>
          <w:sz w:val="32"/>
          <w:szCs w:val="32"/>
          <w:lang w:val="en-US" w:eastAsia="zh-CN"/>
          <w14:textFill>
            <w14:solidFill>
              <w14:schemeClr w14:val="tx1"/>
            </w14:solidFill>
          </w14:textFill>
        </w:rPr>
        <w:t>业主土头清运费的</w:t>
      </w:r>
      <w:r>
        <w:rPr>
          <w:rFonts w:hint="eastAsia" w:ascii="仿宋" w:hAnsi="仿宋" w:eastAsia="仿宋" w:cs="仿宋"/>
          <w:bCs/>
          <w:color w:val="000000" w:themeColor="text1"/>
          <w:sz w:val="32"/>
          <w:szCs w:val="32"/>
          <w14:textFill>
            <w14:solidFill>
              <w14:schemeClr w14:val="tx1"/>
            </w14:solidFill>
          </w14:textFill>
        </w:rPr>
        <w:t>70% （款项结算以 1个自然月为一个周期）。甲方提供</w:t>
      </w:r>
      <w:r>
        <w:rPr>
          <w:rFonts w:hint="eastAsia" w:ascii="仿宋" w:hAnsi="仿宋" w:eastAsia="仿宋" w:cs="仿宋"/>
          <w:bCs/>
          <w:color w:val="000000" w:themeColor="text1"/>
          <w:sz w:val="32"/>
          <w:szCs w:val="32"/>
          <w:lang w:val="en-US" w:eastAsia="zh-CN"/>
          <w14:textFill>
            <w14:solidFill>
              <w14:schemeClr w14:val="tx1"/>
            </w14:solidFill>
          </w14:textFill>
        </w:rPr>
        <w:t>本项目实际装修业主的装修进度</w:t>
      </w:r>
      <w:r>
        <w:rPr>
          <w:rFonts w:hint="eastAsia" w:ascii="仿宋" w:hAnsi="仿宋" w:eastAsia="仿宋" w:cs="仿宋"/>
          <w:bCs/>
          <w:color w:val="000000" w:themeColor="text1"/>
          <w:sz w:val="32"/>
          <w:szCs w:val="32"/>
          <w14:textFill>
            <w14:solidFill>
              <w14:schemeClr w14:val="tx1"/>
            </w14:solidFill>
          </w14:textFill>
        </w:rPr>
        <w:t>情况及</w:t>
      </w:r>
      <w:r>
        <w:rPr>
          <w:rFonts w:hint="eastAsia" w:ascii="仿宋" w:hAnsi="仿宋" w:eastAsia="仿宋" w:cs="仿宋"/>
          <w:bCs/>
          <w:color w:val="000000" w:themeColor="text1"/>
          <w:sz w:val="32"/>
          <w:szCs w:val="32"/>
          <w:lang w:val="en-US" w:eastAsia="zh-CN"/>
          <w14:textFill>
            <w14:solidFill>
              <w14:schemeClr w14:val="tx1"/>
            </w14:solidFill>
          </w14:textFill>
        </w:rPr>
        <w:t>应</w:t>
      </w:r>
      <w:r>
        <w:rPr>
          <w:rFonts w:hint="eastAsia" w:ascii="仿宋" w:hAnsi="仿宋" w:eastAsia="仿宋" w:cs="仿宋"/>
          <w:bCs/>
          <w:color w:val="000000" w:themeColor="text1"/>
          <w:sz w:val="32"/>
          <w:szCs w:val="32"/>
          <w14:textFill>
            <w14:solidFill>
              <w14:schemeClr w14:val="tx1"/>
            </w14:solidFill>
          </w14:textFill>
        </w:rPr>
        <w:t>付款</w:t>
      </w:r>
      <w:r>
        <w:rPr>
          <w:rFonts w:hint="eastAsia" w:ascii="仿宋" w:hAnsi="仿宋" w:eastAsia="仿宋" w:cs="仿宋"/>
          <w:bCs/>
          <w:color w:val="000000" w:themeColor="text1"/>
          <w:sz w:val="32"/>
          <w:szCs w:val="32"/>
          <w:lang w:val="en-US" w:eastAsia="zh-CN"/>
          <w14:textFill>
            <w14:solidFill>
              <w14:schemeClr w14:val="tx1"/>
            </w14:solidFill>
          </w14:textFill>
        </w:rPr>
        <w:t>项并</w:t>
      </w:r>
      <w:r>
        <w:rPr>
          <w:rFonts w:hint="eastAsia" w:ascii="仿宋" w:hAnsi="仿宋" w:eastAsia="仿宋" w:cs="仿宋"/>
          <w:bCs/>
          <w:color w:val="000000" w:themeColor="text1"/>
          <w:sz w:val="32"/>
          <w:szCs w:val="32"/>
          <w14:textFill>
            <w14:solidFill>
              <w14:schemeClr w14:val="tx1"/>
            </w14:solidFill>
          </w14:textFill>
        </w:rPr>
        <w:t>由双方共同确认，确认完成后由中标人</w:t>
      </w:r>
      <w:r>
        <w:rPr>
          <w:rFonts w:hint="eastAsia" w:ascii="仿宋" w:hAnsi="仿宋" w:eastAsia="仿宋" w:cs="仿宋"/>
          <w:bCs/>
          <w:color w:val="000000" w:themeColor="text1"/>
          <w:sz w:val="32"/>
          <w:szCs w:val="32"/>
          <w:lang w:val="en-US" w:eastAsia="zh-CN"/>
          <w14:textFill>
            <w14:solidFill>
              <w14:schemeClr w14:val="tx1"/>
            </w14:solidFill>
          </w14:textFill>
        </w:rPr>
        <w:t>向招标人</w:t>
      </w:r>
      <w:r>
        <w:rPr>
          <w:rFonts w:hint="eastAsia" w:ascii="仿宋" w:hAnsi="仿宋" w:eastAsia="仿宋" w:cs="仿宋"/>
          <w:bCs/>
          <w:color w:val="000000" w:themeColor="text1"/>
          <w:sz w:val="32"/>
          <w:szCs w:val="32"/>
          <w14:textFill>
            <w14:solidFill>
              <w14:schemeClr w14:val="tx1"/>
            </w14:solidFill>
          </w14:textFill>
        </w:rPr>
        <w:t>开具</w:t>
      </w:r>
      <w:r>
        <w:rPr>
          <w:rFonts w:hint="eastAsia" w:ascii="仿宋" w:hAnsi="仿宋" w:eastAsia="仿宋" w:cs="仿宋"/>
          <w:bCs/>
          <w:color w:val="000000" w:themeColor="text1"/>
          <w:sz w:val="32"/>
          <w:szCs w:val="32"/>
          <w:lang w:val="en-US" w:eastAsia="zh-CN"/>
          <w14:textFill>
            <w14:solidFill>
              <w14:schemeClr w14:val="tx1"/>
            </w14:solidFill>
          </w14:textFill>
        </w:rPr>
        <w:t>等</w:t>
      </w:r>
      <w:r>
        <w:rPr>
          <w:rFonts w:hint="eastAsia" w:ascii="仿宋" w:hAnsi="仿宋" w:eastAsia="仿宋" w:cs="仿宋"/>
          <w:bCs/>
          <w:color w:val="000000" w:themeColor="text1"/>
          <w:sz w:val="32"/>
          <w:szCs w:val="32"/>
          <w14:textFill>
            <w14:solidFill>
              <w14:schemeClr w14:val="tx1"/>
            </w14:solidFill>
          </w14:textFill>
        </w:rPr>
        <w:t>额</w:t>
      </w:r>
      <w:r>
        <w:rPr>
          <w:rFonts w:hint="eastAsia" w:ascii="仿宋" w:hAnsi="仿宋" w:eastAsia="仿宋" w:cs="仿宋"/>
          <w:bCs/>
          <w:color w:val="000000" w:themeColor="text1"/>
          <w:sz w:val="32"/>
          <w:szCs w:val="32"/>
          <w:lang w:val="en-US" w:eastAsia="zh-CN"/>
          <w14:textFill>
            <w14:solidFill>
              <w14:schemeClr w14:val="tx1"/>
            </w14:solidFill>
          </w14:textFill>
        </w:rPr>
        <w:t>合法有效</w:t>
      </w:r>
      <w:r>
        <w:rPr>
          <w:rFonts w:hint="eastAsia" w:ascii="仿宋" w:hAnsi="仿宋" w:eastAsia="仿宋" w:cs="仿宋"/>
          <w:bCs/>
          <w:color w:val="000000" w:themeColor="text1"/>
          <w:sz w:val="32"/>
          <w:szCs w:val="32"/>
          <w14:textFill>
            <w14:solidFill>
              <w14:schemeClr w14:val="tx1"/>
            </w14:solidFill>
          </w14:textFill>
        </w:rPr>
        <w:t>的增值税专用发票，</w:t>
      </w:r>
      <w:r>
        <w:rPr>
          <w:rFonts w:hint="eastAsia" w:ascii="仿宋" w:hAnsi="仿宋" w:eastAsia="仿宋" w:cs="仿宋"/>
          <w:bCs/>
          <w:color w:val="000000" w:themeColor="text1"/>
          <w:sz w:val="32"/>
          <w:szCs w:val="32"/>
          <w:lang w:val="en-US" w:eastAsia="zh-CN"/>
          <w14:textFill>
            <w14:solidFill>
              <w14:schemeClr w14:val="tx1"/>
            </w14:solidFill>
          </w14:textFill>
        </w:rPr>
        <w:t>招标人</w:t>
      </w:r>
      <w:r>
        <w:rPr>
          <w:rFonts w:hint="eastAsia" w:ascii="仿宋" w:hAnsi="仿宋" w:eastAsia="仿宋" w:cs="仿宋"/>
          <w:bCs/>
          <w:color w:val="000000" w:themeColor="text1"/>
          <w:sz w:val="32"/>
          <w:szCs w:val="32"/>
          <w14:textFill>
            <w14:solidFill>
              <w14:schemeClr w14:val="tx1"/>
            </w14:solidFill>
          </w14:textFill>
        </w:rPr>
        <w:t>在收到中标人</w:t>
      </w:r>
      <w:r>
        <w:rPr>
          <w:rFonts w:hint="eastAsia" w:ascii="仿宋" w:hAnsi="仿宋" w:eastAsia="仿宋" w:cs="仿宋"/>
          <w:bCs/>
          <w:color w:val="000000" w:themeColor="text1"/>
          <w:sz w:val="32"/>
          <w:szCs w:val="32"/>
          <w:lang w:val="en-US" w:eastAsia="zh-CN"/>
          <w14:textFill>
            <w14:solidFill>
              <w14:schemeClr w14:val="tx1"/>
            </w14:solidFill>
          </w14:textFill>
        </w:rPr>
        <w:t>开具的</w:t>
      </w:r>
      <w:r>
        <w:rPr>
          <w:rFonts w:hint="eastAsia" w:ascii="仿宋" w:hAnsi="仿宋" w:eastAsia="仿宋" w:cs="仿宋"/>
          <w:bCs/>
          <w:color w:val="000000" w:themeColor="text1"/>
          <w:sz w:val="32"/>
          <w:szCs w:val="32"/>
          <w14:textFill>
            <w14:solidFill>
              <w14:schemeClr w14:val="tx1"/>
            </w14:solidFill>
          </w14:textFill>
        </w:rPr>
        <w:t>发票之日起 10个工作日内以银行转账的方式支付(遇节假日顺延)。</w:t>
      </w:r>
    </w:p>
    <w:p w14:paraId="5871E119">
      <w:pPr>
        <w:spacing w:line="500" w:lineRule="exac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五、服务期限</w:t>
      </w:r>
    </w:p>
    <w:p w14:paraId="2E1BD44E">
      <w:pPr>
        <w:spacing w:line="5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服务期限</w:t>
      </w:r>
      <w:r>
        <w:rPr>
          <w:rFonts w:hint="eastAsia" w:ascii="仿宋" w:hAnsi="仿宋" w:eastAsia="仿宋"/>
          <w:color w:val="000000" w:themeColor="text1"/>
          <w:sz w:val="32"/>
          <w:szCs w:val="32"/>
          <w:lang w:val="en-US" w:eastAsia="zh-CN"/>
          <w14:textFill>
            <w14:solidFill>
              <w14:schemeClr w14:val="tx1"/>
            </w14:solidFill>
          </w14:textFill>
        </w:rPr>
        <w:t>为</w:t>
      </w:r>
      <w:r>
        <w:rPr>
          <w:rFonts w:hint="eastAsia" w:ascii="仿宋" w:hAnsi="仿宋" w:eastAsia="仿宋" w:cs="仿宋"/>
          <w:color w:val="000000" w:themeColor="text1"/>
          <w:kern w:val="0"/>
          <w:sz w:val="32"/>
          <w:szCs w:val="32"/>
          <w14:textFill>
            <w14:solidFill>
              <w14:schemeClr w14:val="tx1"/>
            </w14:solidFill>
          </w14:textFill>
        </w:rPr>
        <w:t>两年，</w:t>
      </w:r>
      <w:r>
        <w:rPr>
          <w:rFonts w:ascii="仿宋" w:hAnsi="仿宋" w:eastAsia="仿宋" w:cs="仿宋"/>
          <w:color w:val="000000" w:themeColor="text1"/>
          <w:kern w:val="0"/>
          <w:sz w:val="32"/>
          <w:szCs w:val="32"/>
          <w14:textFill>
            <w14:solidFill>
              <w14:schemeClr w14:val="tx1"/>
            </w14:solidFill>
          </w14:textFill>
        </w:rPr>
        <w:t>2025</w:t>
      </w:r>
      <w:r>
        <w:rPr>
          <w:rFonts w:hint="eastAsia" w:ascii="仿宋" w:hAnsi="仿宋" w:eastAsia="仿宋" w:cs="仿宋"/>
          <w:color w:val="000000" w:themeColor="text1"/>
          <w:kern w:val="0"/>
          <w:sz w:val="32"/>
          <w:szCs w:val="32"/>
          <w14:textFill>
            <w14:solidFill>
              <w14:schemeClr w14:val="tx1"/>
            </w14:solidFill>
          </w14:textFill>
        </w:rPr>
        <w:t>年</w:t>
      </w:r>
      <w:r>
        <w:rPr>
          <w:rFonts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u w:val="none"/>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暂定）</w:t>
      </w:r>
      <w:r>
        <w:rPr>
          <w:rFonts w:hint="eastAsia" w:ascii="仿宋" w:hAnsi="仿宋" w:eastAsia="仿宋" w:cs="仿宋"/>
          <w:color w:val="000000" w:themeColor="text1"/>
          <w:kern w:val="0"/>
          <w:sz w:val="32"/>
          <w:szCs w:val="32"/>
          <w14:textFill>
            <w14:solidFill>
              <w14:schemeClr w14:val="tx1"/>
            </w14:solidFill>
          </w14:textFill>
        </w:rPr>
        <w:t>至</w:t>
      </w:r>
      <w:r>
        <w:rPr>
          <w:rFonts w:ascii="仿宋" w:hAnsi="仿宋" w:eastAsia="仿宋" w:cs="仿宋"/>
          <w:color w:val="000000" w:themeColor="text1"/>
          <w:kern w:val="0"/>
          <w:sz w:val="32"/>
          <w:szCs w:val="32"/>
          <w14:textFill>
            <w14:solidFill>
              <w14:schemeClr w14:val="tx1"/>
            </w14:solidFill>
          </w14:textFill>
        </w:rPr>
        <w:t>2027</w:t>
      </w:r>
      <w:r>
        <w:rPr>
          <w:rFonts w:hint="eastAsia" w:ascii="仿宋" w:hAnsi="仿宋" w:eastAsia="仿宋" w:cs="仿宋"/>
          <w:color w:val="000000" w:themeColor="text1"/>
          <w:kern w:val="0"/>
          <w:sz w:val="32"/>
          <w:szCs w:val="32"/>
          <w14:textFill>
            <w14:solidFill>
              <w14:schemeClr w14:val="tx1"/>
            </w14:solidFill>
          </w14:textFill>
        </w:rPr>
        <w:t>年</w:t>
      </w:r>
      <w:r>
        <w:rPr>
          <w:rFonts w:ascii="仿宋" w:hAnsi="仿宋" w:eastAsia="仿宋" w:cs="仿宋"/>
          <w:color w:val="000000" w:themeColor="text1"/>
          <w:kern w:val="0"/>
          <w:sz w:val="32"/>
          <w:szCs w:val="32"/>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31</w:t>
      </w:r>
      <w:r>
        <w:rPr>
          <w:rFonts w:hint="eastAsia" w:ascii="仿宋" w:hAnsi="仿宋" w:eastAsia="仿宋" w:cs="仿宋"/>
          <w:color w:val="000000" w:themeColor="text1"/>
          <w:kern w:val="0"/>
          <w:sz w:val="32"/>
          <w:szCs w:val="32"/>
          <w14:textFill>
            <w14:solidFill>
              <w14:schemeClr w14:val="tx1"/>
            </w14:solidFill>
          </w14:textFill>
        </w:rPr>
        <w:t>日（具体服务期限起始时间以</w:t>
      </w:r>
      <w:r>
        <w:rPr>
          <w:rFonts w:hint="eastAsia" w:ascii="仿宋" w:hAnsi="仿宋" w:eastAsia="仿宋" w:cs="仿宋"/>
          <w:color w:val="000000" w:themeColor="text1"/>
          <w:kern w:val="0"/>
          <w:sz w:val="32"/>
          <w:szCs w:val="32"/>
          <w:lang w:val="en-US" w:eastAsia="zh-CN"/>
          <w14:textFill>
            <w14:solidFill>
              <w14:schemeClr w14:val="tx1"/>
            </w14:solidFill>
          </w14:textFill>
        </w:rPr>
        <w:t>签</w:t>
      </w:r>
      <w:r>
        <w:rPr>
          <w:rFonts w:hint="eastAsia" w:ascii="仿宋" w:hAnsi="仿宋" w:eastAsia="仿宋" w:cs="仿宋"/>
          <w:color w:val="000000" w:themeColor="text1"/>
          <w:kern w:val="0"/>
          <w:sz w:val="32"/>
          <w:szCs w:val="32"/>
          <w14:textFill>
            <w14:solidFill>
              <w14:schemeClr w14:val="tx1"/>
            </w14:solidFill>
          </w14:textFill>
        </w:rPr>
        <w:t>订的土头清运服务合同为准，服务期限起始时</w:t>
      </w:r>
      <w:r>
        <w:rPr>
          <w:rFonts w:hint="eastAsia" w:ascii="仿宋" w:hAnsi="仿宋" w:eastAsia="仿宋" w:cs="仿宋"/>
          <w:color w:val="000000" w:themeColor="text1"/>
          <w:kern w:val="0"/>
          <w:sz w:val="32"/>
          <w:szCs w:val="32"/>
          <w:lang w:val="en-US" w:eastAsia="zh-CN"/>
          <w14:textFill>
            <w14:solidFill>
              <w14:schemeClr w14:val="tx1"/>
            </w14:solidFill>
          </w14:textFill>
        </w:rPr>
        <w:t>间</w:t>
      </w:r>
      <w:r>
        <w:rPr>
          <w:rFonts w:hint="eastAsia" w:ascii="仿宋" w:hAnsi="仿宋" w:eastAsia="仿宋" w:cs="仿宋"/>
          <w:color w:val="000000" w:themeColor="text1"/>
          <w:kern w:val="0"/>
          <w:sz w:val="32"/>
          <w:szCs w:val="32"/>
          <w14:textFill>
            <w14:solidFill>
              <w14:schemeClr w14:val="tx1"/>
            </w14:solidFill>
          </w14:textFill>
        </w:rPr>
        <w:t>如有变更的,服务期限届满时间相应变更，但服务期限两年不变）。</w:t>
      </w:r>
    </w:p>
    <w:p w14:paraId="6C4390DC">
      <w:pPr>
        <w:spacing w:line="500" w:lineRule="exact"/>
        <w:ind w:firstLine="640" w:firstLineChars="200"/>
        <w:rPr>
          <w:rFonts w:ascii="仿宋" w:hAnsi="仿宋" w:eastAsia="仿宋"/>
          <w:color w:val="000000" w:themeColor="text1"/>
          <w:sz w:val="32"/>
          <w:szCs w:val="32"/>
          <w14:textFill>
            <w14:solidFill>
              <w14:schemeClr w14:val="tx1"/>
            </w14:solidFill>
          </w14:textFill>
        </w:rPr>
      </w:pPr>
    </w:p>
    <w:p w14:paraId="2762F247">
      <w:pPr>
        <w:spacing w:line="500" w:lineRule="exact"/>
        <w:ind w:firstLine="640" w:firstLineChars="200"/>
        <w:rPr>
          <w:rFonts w:ascii="仿宋" w:hAnsi="仿宋" w:eastAsia="仿宋"/>
          <w:color w:val="000000" w:themeColor="text1"/>
          <w:sz w:val="32"/>
          <w:szCs w:val="32"/>
          <w:highlight w:val="yellow"/>
          <w14:textFill>
            <w14:solidFill>
              <w14:schemeClr w14:val="tx1"/>
            </w14:solidFill>
          </w14:textFill>
        </w:rPr>
      </w:pPr>
    </w:p>
    <w:p w14:paraId="26D9894A">
      <w:pPr>
        <w:spacing w:line="500" w:lineRule="exact"/>
        <w:ind w:firstLine="640" w:firstLineChars="200"/>
        <w:rPr>
          <w:rFonts w:ascii="仿宋" w:hAnsi="仿宋" w:eastAsia="仿宋"/>
          <w:color w:val="000000" w:themeColor="text1"/>
          <w:sz w:val="32"/>
          <w:szCs w:val="32"/>
          <w:highlight w:val="yellow"/>
          <w14:textFill>
            <w14:solidFill>
              <w14:schemeClr w14:val="tx1"/>
            </w14:solidFill>
          </w14:textFill>
        </w:rPr>
        <w:sectPr>
          <w:footerReference r:id="rId3" w:type="default"/>
          <w:pgSz w:w="11907" w:h="16860"/>
          <w:pgMar w:top="1418" w:right="1418" w:bottom="1418" w:left="1418" w:header="857" w:footer="999" w:gutter="0"/>
          <w:cols w:space="720" w:num="1"/>
          <w:docGrid w:linePitch="286" w:charSpace="0"/>
        </w:sectPr>
      </w:pPr>
    </w:p>
    <w:p w14:paraId="2F883185">
      <w:pPr>
        <w:pStyle w:val="3"/>
        <w:keepNext w:val="0"/>
        <w:keepLines w:val="0"/>
        <w:spacing w:before="0" w:after="0" w:line="500" w:lineRule="exact"/>
        <w:jc w:val="center"/>
        <w:rPr>
          <w:rFonts w:ascii="仿宋" w:hAnsi="仿宋" w:eastAsia="仿宋"/>
          <w:color w:val="000000" w:themeColor="text1"/>
          <w:sz w:val="32"/>
          <w14:textFill>
            <w14:solidFill>
              <w14:schemeClr w14:val="tx1"/>
            </w14:solidFill>
          </w14:textFill>
        </w:rPr>
      </w:pPr>
      <w:bookmarkStart w:id="475" w:name="_Toc11764"/>
      <w:bookmarkStart w:id="476" w:name="_Toc7189"/>
      <w:bookmarkStart w:id="477" w:name="_Toc18912"/>
      <w:bookmarkStart w:id="478" w:name="_Toc10209"/>
      <w:bookmarkStart w:id="479" w:name="_Toc29484"/>
      <w:bookmarkStart w:id="480" w:name="_Toc209383638"/>
      <w:bookmarkStart w:id="481" w:name="_Toc3709"/>
      <w:bookmarkStart w:id="482" w:name="_Toc2621"/>
      <w:bookmarkStart w:id="483" w:name="_Toc20921"/>
      <w:bookmarkStart w:id="484" w:name="_Toc26529"/>
      <w:bookmarkStart w:id="485" w:name="_Toc11307"/>
      <w:r>
        <w:rPr>
          <w:rFonts w:hint="eastAsia" w:ascii="仿宋" w:hAnsi="仿宋" w:eastAsia="仿宋"/>
          <w:color w:val="000000" w:themeColor="text1"/>
          <w:sz w:val="32"/>
          <w14:textFill>
            <w14:solidFill>
              <w14:schemeClr w14:val="tx1"/>
            </w14:solidFill>
          </w14:textFill>
        </w:rPr>
        <w:t>第二节 商务技术响应要求</w:t>
      </w:r>
      <w:bookmarkEnd w:id="475"/>
      <w:bookmarkEnd w:id="476"/>
      <w:bookmarkEnd w:id="477"/>
      <w:bookmarkEnd w:id="478"/>
      <w:bookmarkEnd w:id="479"/>
      <w:bookmarkEnd w:id="480"/>
      <w:bookmarkEnd w:id="481"/>
      <w:bookmarkEnd w:id="482"/>
      <w:bookmarkEnd w:id="483"/>
      <w:bookmarkEnd w:id="484"/>
      <w:bookmarkEnd w:id="485"/>
    </w:p>
    <w:p w14:paraId="2CF401EA">
      <w:pPr>
        <w:spacing w:line="500" w:lineRule="exac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一、商务要求</w:t>
      </w:r>
    </w:p>
    <w:p w14:paraId="7180232B">
      <w:pPr>
        <w:widowControl/>
        <w:spacing w:line="276" w:lineRule="auto"/>
        <w:ind w:firstLine="480" w:firstLineChars="150"/>
        <w:rPr>
          <w:rFonts w:ascii="仿宋" w:hAnsi="仿宋" w:eastAsia="仿宋"/>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bCs/>
          <w:color w:val="000000" w:themeColor="text1"/>
          <w:sz w:val="32"/>
          <w:szCs w:val="32"/>
          <w14:textFill>
            <w14:solidFill>
              <w14:schemeClr w14:val="tx1"/>
            </w14:solidFill>
          </w14:textFill>
        </w:rPr>
        <w:t>投标人应具备独立的法人资格，提供法人营业执照（副本）复印件</w:t>
      </w:r>
      <w:r>
        <w:rPr>
          <w:rFonts w:ascii="仿宋" w:hAnsi="仿宋" w:eastAsia="仿宋"/>
          <w:bCs/>
          <w:color w:val="000000" w:themeColor="text1"/>
          <w:sz w:val="32"/>
          <w:szCs w:val="32"/>
          <w14:textFill>
            <w14:solidFill>
              <w14:schemeClr w14:val="tx1"/>
            </w14:solidFill>
          </w14:textFill>
        </w:rPr>
        <w:t>(加盖投标人公章)。</w:t>
      </w:r>
    </w:p>
    <w:p w14:paraId="38C1378C">
      <w:pPr>
        <w:widowControl/>
        <w:spacing w:line="276" w:lineRule="auto"/>
        <w:ind w:firstLine="480" w:firstLineChars="15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 xml:space="preserve">★ </w:t>
      </w:r>
      <w:r>
        <w:rPr>
          <w:rFonts w:ascii="仿宋" w:hAnsi="仿宋" w:eastAsia="仿宋"/>
          <w:bCs/>
          <w:color w:val="000000" w:themeColor="text1"/>
          <w:sz w:val="32"/>
          <w:szCs w:val="32"/>
          <w14:textFill>
            <w14:solidFill>
              <w14:schemeClr w14:val="tx1"/>
            </w14:solidFill>
          </w14:textFill>
        </w:rPr>
        <w:t>2、</w:t>
      </w:r>
      <w:r>
        <w:rPr>
          <w:rFonts w:hint="eastAsia" w:ascii="仿宋" w:hAnsi="仿宋" w:eastAsia="仿宋"/>
          <w:bCs/>
          <w:color w:val="000000" w:themeColor="text1"/>
          <w:sz w:val="32"/>
          <w:szCs w:val="32"/>
          <w14:textFill>
            <w14:solidFill>
              <w14:schemeClr w14:val="tx1"/>
            </w14:solidFill>
          </w14:textFill>
        </w:rPr>
        <w:t>投标人授权代表若不是企业法定代表人，应提供法人授权书原件，并提供被授权代表身份证复印件。</w:t>
      </w:r>
    </w:p>
    <w:p w14:paraId="7C65C34F">
      <w:pPr>
        <w:spacing w:line="276" w:lineRule="auto"/>
        <w:ind w:firstLine="480" w:firstLineChars="15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 xml:space="preserve">★ </w:t>
      </w:r>
      <w:r>
        <w:rPr>
          <w:rFonts w:ascii="仿宋" w:hAnsi="仿宋" w:eastAsia="仿宋"/>
          <w:bCs/>
          <w:color w:val="000000" w:themeColor="text1"/>
          <w:sz w:val="32"/>
          <w:szCs w:val="32"/>
          <w14:textFill>
            <w14:solidFill>
              <w14:schemeClr w14:val="tx1"/>
            </w14:solidFill>
          </w14:textFill>
        </w:rPr>
        <w:t>3、</w:t>
      </w:r>
      <w:r>
        <w:rPr>
          <w:rFonts w:hint="eastAsia" w:ascii="仿宋" w:hAnsi="仿宋" w:eastAsia="仿宋"/>
          <w:bCs/>
          <w:color w:val="000000" w:themeColor="text1"/>
          <w:sz w:val="32"/>
          <w:szCs w:val="32"/>
          <w14:textFill>
            <w14:solidFill>
              <w14:schemeClr w14:val="tx1"/>
            </w14:solidFill>
          </w14:textFill>
        </w:rPr>
        <w:t>投标人必须提供自</w:t>
      </w:r>
      <w:r>
        <w:rPr>
          <w:rFonts w:ascii="仿宋" w:hAnsi="仿宋" w:eastAsia="仿宋"/>
          <w:bCs/>
          <w:color w:val="000000" w:themeColor="text1"/>
          <w:sz w:val="32"/>
          <w:szCs w:val="32"/>
          <w14:textFill>
            <w14:solidFill>
              <w14:schemeClr w14:val="tx1"/>
            </w14:solidFill>
          </w14:textFill>
        </w:rPr>
        <w:t>2023年1月1日起至今1个泉州区域建筑垃圾清运类项目的经营业绩经验的有效证明文件（需提供合同的复印件，原件备查）。</w:t>
      </w:r>
    </w:p>
    <w:p w14:paraId="3BE22BE0">
      <w:pPr>
        <w:widowControl/>
        <w:adjustRightInd w:val="0"/>
        <w:snapToGrid w:val="0"/>
        <w:spacing w:beforeLines="25" w:afterLines="25" w:line="276" w:lineRule="auto"/>
        <w:ind w:firstLine="480" w:firstLineChars="150"/>
        <w:rPr>
          <w:rFonts w:ascii="仿宋" w:hAnsi="仿宋" w:eastAsia="仿宋"/>
          <w:bCs/>
          <w:iCs/>
          <w:color w:val="000000" w:themeColor="text1"/>
          <w:sz w:val="32"/>
          <w:szCs w:val="32"/>
          <w14:textFill>
            <w14:solidFill>
              <w14:schemeClr w14:val="tx1"/>
            </w14:solidFill>
          </w14:textFill>
        </w:rPr>
      </w:pPr>
      <w:bookmarkStart w:id="486" w:name="OLE_LINK29"/>
      <w:bookmarkStart w:id="487" w:name="OLE_LINK28"/>
      <w:r>
        <w:rPr>
          <w:rFonts w:hint="eastAsia" w:ascii="仿宋" w:hAnsi="仿宋" w:eastAsia="仿宋"/>
          <w:bCs/>
          <w:color w:val="000000" w:themeColor="text1"/>
          <w:sz w:val="32"/>
          <w:szCs w:val="32"/>
          <w14:textFill>
            <w14:solidFill>
              <w14:schemeClr w14:val="tx1"/>
            </w14:solidFill>
          </w14:textFill>
        </w:rPr>
        <w:t xml:space="preserve">★ </w:t>
      </w:r>
      <w:r>
        <w:rPr>
          <w:rFonts w:ascii="仿宋" w:hAnsi="仿宋" w:eastAsia="仿宋"/>
          <w:bCs/>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参加采购活动前</w:t>
      </w:r>
      <w:r>
        <w:rPr>
          <w:rFonts w:ascii="仿宋" w:hAnsi="仿宋" w:eastAsia="仿宋"/>
          <w:color w:val="000000" w:themeColor="text1"/>
          <w:sz w:val="32"/>
          <w:szCs w:val="32"/>
          <w14:textFill>
            <w14:solidFill>
              <w14:schemeClr w14:val="tx1"/>
            </w14:solidFill>
          </w14:textFill>
        </w:rPr>
        <w:t>3年内在经营活动中没有重大违法记录的书面声明：投标人应提供参加采购活动前三年内在经营活动中没有重大违法记录，也无行贿犯罪记录的书面声明。（“重大违法记录”指投标人因违法经营受到刑事处罚或责令停产停业、吊销许可证或执照、较大数额罚款等行政处罚。）</w:t>
      </w:r>
    </w:p>
    <w:bookmarkEnd w:id="486"/>
    <w:bookmarkEnd w:id="487"/>
    <w:p w14:paraId="7EB5DA1F">
      <w:pPr>
        <w:widowControl/>
        <w:adjustRightInd w:val="0"/>
        <w:snapToGrid w:val="0"/>
        <w:spacing w:beforeLines="25" w:afterLines="25"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二、技术要求</w:t>
      </w:r>
    </w:p>
    <w:p w14:paraId="55BB27FC">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bookmarkStart w:id="488" w:name="OLE_LINK30"/>
      <w:r>
        <w:rPr>
          <w:rFonts w:ascii="仿宋" w:hAnsi="仿宋" w:eastAsia="仿宋"/>
          <w:color w:val="000000" w:themeColor="text1"/>
          <w:sz w:val="32"/>
          <w:szCs w:val="32"/>
          <w14:textFill>
            <w14:solidFill>
              <w14:schemeClr w14:val="tx1"/>
            </w14:solidFill>
          </w14:textFill>
        </w:rPr>
        <w:t>1、投标人提供的服务方案必须满足招标人的实际需求，招标人不再支付因投标人方案不完整而引起的费用。</w:t>
      </w:r>
    </w:p>
    <w:p w14:paraId="18EA6B7F">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投标人应在投标文件中对项目</w:t>
      </w:r>
      <w:r>
        <w:rPr>
          <w:rFonts w:hint="eastAsia" w:ascii="仿宋" w:hAnsi="仿宋" w:eastAsia="仿宋"/>
          <w:color w:val="000000" w:themeColor="text1"/>
          <w:sz w:val="32"/>
          <w:szCs w:val="32"/>
          <w14:textFill>
            <w14:solidFill>
              <w14:schemeClr w14:val="tx1"/>
            </w14:solidFill>
          </w14:textFill>
        </w:rPr>
        <w:t>提供的</w:t>
      </w:r>
      <w:r>
        <w:rPr>
          <w:rFonts w:hint="eastAsia" w:ascii="仿宋" w:hAnsi="仿宋" w:eastAsia="仿宋" w:cs="仿宋_GB2312"/>
          <w:color w:val="000000" w:themeColor="text1"/>
          <w:kern w:val="0"/>
          <w:sz w:val="32"/>
          <w:szCs w:val="32"/>
          <w14:textFill>
            <w14:solidFill>
              <w14:schemeClr w14:val="tx1"/>
            </w14:solidFill>
          </w14:textFill>
        </w:rPr>
        <w:t>服务质量予以保障，保障措施内容需完整，服务过程中的关键节点需有具体质量控制措施，有相应的人力、物力投入安排</w:t>
      </w:r>
      <w:r>
        <w:rPr>
          <w:rFonts w:ascii="仿宋" w:hAnsi="仿宋" w:eastAsia="仿宋"/>
          <w:color w:val="000000" w:themeColor="text1"/>
          <w:sz w:val="32"/>
          <w:szCs w:val="32"/>
          <w14:textFill>
            <w14:solidFill>
              <w14:schemeClr w14:val="tx1"/>
            </w14:solidFill>
          </w14:textFill>
        </w:rPr>
        <w:t>以及售后服务承诺</w:t>
      </w:r>
      <w:r>
        <w:rPr>
          <w:rFonts w:hint="eastAsia" w:ascii="仿宋" w:hAnsi="仿宋" w:eastAsia="仿宋"/>
          <w:color w:val="000000" w:themeColor="text1"/>
          <w:sz w:val="32"/>
          <w:szCs w:val="32"/>
          <w14:textFill>
            <w14:solidFill>
              <w14:schemeClr w14:val="tx1"/>
            </w14:solidFill>
          </w14:textFill>
        </w:rPr>
        <w:t>情况进行详细的书面说明及承诺。</w:t>
      </w:r>
    </w:p>
    <w:p w14:paraId="05E1E6C6">
      <w:pPr>
        <w:widowControl/>
        <w:adjustRightInd w:val="0"/>
        <w:snapToGrid w:val="0"/>
        <w:spacing w:beforeLines="25" w:afterLines="25" w:line="5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若中标后未履行相关承诺，招标人有权扣除投标保证金和其他款项。</w:t>
      </w:r>
    </w:p>
    <w:p w14:paraId="38296160">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3、投标人须提交《安全生产管理协议书》并加盖公章（详见附件）。</w:t>
      </w:r>
    </w:p>
    <w:p w14:paraId="6739A67C">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4、中标人应严格依据投标文件所做承诺履行职责，如有违约，招标人有权根据协议、合同采取措施追究违约方的违约责任。</w:t>
      </w:r>
    </w:p>
    <w:p w14:paraId="0F4CC635">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5、中标人应当按照合同约定履行义务，不得将本项目（转包）给他人，一经发现，招标人有权立即终止合同，并追究中标人的违约责任和要求赔偿。</w:t>
      </w:r>
    </w:p>
    <w:bookmarkEnd w:id="488"/>
    <w:p w14:paraId="1A823379">
      <w:pPr>
        <w:pStyle w:val="3"/>
        <w:keepNext w:val="0"/>
        <w:keepLines w:val="0"/>
        <w:spacing w:before="0" w:after="0" w:line="500" w:lineRule="exact"/>
        <w:jc w:val="center"/>
        <w:rPr>
          <w:rFonts w:ascii="仿宋" w:hAnsi="仿宋" w:eastAsia="仿宋"/>
          <w:color w:val="000000" w:themeColor="text1"/>
          <w:sz w:val="32"/>
          <w14:textFill>
            <w14:solidFill>
              <w14:schemeClr w14:val="tx1"/>
            </w14:solidFill>
          </w14:textFill>
        </w:rPr>
      </w:pPr>
      <w:bookmarkStart w:id="489" w:name="_Toc1434"/>
      <w:bookmarkStart w:id="490" w:name="_Toc19615"/>
      <w:bookmarkStart w:id="491" w:name="_Toc20648"/>
      <w:bookmarkStart w:id="492" w:name="_Toc13412"/>
      <w:bookmarkStart w:id="493" w:name="_Toc468718876"/>
      <w:bookmarkStart w:id="494" w:name="_Toc209383639"/>
      <w:bookmarkStart w:id="495" w:name="_Toc27010"/>
      <w:bookmarkStart w:id="496" w:name="_Toc29099"/>
      <w:bookmarkStart w:id="497" w:name="_Toc19717"/>
      <w:bookmarkStart w:id="498" w:name="_Toc24262"/>
      <w:bookmarkStart w:id="499" w:name="_Toc31160"/>
      <w:bookmarkStart w:id="500" w:name="_Toc30026"/>
      <w:r>
        <w:rPr>
          <w:rFonts w:hint="eastAsia" w:ascii="仿宋" w:hAnsi="仿宋" w:eastAsia="仿宋"/>
          <w:color w:val="000000" w:themeColor="text1"/>
          <w:sz w:val="32"/>
          <w14:textFill>
            <w14:solidFill>
              <w14:schemeClr w14:val="tx1"/>
            </w14:solidFill>
          </w14:textFill>
        </w:rPr>
        <w:t>第三节 报价要求</w:t>
      </w:r>
      <w:bookmarkEnd w:id="489"/>
      <w:bookmarkEnd w:id="490"/>
      <w:bookmarkEnd w:id="491"/>
      <w:bookmarkEnd w:id="492"/>
      <w:bookmarkEnd w:id="493"/>
      <w:bookmarkEnd w:id="494"/>
      <w:bookmarkEnd w:id="495"/>
      <w:bookmarkEnd w:id="496"/>
      <w:bookmarkEnd w:id="497"/>
      <w:bookmarkEnd w:id="498"/>
      <w:bookmarkEnd w:id="499"/>
      <w:bookmarkEnd w:id="500"/>
    </w:p>
    <w:p w14:paraId="4E9A16BC">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bookmarkStart w:id="501" w:name="_Toc306290240"/>
      <w:bookmarkStart w:id="502" w:name="_Toc468718878"/>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、报价以人民币为货币单位，应分单价、小计和总价。</w:t>
      </w:r>
    </w:p>
    <w:p w14:paraId="1B1DEB79">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13339CB6">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、投标人漏报的单价或每单价报价中漏报、少报的费用，视为此项费用已隐含在投标报价中，中标后不得再向招标人收取任何费用。</w:t>
      </w:r>
    </w:p>
    <w:p w14:paraId="51703D78">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、投标人对本项目只能有一个报价，招标人不接受有选择的报价。</w:t>
      </w:r>
    </w:p>
    <w:p w14:paraId="0841665E">
      <w:pPr>
        <w:widowControl/>
        <w:adjustRightInd w:val="0"/>
        <w:snapToGrid w:val="0"/>
        <w:spacing w:beforeLines="25" w:afterLines="25"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、中标人在提供服务的过程中，若出现安全事故，其责任及相应的赔偿均由中标人承担，招标人不承担所有责任及义务。</w:t>
      </w:r>
    </w:p>
    <w:p w14:paraId="24C0C0C7">
      <w:pPr>
        <w:spacing w:line="4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w:t>
      </w:r>
      <w:bookmarkEnd w:id="501"/>
      <w:bookmarkEnd w:id="502"/>
      <w:r>
        <w:rPr>
          <w:rFonts w:hint="eastAsia" w:ascii="仿宋" w:hAnsi="仿宋" w:eastAsia="仿宋"/>
          <w:color w:val="000000" w:themeColor="text1"/>
          <w:sz w:val="32"/>
          <w:szCs w:val="32"/>
          <w14:textFill>
            <w14:solidFill>
              <w14:schemeClr w14:val="tx1"/>
            </w14:solidFill>
          </w14:textFill>
        </w:rPr>
        <w:t>履约保证金：中标人须向招标人缴交履约保证金，履约保证金在双方合同终止、交接清楚和债权债务等关系理顺后30日历天内无息返还。</w:t>
      </w:r>
    </w:p>
    <w:p w14:paraId="6AAC6551">
      <w:pPr>
        <w:spacing w:line="480" w:lineRule="exact"/>
        <w:ind w:firstLine="640" w:firstLineChars="200"/>
        <w:rPr>
          <w:rFonts w:ascii="仿宋" w:hAnsi="仿宋" w:eastAsia="仿宋"/>
          <w:color w:val="000000" w:themeColor="text1"/>
          <w:sz w:val="32"/>
          <w:szCs w:val="32"/>
          <w14:textFill>
            <w14:solidFill>
              <w14:schemeClr w14:val="tx1"/>
            </w14:solidFill>
          </w14:textFill>
        </w:rPr>
      </w:pPr>
    </w:p>
    <w:p w14:paraId="39282975">
      <w:pPr>
        <w:spacing w:line="480" w:lineRule="exact"/>
        <w:rPr>
          <w:rFonts w:ascii="仿宋" w:hAnsi="仿宋" w:eastAsia="仿宋"/>
          <w:color w:val="000000" w:themeColor="text1"/>
          <w:sz w:val="32"/>
          <w:szCs w:val="32"/>
          <w14:textFill>
            <w14:solidFill>
              <w14:schemeClr w14:val="tx1"/>
            </w14:solidFill>
          </w14:textFill>
        </w:rPr>
      </w:pPr>
    </w:p>
    <w:p w14:paraId="394A9B60">
      <w:pPr>
        <w:spacing w:line="480" w:lineRule="exact"/>
        <w:rPr>
          <w:rFonts w:ascii="仿宋" w:hAnsi="仿宋" w:eastAsia="仿宋"/>
          <w:color w:val="000000" w:themeColor="text1"/>
          <w:sz w:val="32"/>
          <w:szCs w:val="32"/>
          <w14:textFill>
            <w14:solidFill>
              <w14:schemeClr w14:val="tx1"/>
            </w14:solidFill>
          </w14:textFill>
        </w:rPr>
      </w:pPr>
    </w:p>
    <w:bookmarkEnd w:id="8"/>
    <w:p w14:paraId="1E8CF7F4">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bookmarkStart w:id="503" w:name="_Toc25453"/>
      <w:bookmarkStart w:id="504" w:name="_Toc21842"/>
      <w:bookmarkStart w:id="505" w:name="_Toc30338"/>
    </w:p>
    <w:p w14:paraId="68AF4465">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p>
    <w:p w14:paraId="28BB64C7">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p>
    <w:p w14:paraId="71674A5D">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p>
    <w:p w14:paraId="4D3766A2">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p>
    <w:p w14:paraId="3E4CBC01">
      <w:pPr>
        <w:pStyle w:val="2"/>
        <w:keepNext w:val="0"/>
        <w:keepLines w:val="0"/>
        <w:spacing w:before="0" w:after="0" w:line="500" w:lineRule="exact"/>
        <w:jc w:val="center"/>
        <w:rPr>
          <w:rFonts w:ascii="仿宋" w:hAnsi="仿宋" w:eastAsia="仿宋"/>
          <w:color w:val="000000" w:themeColor="text1"/>
          <w:szCs w:val="32"/>
          <w14:textFill>
            <w14:solidFill>
              <w14:schemeClr w14:val="tx1"/>
            </w14:solidFill>
          </w14:textFill>
        </w:rPr>
      </w:pPr>
      <w:bookmarkStart w:id="506" w:name="_Toc12872"/>
      <w:bookmarkStart w:id="507" w:name="_Toc209383640"/>
      <w:bookmarkStart w:id="508" w:name="_Toc9738"/>
      <w:bookmarkStart w:id="509" w:name="_Toc19544"/>
      <w:bookmarkStart w:id="510" w:name="_Toc17467"/>
      <w:bookmarkStart w:id="511" w:name="_Toc14435"/>
      <w:bookmarkStart w:id="512" w:name="_Toc2284"/>
      <w:bookmarkStart w:id="513" w:name="_Toc519"/>
      <w:r>
        <w:rPr>
          <w:rFonts w:hint="eastAsia" w:ascii="仿宋" w:hAnsi="仿宋" w:eastAsia="仿宋"/>
          <w:color w:val="000000" w:themeColor="text1"/>
          <w:szCs w:val="32"/>
          <w14:textFill>
            <w14:solidFill>
              <w14:schemeClr w14:val="tx1"/>
            </w14:solidFill>
          </w14:textFill>
        </w:rPr>
        <w:t>第四章</w:t>
      </w:r>
      <w:r>
        <w:rPr>
          <w:rFonts w:ascii="仿宋" w:hAnsi="仿宋" w:eastAsia="仿宋"/>
          <w:color w:val="000000" w:themeColor="text1"/>
          <w:szCs w:val="32"/>
          <w14:textFill>
            <w14:solidFill>
              <w14:schemeClr w14:val="tx1"/>
            </w14:solidFill>
          </w14:textFill>
        </w:rPr>
        <w:t xml:space="preserve">  </w:t>
      </w:r>
      <w:r>
        <w:rPr>
          <w:rFonts w:hint="eastAsia" w:ascii="仿宋" w:hAnsi="仿宋" w:eastAsia="仿宋"/>
          <w:color w:val="000000" w:themeColor="text1"/>
          <w:szCs w:val="32"/>
          <w14:textFill>
            <w14:solidFill>
              <w14:schemeClr w14:val="tx1"/>
            </w14:solidFill>
          </w14:textFill>
        </w:rPr>
        <w:t>投标文件格式</w:t>
      </w:r>
      <w:bookmarkEnd w:id="503"/>
      <w:bookmarkEnd w:id="504"/>
      <w:bookmarkEnd w:id="505"/>
      <w:bookmarkEnd w:id="506"/>
      <w:bookmarkEnd w:id="507"/>
      <w:bookmarkEnd w:id="508"/>
      <w:bookmarkEnd w:id="509"/>
      <w:bookmarkEnd w:id="510"/>
      <w:bookmarkEnd w:id="511"/>
      <w:bookmarkEnd w:id="512"/>
      <w:bookmarkEnd w:id="513"/>
    </w:p>
    <w:p w14:paraId="2652C4F4">
      <w:pPr>
        <w:rPr>
          <w:color w:val="000000" w:themeColor="text1"/>
          <w:sz w:val="32"/>
          <w:szCs w:val="32"/>
          <w14:textFill>
            <w14:solidFill>
              <w14:schemeClr w14:val="tx1"/>
            </w14:solidFill>
          </w14:textFill>
        </w:rPr>
      </w:pPr>
    </w:p>
    <w:p w14:paraId="4C5FFD90">
      <w:pPr>
        <w:spacing w:line="360" w:lineRule="auto"/>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（本章格式文件可供参考，投标人可根据项目实际需求进行编制）</w:t>
      </w:r>
    </w:p>
    <w:p w14:paraId="64930A14">
      <w:pPr>
        <w:pStyle w:val="25"/>
        <w:spacing w:line="360" w:lineRule="auto"/>
        <w:rPr>
          <w:rFonts w:ascii="仿宋" w:hAnsi="仿宋" w:eastAsia="仿宋"/>
          <w:color w:val="000000" w:themeColor="text1"/>
          <w:sz w:val="32"/>
          <w:szCs w:val="32"/>
          <w14:textFill>
            <w14:solidFill>
              <w14:schemeClr w14:val="tx1"/>
            </w14:solidFill>
          </w14:textFill>
        </w:rPr>
      </w:pPr>
    </w:p>
    <w:p w14:paraId="0D2F875F">
      <w:pPr>
        <w:pStyle w:val="25"/>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封面）</w:t>
      </w:r>
    </w:p>
    <w:p w14:paraId="18676EA1">
      <w:pPr>
        <w:spacing w:line="360" w:lineRule="auto"/>
        <w:jc w:val="center"/>
        <w:rPr>
          <w:rFonts w:ascii="仿宋" w:hAnsi="仿宋" w:eastAsia="仿宋"/>
          <w:b/>
          <w:color w:val="000000" w:themeColor="text1"/>
          <w:sz w:val="72"/>
          <w14:textFill>
            <w14:solidFill>
              <w14:schemeClr w14:val="tx1"/>
            </w14:solidFill>
          </w14:textFill>
        </w:rPr>
      </w:pPr>
    </w:p>
    <w:p w14:paraId="152F5A62">
      <w:pPr>
        <w:spacing w:line="360" w:lineRule="auto"/>
        <w:jc w:val="center"/>
        <w:rPr>
          <w:rFonts w:ascii="仿宋" w:hAnsi="仿宋" w:eastAsia="仿宋"/>
          <w:b/>
          <w:color w:val="000000" w:themeColor="text1"/>
          <w:sz w:val="72"/>
          <w14:textFill>
            <w14:solidFill>
              <w14:schemeClr w14:val="tx1"/>
            </w14:solidFill>
          </w14:textFill>
        </w:rPr>
      </w:pPr>
      <w:r>
        <w:rPr>
          <w:rFonts w:hint="eastAsia" w:ascii="仿宋" w:hAnsi="仿宋" w:eastAsia="仿宋"/>
          <w:b/>
          <w:color w:val="000000" w:themeColor="text1"/>
          <w:sz w:val="72"/>
          <w14:textFill>
            <w14:solidFill>
              <w14:schemeClr w14:val="tx1"/>
            </w14:solidFill>
          </w14:textFill>
        </w:rPr>
        <w:t>投  标  文  件</w:t>
      </w:r>
    </w:p>
    <w:p w14:paraId="04E2D651">
      <w:pPr>
        <w:spacing w:line="360" w:lineRule="auto"/>
        <w:rPr>
          <w:rFonts w:ascii="仿宋" w:hAnsi="仿宋" w:eastAsia="仿宋"/>
          <w:b/>
          <w:color w:val="000000" w:themeColor="text1"/>
          <w:sz w:val="36"/>
          <w14:textFill>
            <w14:solidFill>
              <w14:schemeClr w14:val="tx1"/>
            </w14:solidFill>
          </w14:textFill>
        </w:rPr>
      </w:pPr>
    </w:p>
    <w:p w14:paraId="03740295">
      <w:pPr>
        <w:spacing w:line="360" w:lineRule="auto"/>
        <w:ind w:firstLine="1084" w:firstLineChars="300"/>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项 目 名 称：</w:t>
      </w:r>
    </w:p>
    <w:p w14:paraId="142A9942">
      <w:pPr>
        <w:spacing w:line="360" w:lineRule="auto"/>
        <w:ind w:firstLine="1084" w:firstLineChars="300"/>
        <w:rPr>
          <w:rFonts w:ascii="仿宋" w:hAnsi="仿宋" w:eastAsia="仿宋"/>
          <w:b/>
          <w:color w:val="000000" w:themeColor="text1"/>
          <w:sz w:val="36"/>
          <w:u w:val="single"/>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招 标 编 号：</w:t>
      </w:r>
    </w:p>
    <w:p w14:paraId="663B68E5">
      <w:pPr>
        <w:spacing w:line="360" w:lineRule="auto"/>
        <w:rPr>
          <w:rFonts w:ascii="仿宋" w:hAnsi="仿宋" w:eastAsia="仿宋"/>
          <w:b/>
          <w:color w:val="000000" w:themeColor="text1"/>
          <w:sz w:val="36"/>
          <w14:textFill>
            <w14:solidFill>
              <w14:schemeClr w14:val="tx1"/>
            </w14:solidFill>
          </w14:textFill>
        </w:rPr>
      </w:pPr>
    </w:p>
    <w:p w14:paraId="1B1A1FAB">
      <w:pPr>
        <w:spacing w:line="360" w:lineRule="auto"/>
        <w:rPr>
          <w:rFonts w:ascii="仿宋" w:hAnsi="仿宋" w:eastAsia="仿宋"/>
          <w:b/>
          <w:color w:val="000000" w:themeColor="text1"/>
          <w:sz w:val="36"/>
          <w14:textFill>
            <w14:solidFill>
              <w14:schemeClr w14:val="tx1"/>
            </w14:solidFill>
          </w14:textFill>
        </w:rPr>
      </w:pPr>
    </w:p>
    <w:p w14:paraId="0FBE2A30">
      <w:pPr>
        <w:spacing w:line="360" w:lineRule="auto"/>
        <w:rPr>
          <w:rFonts w:ascii="仿宋" w:hAnsi="仿宋" w:eastAsia="仿宋"/>
          <w:b/>
          <w:color w:val="000000" w:themeColor="text1"/>
          <w:sz w:val="36"/>
          <w:u w:val="single"/>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 xml:space="preserve">       投标人名称 ：</w:t>
      </w:r>
    </w:p>
    <w:p w14:paraId="3B1A6FB6">
      <w:pPr>
        <w:spacing w:line="360" w:lineRule="auto"/>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 xml:space="preserve">       日      期 ：</w:t>
      </w:r>
    </w:p>
    <w:p w14:paraId="5FAA8192">
      <w:pPr>
        <w:pStyle w:val="26"/>
        <w:spacing w:line="360" w:lineRule="auto"/>
        <w:jc w:val="left"/>
        <w:rPr>
          <w:rFonts w:ascii="仿宋" w:hAnsi="仿宋" w:eastAsia="仿宋"/>
          <w:b/>
          <w:color w:val="000000" w:themeColor="text1"/>
          <w:sz w:val="24"/>
          <w14:textFill>
            <w14:solidFill>
              <w14:schemeClr w14:val="tx1"/>
            </w14:solidFill>
          </w14:textFill>
        </w:rPr>
      </w:pPr>
    </w:p>
    <w:p w14:paraId="457E819D">
      <w:pPr>
        <w:pStyle w:val="26"/>
        <w:spacing w:line="360" w:lineRule="auto"/>
        <w:jc w:val="left"/>
        <w:rPr>
          <w:rFonts w:ascii="仿宋" w:hAnsi="仿宋" w:eastAsia="仿宋"/>
          <w:b/>
          <w:color w:val="000000" w:themeColor="text1"/>
          <w:sz w:val="24"/>
          <w14:textFill>
            <w14:solidFill>
              <w14:schemeClr w14:val="tx1"/>
            </w14:solidFill>
          </w14:textFill>
        </w:rPr>
      </w:pPr>
    </w:p>
    <w:p w14:paraId="337B0CB8">
      <w:pPr>
        <w:pStyle w:val="5"/>
        <w:snapToGrid w:val="0"/>
        <w:spacing w:line="360" w:lineRule="auto"/>
        <w:ind w:left="0" w:firstLine="3855" w:firstLineChars="1200"/>
        <w:jc w:val="both"/>
        <w:rPr>
          <w:rFonts w:ascii="仿宋" w:hAnsi="仿宋" w:eastAsia="仿宋"/>
          <w:b/>
          <w:bCs/>
          <w:color w:val="000000" w:themeColor="text1"/>
          <w:sz w:val="32"/>
          <w:lang w:eastAsia="zh-CN"/>
          <w14:textFill>
            <w14:solidFill>
              <w14:schemeClr w14:val="tx1"/>
            </w14:solidFill>
          </w14:textFill>
        </w:rPr>
      </w:pPr>
    </w:p>
    <w:p w14:paraId="06EDA257">
      <w:pPr>
        <w:pStyle w:val="5"/>
        <w:snapToGrid w:val="0"/>
        <w:spacing w:line="360" w:lineRule="auto"/>
        <w:ind w:left="0" w:firstLine="3855" w:firstLineChars="1200"/>
        <w:jc w:val="both"/>
        <w:rPr>
          <w:rFonts w:ascii="仿宋" w:hAnsi="仿宋" w:eastAsia="仿宋"/>
          <w:b/>
          <w:bCs/>
          <w:color w:val="000000" w:themeColor="text1"/>
          <w:sz w:val="32"/>
          <w:lang w:eastAsia="zh-CN"/>
          <w14:textFill>
            <w14:solidFill>
              <w14:schemeClr w14:val="tx1"/>
            </w14:solidFill>
          </w14:textFill>
        </w:rPr>
      </w:pPr>
    </w:p>
    <w:p w14:paraId="710A7877">
      <w:pPr>
        <w:pStyle w:val="5"/>
        <w:snapToGrid w:val="0"/>
        <w:spacing w:line="360" w:lineRule="auto"/>
        <w:ind w:left="0" w:firstLine="3855" w:firstLineChars="1200"/>
        <w:jc w:val="both"/>
        <w:rPr>
          <w:rFonts w:ascii="仿宋" w:hAnsi="仿宋" w:eastAsia="仿宋"/>
          <w:b/>
          <w:bCs/>
          <w:color w:val="000000" w:themeColor="text1"/>
          <w:sz w:val="32"/>
          <w:lang w:eastAsia="zh-CN"/>
          <w14:textFill>
            <w14:solidFill>
              <w14:schemeClr w14:val="tx1"/>
            </w14:solidFill>
          </w14:textFill>
        </w:rPr>
      </w:pPr>
    </w:p>
    <w:p w14:paraId="778D57B2">
      <w:pPr>
        <w:pStyle w:val="5"/>
        <w:snapToGrid w:val="0"/>
        <w:spacing w:line="360" w:lineRule="auto"/>
        <w:ind w:left="0" w:firstLine="3855" w:firstLineChars="1200"/>
        <w:jc w:val="both"/>
        <w:rPr>
          <w:rFonts w:ascii="仿宋" w:hAnsi="仿宋" w:eastAsia="仿宋"/>
          <w:b/>
          <w:bCs/>
          <w:color w:val="000000" w:themeColor="text1"/>
          <w:sz w:val="32"/>
          <w:lang w:eastAsia="zh-CN"/>
          <w14:textFill>
            <w14:solidFill>
              <w14:schemeClr w14:val="tx1"/>
            </w14:solidFill>
          </w14:textFill>
        </w:rPr>
      </w:pPr>
    </w:p>
    <w:p w14:paraId="3B089393">
      <w:pPr>
        <w:pStyle w:val="5"/>
        <w:snapToGrid w:val="0"/>
        <w:spacing w:line="360" w:lineRule="auto"/>
        <w:ind w:left="0"/>
        <w:jc w:val="both"/>
        <w:rPr>
          <w:rFonts w:ascii="仿宋" w:hAnsi="仿宋" w:eastAsia="仿宋"/>
          <w:b/>
          <w:bCs/>
          <w:color w:val="000000" w:themeColor="text1"/>
          <w:sz w:val="32"/>
          <w:lang w:eastAsia="zh-CN"/>
          <w14:textFill>
            <w14:solidFill>
              <w14:schemeClr w14:val="tx1"/>
            </w14:solidFill>
          </w14:textFill>
        </w:rPr>
      </w:pPr>
    </w:p>
    <w:p w14:paraId="721DF276">
      <w:pPr>
        <w:pStyle w:val="5"/>
        <w:snapToGrid w:val="0"/>
        <w:spacing w:line="500" w:lineRule="exact"/>
        <w:ind w:left="0" w:firstLine="3855" w:firstLineChars="1200"/>
        <w:jc w:val="both"/>
        <w:rPr>
          <w:rFonts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b/>
          <w:bCs/>
          <w:color w:val="000000" w:themeColor="text1"/>
          <w:sz w:val="32"/>
          <w:szCs w:val="32"/>
          <w:lang w:eastAsia="zh-CN"/>
          <w14:textFill>
            <w14:solidFill>
              <w14:schemeClr w14:val="tx1"/>
            </w14:solidFill>
          </w14:textFill>
        </w:rPr>
        <w:t>目    录</w:t>
      </w:r>
    </w:p>
    <w:p w14:paraId="1EF85603">
      <w:pPr>
        <w:spacing w:line="500" w:lineRule="exact"/>
        <w:rPr>
          <w:rFonts w:ascii="仿宋" w:hAnsi="仿宋" w:eastAsia="仿宋"/>
          <w:color w:val="000000" w:themeColor="text1"/>
          <w:sz w:val="32"/>
          <w:szCs w:val="32"/>
          <w14:textFill>
            <w14:solidFill>
              <w14:schemeClr w14:val="tx1"/>
            </w14:solidFill>
          </w14:textFill>
        </w:rPr>
      </w:pPr>
    </w:p>
    <w:p w14:paraId="1D80F205">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投 标 书</w:t>
      </w:r>
    </w:p>
    <w:p w14:paraId="7FC96D78">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开标一览表</w:t>
      </w:r>
    </w:p>
    <w:p w14:paraId="78DCEC0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 投标人业绩证明</w:t>
      </w:r>
    </w:p>
    <w:p w14:paraId="5B02CE82">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 安全生产管理协议书</w:t>
      </w:r>
    </w:p>
    <w:p w14:paraId="26C00622">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 售后服务承诺函</w:t>
      </w:r>
    </w:p>
    <w:p w14:paraId="1F275DAB">
      <w:pPr>
        <w:spacing w:line="500" w:lineRule="exact"/>
        <w:ind w:left="32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 法人代表授权书</w:t>
      </w:r>
    </w:p>
    <w:p w14:paraId="4EDBFFFC">
      <w:pPr>
        <w:spacing w:line="500" w:lineRule="exact"/>
        <w:ind w:left="32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 法人营业执照</w:t>
      </w:r>
    </w:p>
    <w:p w14:paraId="7BE636B6">
      <w:pPr>
        <w:spacing w:line="500" w:lineRule="exact"/>
        <w:ind w:left="32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 廉洁诚信承诺书</w:t>
      </w:r>
    </w:p>
    <w:p w14:paraId="2EE07548">
      <w:pPr>
        <w:spacing w:line="500" w:lineRule="exact"/>
        <w:ind w:left="320" w:hanging="320" w:hanging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 带“</w:t>
      </w: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号条款逐条响应情况表</w:t>
      </w:r>
    </w:p>
    <w:p w14:paraId="0045946C">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 投标人提交的其它资料</w:t>
      </w:r>
    </w:p>
    <w:p w14:paraId="30222876">
      <w:pPr>
        <w:spacing w:line="440" w:lineRule="exact"/>
        <w:rPr>
          <w:rFonts w:ascii="仿宋" w:hAnsi="仿宋" w:eastAsia="仿宋"/>
          <w:b/>
          <w:color w:val="000000" w:themeColor="text1"/>
          <w:sz w:val="32"/>
          <w:szCs w:val="32"/>
          <w14:textFill>
            <w14:solidFill>
              <w14:schemeClr w14:val="tx1"/>
            </w14:solidFill>
          </w14:textFill>
        </w:rPr>
      </w:pPr>
    </w:p>
    <w:p w14:paraId="5DDB5425">
      <w:pPr>
        <w:spacing w:line="440" w:lineRule="exact"/>
        <w:rPr>
          <w:rFonts w:ascii="仿宋" w:hAnsi="仿宋" w:eastAsia="仿宋"/>
          <w:b/>
          <w:color w:val="000000" w:themeColor="text1"/>
          <w:sz w:val="32"/>
          <w:szCs w:val="32"/>
          <w14:textFill>
            <w14:solidFill>
              <w14:schemeClr w14:val="tx1"/>
            </w14:solidFill>
          </w14:textFill>
        </w:rPr>
      </w:pPr>
    </w:p>
    <w:p w14:paraId="2B118169">
      <w:pPr>
        <w:spacing w:line="440" w:lineRule="exact"/>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t>说明：投标人应按投标文件的实际情况编制目录</w:t>
      </w:r>
    </w:p>
    <w:p w14:paraId="5673BB8A">
      <w:pPr>
        <w:spacing w:line="500" w:lineRule="exact"/>
        <w:rPr>
          <w:rFonts w:ascii="仿宋" w:hAnsi="仿宋" w:eastAsia="仿宋"/>
          <w:b/>
          <w:color w:val="000000" w:themeColor="text1"/>
          <w:sz w:val="32"/>
          <w:szCs w:val="32"/>
          <w14:textFill>
            <w14:solidFill>
              <w14:schemeClr w14:val="tx1"/>
            </w14:solidFill>
          </w14:textFill>
        </w:rPr>
      </w:pPr>
    </w:p>
    <w:p w14:paraId="317635F7">
      <w:pPr>
        <w:spacing w:line="500" w:lineRule="exact"/>
        <w:rPr>
          <w:rFonts w:ascii="仿宋" w:hAnsi="仿宋" w:eastAsia="仿宋"/>
          <w:b/>
          <w:bCs/>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bookmarkStart w:id="514" w:name="_Toc186344305"/>
      <w:r>
        <w:rPr>
          <w:rFonts w:hint="eastAsia" w:ascii="仿宋" w:hAnsi="仿宋" w:eastAsia="仿宋"/>
          <w:b/>
          <w:bCs/>
          <w:color w:val="000000" w:themeColor="text1"/>
          <w:sz w:val="32"/>
          <w:szCs w:val="32"/>
          <w14:textFill>
            <w14:solidFill>
              <w14:schemeClr w14:val="tx1"/>
            </w14:solidFill>
          </w14:textFill>
        </w:rPr>
        <w:t>格式1　　</w:t>
      </w:r>
    </w:p>
    <w:p w14:paraId="2DDB44A9">
      <w:pPr>
        <w:spacing w:line="500" w:lineRule="exact"/>
        <w:rPr>
          <w:rFonts w:ascii="仿宋" w:hAnsi="仿宋" w:eastAsia="仿宋"/>
          <w:b/>
          <w:bCs/>
          <w:color w:val="000000" w:themeColor="text1"/>
          <w:sz w:val="32"/>
          <w:szCs w:val="32"/>
          <w14:textFill>
            <w14:solidFill>
              <w14:schemeClr w14:val="tx1"/>
            </w14:solidFill>
          </w14:textFill>
        </w:rPr>
      </w:pPr>
    </w:p>
    <w:p w14:paraId="4C84EA1E">
      <w:pPr>
        <w:spacing w:line="5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投 标 书</w:t>
      </w:r>
      <w:bookmarkEnd w:id="514"/>
    </w:p>
    <w:p w14:paraId="49F9294B">
      <w:pPr>
        <w:spacing w:line="500" w:lineRule="exact"/>
        <w:rPr>
          <w:rFonts w:ascii="仿宋" w:hAnsi="仿宋" w:eastAsia="仿宋"/>
          <w:color w:val="000000" w:themeColor="text1"/>
          <w:sz w:val="32"/>
          <w:szCs w:val="32"/>
          <w14:textFill>
            <w14:solidFill>
              <w14:schemeClr w14:val="tx1"/>
            </w14:solidFill>
          </w14:textFill>
        </w:rPr>
      </w:pPr>
    </w:p>
    <w:p w14:paraId="50F2D582">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致</w:t>
      </w:r>
      <w:r>
        <w:rPr>
          <w:rFonts w:hint="eastAsia" w:ascii="仿宋" w:hAnsi="仿宋" w:eastAsia="仿宋"/>
          <w:color w:val="000000" w:themeColor="text1"/>
          <w:sz w:val="32"/>
          <w:szCs w:val="32"/>
          <w:u w:val="single"/>
          <w14:textFill>
            <w14:solidFill>
              <w14:schemeClr w14:val="tx1"/>
            </w14:solidFill>
          </w14:textFill>
        </w:rPr>
        <w:t>厦门国贸物业服务有限公司：</w:t>
      </w:r>
    </w:p>
    <w:p w14:paraId="333726D0">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根据贵方为项目的招标要求（招标编号）:</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本签字代表</w:t>
      </w:r>
      <w:r>
        <w:rPr>
          <w:rFonts w:hint="eastAsia" w:ascii="仿宋" w:hAnsi="仿宋" w:eastAsia="仿宋"/>
          <w:color w:val="000000" w:themeColor="text1"/>
          <w:sz w:val="32"/>
          <w:szCs w:val="32"/>
          <w:u w:val="single"/>
          <w14:textFill>
            <w14:solidFill>
              <w14:schemeClr w14:val="tx1"/>
            </w14:solidFill>
          </w14:textFill>
        </w:rPr>
        <w:t>（全名、职务）</w:t>
      </w:r>
      <w:r>
        <w:rPr>
          <w:rFonts w:hint="eastAsia" w:ascii="仿宋" w:hAnsi="仿宋" w:eastAsia="仿宋"/>
          <w:color w:val="000000" w:themeColor="text1"/>
          <w:sz w:val="32"/>
          <w:szCs w:val="32"/>
          <w14:textFill>
            <w14:solidFill>
              <w14:schemeClr w14:val="tx1"/>
            </w14:solidFill>
          </w14:textFill>
        </w:rPr>
        <w:t>正式授权并代表投标人（投标人名称、地址）提交下述文件正本一份和副本一份。</w:t>
      </w:r>
    </w:p>
    <w:tbl>
      <w:tblPr>
        <w:tblStyle w:val="16"/>
        <w:tblW w:w="8928" w:type="dxa"/>
        <w:jc w:val="center"/>
        <w:tblLayout w:type="fixed"/>
        <w:tblCellMar>
          <w:top w:w="0" w:type="dxa"/>
          <w:left w:w="108" w:type="dxa"/>
          <w:bottom w:w="0" w:type="dxa"/>
          <w:right w:w="108" w:type="dxa"/>
        </w:tblCellMar>
      </w:tblPr>
      <w:tblGrid>
        <w:gridCol w:w="4465"/>
        <w:gridCol w:w="4463"/>
      </w:tblGrid>
      <w:tr w14:paraId="5E1F5EA5">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0686111A">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 投标书</w:t>
            </w:r>
          </w:p>
        </w:tc>
        <w:tc>
          <w:tcPr>
            <w:tcW w:w="4463" w:type="dxa"/>
            <w:tcBorders>
              <w:top w:val="single" w:color="auto" w:sz="4" w:space="0"/>
              <w:left w:val="single" w:color="auto" w:sz="4" w:space="0"/>
              <w:bottom w:val="single" w:color="auto" w:sz="4" w:space="0"/>
              <w:right w:val="single" w:color="auto" w:sz="4" w:space="0"/>
            </w:tcBorders>
          </w:tcPr>
          <w:p w14:paraId="24B70565">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 开标一览表</w:t>
            </w:r>
          </w:p>
        </w:tc>
      </w:tr>
      <w:tr w14:paraId="7642F8F2">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0E02D79C">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 投标人业绩证明</w:t>
            </w:r>
          </w:p>
        </w:tc>
        <w:tc>
          <w:tcPr>
            <w:tcW w:w="4463" w:type="dxa"/>
            <w:tcBorders>
              <w:top w:val="single" w:color="auto" w:sz="4" w:space="0"/>
              <w:left w:val="single" w:color="auto" w:sz="4" w:space="0"/>
              <w:bottom w:val="single" w:color="auto" w:sz="4" w:space="0"/>
              <w:right w:val="single" w:color="auto" w:sz="4" w:space="0"/>
            </w:tcBorders>
          </w:tcPr>
          <w:p w14:paraId="408ECD1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 安全生产管理协议书</w:t>
            </w:r>
          </w:p>
        </w:tc>
      </w:tr>
      <w:tr w14:paraId="090FFF45">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vAlign w:val="center"/>
          </w:tcPr>
          <w:p w14:paraId="69243503">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（5）售后服务承诺函</w:t>
            </w:r>
          </w:p>
        </w:tc>
        <w:tc>
          <w:tcPr>
            <w:tcW w:w="4463" w:type="dxa"/>
            <w:tcBorders>
              <w:top w:val="single" w:color="auto" w:sz="4" w:space="0"/>
              <w:left w:val="single" w:color="auto" w:sz="4" w:space="0"/>
              <w:bottom w:val="single" w:color="auto" w:sz="4" w:space="0"/>
              <w:right w:val="single" w:color="auto" w:sz="4" w:space="0"/>
            </w:tcBorders>
          </w:tcPr>
          <w:p w14:paraId="668277ED">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（6）法人代表授权书、法人营业执照、税务登记证</w:t>
            </w:r>
          </w:p>
        </w:tc>
      </w:tr>
      <w:tr w14:paraId="18980CA3">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72FF01D6">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 法人营业执照</w:t>
            </w:r>
          </w:p>
        </w:tc>
        <w:tc>
          <w:tcPr>
            <w:tcW w:w="4463" w:type="dxa"/>
            <w:tcBorders>
              <w:top w:val="single" w:color="auto" w:sz="4" w:space="0"/>
              <w:left w:val="single" w:color="auto" w:sz="4" w:space="0"/>
              <w:bottom w:val="single" w:color="auto" w:sz="4" w:space="0"/>
              <w:right w:val="single" w:color="auto" w:sz="4" w:space="0"/>
            </w:tcBorders>
          </w:tcPr>
          <w:p w14:paraId="743053A8">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 廉洁诚信承诺书</w:t>
            </w:r>
          </w:p>
        </w:tc>
      </w:tr>
      <w:tr w14:paraId="1BB4A0C9">
        <w:tblPrEx>
          <w:tblCellMar>
            <w:top w:w="0" w:type="dxa"/>
            <w:left w:w="108" w:type="dxa"/>
            <w:bottom w:w="0" w:type="dxa"/>
            <w:right w:w="108" w:type="dxa"/>
          </w:tblCellMar>
        </w:tblPrEx>
        <w:trPr>
          <w:trHeight w:val="454" w:hRule="atLeast"/>
          <w:jc w:val="center"/>
        </w:trPr>
        <w:tc>
          <w:tcPr>
            <w:tcW w:w="4465" w:type="dxa"/>
            <w:tcBorders>
              <w:top w:val="single" w:color="auto" w:sz="4" w:space="0"/>
              <w:left w:val="single" w:color="auto" w:sz="4" w:space="0"/>
              <w:bottom w:val="single" w:color="auto" w:sz="4" w:space="0"/>
              <w:right w:val="single" w:color="auto" w:sz="4" w:space="0"/>
            </w:tcBorders>
          </w:tcPr>
          <w:p w14:paraId="2B0025B8">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(9)带“</w:t>
            </w: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号条款逐条响应情况表</w:t>
            </w:r>
          </w:p>
        </w:tc>
        <w:tc>
          <w:tcPr>
            <w:tcW w:w="4463" w:type="dxa"/>
            <w:tcBorders>
              <w:top w:val="single" w:color="auto" w:sz="4" w:space="0"/>
              <w:left w:val="single" w:color="auto" w:sz="4" w:space="0"/>
              <w:bottom w:val="single" w:color="auto" w:sz="4" w:space="0"/>
              <w:right w:val="single" w:color="auto" w:sz="4" w:space="0"/>
            </w:tcBorders>
          </w:tcPr>
          <w:p w14:paraId="6F90F44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 投标人</w:t>
            </w:r>
            <w:r>
              <w:rPr>
                <w:rFonts w:hint="eastAsia" w:ascii="仿宋" w:hAnsi="仿宋" w:eastAsia="仿宋"/>
                <w:bCs/>
                <w:color w:val="000000" w:themeColor="text1"/>
                <w:sz w:val="32"/>
                <w:szCs w:val="32"/>
                <w14:textFill>
                  <w14:solidFill>
                    <w14:schemeClr w14:val="tx1"/>
                  </w14:solidFill>
                </w14:textFill>
              </w:rPr>
              <w:t>提</w:t>
            </w:r>
            <w:r>
              <w:rPr>
                <w:rFonts w:hint="eastAsia" w:ascii="仿宋" w:hAnsi="仿宋" w:eastAsia="仿宋"/>
                <w:color w:val="000000" w:themeColor="text1"/>
                <w:sz w:val="32"/>
                <w:szCs w:val="32"/>
                <w14:textFill>
                  <w14:solidFill>
                    <w14:schemeClr w14:val="tx1"/>
                  </w14:solidFill>
                </w14:textFill>
              </w:rPr>
              <w:t>交的其它资料</w:t>
            </w:r>
          </w:p>
        </w:tc>
      </w:tr>
    </w:tbl>
    <w:p w14:paraId="126C6EC5">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w:t>
      </w:r>
      <w:r>
        <w:rPr>
          <w:rFonts w:hint="eastAsia" w:ascii="仿宋" w:hAnsi="仿宋" w:eastAsia="仿宋"/>
          <w:color w:val="000000" w:themeColor="text1"/>
          <w:sz w:val="32"/>
          <w:szCs w:val="32"/>
          <w:u w:val="single"/>
          <w14:textFill>
            <w14:solidFill>
              <w14:schemeClr w14:val="tx1"/>
            </w14:solidFill>
          </w14:textFill>
        </w:rPr>
        <w:t>转账</w:t>
      </w:r>
      <w:r>
        <w:rPr>
          <w:rFonts w:hint="eastAsia" w:ascii="仿宋" w:hAnsi="仿宋" w:eastAsia="仿宋"/>
          <w:color w:val="000000" w:themeColor="text1"/>
          <w:sz w:val="32"/>
          <w:szCs w:val="32"/>
          <w14:textFill>
            <w14:solidFill>
              <w14:schemeClr w14:val="tx1"/>
            </w14:solidFill>
          </w14:textFill>
        </w:rPr>
        <w:t>方式提供的金额为人民币壹万元的投标保证金</w:t>
      </w:r>
    </w:p>
    <w:p w14:paraId="296E4D50">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据此函，签字代表宣布同意如下：</w:t>
      </w:r>
    </w:p>
    <w:p w14:paraId="332208FF">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1.投标人已详细审查全部招标文件，包括修改文件（如有的话）和有关附件，将自行承担因对全部招标文件理解不正确或误解而产生的相应后果。</w:t>
      </w:r>
    </w:p>
    <w:p w14:paraId="78CE7196">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2.投标人保证遵守招标文件的全部规定，投标人所提交的材料中所含的信息均为真实、准确、完整，且不具有任何误导性。</w:t>
      </w:r>
    </w:p>
    <w:p w14:paraId="75C526FB">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3.投标人将按招标文件的规定履行合同责任和义务。</w:t>
      </w:r>
    </w:p>
    <w:p w14:paraId="6815D46B">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4.本投标文件自开标日起投标有效期为：在招标文件投标人须知前附表第</w:t>
      </w: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项所规定的期限内保持有效。</w:t>
      </w:r>
    </w:p>
    <w:p w14:paraId="676343A9">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5.如果发生招标文件第二章投标人须知第12条所述情况，则同意招标人不予退还投标保证金。</w:t>
      </w:r>
    </w:p>
    <w:p w14:paraId="7459042B">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6.投标人同意提供按照招标人可能要求的与其投标有关的一切数据或资料，完全理解贵方不一定要接受最低的报价或收到的任何投标。</w:t>
      </w:r>
    </w:p>
    <w:p w14:paraId="5E13329C">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 与本投标有关的一切正式往来通讯请寄：</w:t>
      </w:r>
    </w:p>
    <w:p w14:paraId="21E62EB3">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地址：  邮编： </w:t>
      </w:r>
    </w:p>
    <w:p w14:paraId="590F561E">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电话：  传真： </w:t>
      </w:r>
    </w:p>
    <w:p w14:paraId="72D50F6B">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投标人代表签字： </w:t>
      </w:r>
    </w:p>
    <w:p w14:paraId="7F99082D">
      <w:pPr>
        <w:spacing w:line="500" w:lineRule="exact"/>
        <w:ind w:firstLine="640" w:firstLineChars="2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投标人（全称并加盖公章）：</w:t>
      </w:r>
    </w:p>
    <w:p w14:paraId="2C25D6B8">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 年 月 日</w:t>
      </w:r>
    </w:p>
    <w:p w14:paraId="697F0388">
      <w:pPr>
        <w:spacing w:line="500" w:lineRule="exact"/>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br w:type="page"/>
      </w:r>
      <w:r>
        <w:rPr>
          <w:rFonts w:hint="eastAsia" w:ascii="仿宋" w:hAnsi="仿宋" w:eastAsia="仿宋"/>
          <w:b/>
          <w:bCs/>
          <w:color w:val="000000" w:themeColor="text1"/>
          <w:sz w:val="32"/>
          <w:szCs w:val="32"/>
          <w14:textFill>
            <w14:solidFill>
              <w14:schemeClr w14:val="tx1"/>
            </w14:solidFill>
          </w14:textFill>
        </w:rPr>
        <w:t>格式2　</w:t>
      </w:r>
    </w:p>
    <w:p w14:paraId="309E1752">
      <w:pPr>
        <w:spacing w:line="500" w:lineRule="exact"/>
        <w:rPr>
          <w:rFonts w:ascii="仿宋" w:hAnsi="仿宋" w:eastAsia="仿宋"/>
          <w:b/>
          <w:bCs/>
          <w:color w:val="000000" w:themeColor="text1"/>
          <w:sz w:val="32"/>
          <w:szCs w:val="32"/>
          <w14:textFill>
            <w14:solidFill>
              <w14:schemeClr w14:val="tx1"/>
            </w14:solidFill>
          </w14:textFill>
        </w:rPr>
      </w:pPr>
    </w:p>
    <w:p w14:paraId="4B823AE9">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开标一览表</w:t>
      </w:r>
    </w:p>
    <w:p w14:paraId="33560662">
      <w:pPr>
        <w:pStyle w:val="7"/>
        <w:tabs>
          <w:tab w:val="left" w:pos="3996"/>
          <w:tab w:val="left" w:pos="8437"/>
        </w:tabs>
        <w:spacing w:line="500" w:lineRule="exact"/>
        <w:ind w:left="36"/>
        <w:rPr>
          <w:rFonts w:ascii="仿宋" w:hAnsi="仿宋" w:eastAsia="仿宋"/>
          <w:color w:val="000000" w:themeColor="text1"/>
          <w:sz w:val="32"/>
          <w:szCs w:val="32"/>
          <w14:textFill>
            <w14:solidFill>
              <w14:schemeClr w14:val="tx1"/>
            </w14:solidFill>
          </w14:textFill>
        </w:rPr>
      </w:pPr>
    </w:p>
    <w:p w14:paraId="3994BAED">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投标人全称（加盖公章）：</w:t>
      </w:r>
    </w:p>
    <w:p w14:paraId="5AE965D6">
      <w:pPr>
        <w:spacing w:line="50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招标项目：</w:t>
      </w:r>
      <w:r>
        <w:rPr>
          <w:rFonts w:hint="eastAsia" w:ascii="仿宋" w:hAnsi="仿宋" w:eastAsia="仿宋"/>
          <w:color w:val="000000" w:themeColor="text1"/>
          <w:sz w:val="32"/>
          <w:szCs w:val="32"/>
          <w:u w:val="single"/>
          <w14:textFill>
            <w14:solidFill>
              <w14:schemeClr w14:val="tx1"/>
            </w14:solidFill>
          </w14:textFill>
        </w:rPr>
        <w:t>　　　　　　　　　　　　</w:t>
      </w:r>
      <w:r>
        <w:rPr>
          <w:rFonts w:hint="eastAsia" w:ascii="仿宋" w:hAnsi="仿宋" w:eastAsia="仿宋"/>
          <w:color w:val="000000" w:themeColor="text1"/>
          <w:sz w:val="32"/>
          <w:szCs w:val="32"/>
          <w14:textFill>
            <w14:solidFill>
              <w14:schemeClr w14:val="tx1"/>
            </w14:solidFill>
          </w14:textFill>
        </w:rPr>
        <w:t xml:space="preserve">　　　招标编号：  </w:t>
      </w:r>
    </w:p>
    <w:p w14:paraId="77BD110C">
      <w:pPr>
        <w:pStyle w:val="7"/>
        <w:tabs>
          <w:tab w:val="left" w:pos="3996"/>
          <w:tab w:val="left" w:pos="8437"/>
        </w:tabs>
        <w:spacing w:line="500" w:lineRule="exact"/>
        <w:ind w:left="36"/>
        <w:rPr>
          <w:rFonts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货币单位：</w:t>
      </w:r>
    </w:p>
    <w:p w14:paraId="38184B2C">
      <w:pPr>
        <w:spacing w:before="3" w:line="500" w:lineRule="exact"/>
        <w:rPr>
          <w:rFonts w:ascii="仿宋" w:hAnsi="仿宋" w:eastAsia="仿宋"/>
          <w:color w:val="000000" w:themeColor="text1"/>
          <w:sz w:val="32"/>
          <w:szCs w:val="32"/>
          <w14:textFill>
            <w14:solidFill>
              <w14:schemeClr w14:val="tx1"/>
            </w14:solidFill>
          </w14:textFill>
        </w:rPr>
      </w:pPr>
    </w:p>
    <w:tbl>
      <w:tblPr>
        <w:tblStyle w:val="16"/>
        <w:tblW w:w="8958" w:type="dxa"/>
        <w:tblInd w:w="121" w:type="dxa"/>
        <w:tblLayout w:type="fixed"/>
        <w:tblCellMar>
          <w:top w:w="0" w:type="dxa"/>
          <w:left w:w="0" w:type="dxa"/>
          <w:bottom w:w="0" w:type="dxa"/>
          <w:right w:w="0" w:type="dxa"/>
        </w:tblCellMar>
      </w:tblPr>
      <w:tblGrid>
        <w:gridCol w:w="1294"/>
        <w:gridCol w:w="893"/>
        <w:gridCol w:w="1056"/>
        <w:gridCol w:w="1500"/>
        <w:gridCol w:w="1425"/>
        <w:gridCol w:w="1860"/>
        <w:gridCol w:w="930"/>
      </w:tblGrid>
      <w:tr w14:paraId="6A1B4E04">
        <w:tblPrEx>
          <w:tblCellMar>
            <w:top w:w="0" w:type="dxa"/>
            <w:left w:w="0" w:type="dxa"/>
            <w:bottom w:w="0" w:type="dxa"/>
            <w:right w:w="0" w:type="dxa"/>
          </w:tblCellMar>
        </w:tblPrEx>
        <w:trPr>
          <w:trHeight w:val="1442" w:hRule="exact"/>
        </w:trPr>
        <w:tc>
          <w:tcPr>
            <w:tcW w:w="1294" w:type="dxa"/>
            <w:tcBorders>
              <w:top w:val="single" w:color="000000" w:sz="4" w:space="0"/>
              <w:left w:val="single" w:color="000000" w:sz="4" w:space="0"/>
              <w:bottom w:val="single" w:color="000000" w:sz="4" w:space="0"/>
              <w:right w:val="single" w:color="000000" w:sz="4" w:space="0"/>
            </w:tcBorders>
          </w:tcPr>
          <w:p w14:paraId="37E88B69">
            <w:pPr>
              <w:pStyle w:val="27"/>
              <w:spacing w:line="500" w:lineRule="exact"/>
              <w:jc w:val="center"/>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项目名称</w:t>
            </w:r>
          </w:p>
        </w:tc>
        <w:tc>
          <w:tcPr>
            <w:tcW w:w="893" w:type="dxa"/>
            <w:tcBorders>
              <w:top w:val="single" w:color="000000" w:sz="4" w:space="0"/>
              <w:left w:val="single" w:color="000000" w:sz="4" w:space="0"/>
              <w:bottom w:val="single" w:color="000000" w:sz="4" w:space="0"/>
              <w:right w:val="single" w:color="000000" w:sz="4" w:space="0"/>
            </w:tcBorders>
          </w:tcPr>
          <w:p w14:paraId="57B84933">
            <w:pPr>
              <w:pStyle w:val="27"/>
              <w:spacing w:line="500" w:lineRule="exact"/>
              <w:jc w:val="center"/>
              <w:rPr>
                <w:rFonts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lang w:eastAsia="zh-CN"/>
                <w14:textFill>
                  <w14:solidFill>
                    <w14:schemeClr w14:val="tx1"/>
                  </w14:solidFill>
                </w14:textFill>
              </w:rPr>
              <w:t>面积</w:t>
            </w:r>
          </w:p>
        </w:tc>
        <w:tc>
          <w:tcPr>
            <w:tcW w:w="1056" w:type="dxa"/>
            <w:tcBorders>
              <w:top w:val="single" w:color="000000" w:sz="4" w:space="0"/>
              <w:left w:val="single" w:color="000000" w:sz="4" w:space="0"/>
              <w:bottom w:val="single" w:color="000000" w:sz="4" w:space="0"/>
              <w:right w:val="single" w:color="000000" w:sz="4" w:space="0"/>
            </w:tcBorders>
          </w:tcPr>
          <w:p w14:paraId="64046AD9">
            <w:pPr>
              <w:pStyle w:val="27"/>
              <w:spacing w:line="500" w:lineRule="exact"/>
              <w:ind w:right="102"/>
              <w:jc w:val="center"/>
              <w:rPr>
                <w:rFonts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lang w:eastAsia="zh-CN"/>
                <w14:textFill>
                  <w14:solidFill>
                    <w14:schemeClr w14:val="tx1"/>
                  </w14:solidFill>
                </w14:textFill>
              </w:rPr>
              <w:t>单价</w:t>
            </w:r>
          </w:p>
        </w:tc>
        <w:tc>
          <w:tcPr>
            <w:tcW w:w="1500" w:type="dxa"/>
            <w:tcBorders>
              <w:top w:val="single" w:color="000000" w:sz="4" w:space="0"/>
              <w:left w:val="single" w:color="000000" w:sz="4" w:space="0"/>
              <w:bottom w:val="single" w:color="000000" w:sz="4" w:space="0"/>
              <w:right w:val="single" w:color="000000" w:sz="4" w:space="0"/>
            </w:tcBorders>
          </w:tcPr>
          <w:p w14:paraId="30536320">
            <w:pPr>
              <w:pStyle w:val="27"/>
              <w:spacing w:line="500" w:lineRule="exact"/>
              <w:ind w:right="102"/>
              <w:jc w:val="center"/>
              <w:rPr>
                <w:rFonts w:ascii="仿宋" w:hAnsi="仿宋" w:eastAsia="仿宋" w:cs="宋体"/>
                <w:color w:val="000000" w:themeColor="text1"/>
                <w:sz w:val="28"/>
                <w:szCs w:val="28"/>
                <w:lang w:eastAsia="zh-CN"/>
                <w14:textFill>
                  <w14:solidFill>
                    <w14:schemeClr w14:val="tx1"/>
                  </w14:solidFill>
                </w14:textFill>
              </w:rPr>
            </w:pPr>
            <w:r>
              <w:rPr>
                <w:rFonts w:hint="eastAsia" w:ascii="仿宋" w:hAnsi="仿宋" w:eastAsia="仿宋" w:cs="宋体"/>
                <w:color w:val="000000" w:themeColor="text1"/>
                <w:sz w:val="28"/>
                <w:szCs w:val="28"/>
                <w:lang w:eastAsia="zh-CN"/>
                <w14:textFill>
                  <w14:solidFill>
                    <w14:schemeClr w14:val="tx1"/>
                  </w14:solidFill>
                </w14:textFill>
              </w:rPr>
              <w:t>总报价</w:t>
            </w:r>
          </w:p>
        </w:tc>
        <w:tc>
          <w:tcPr>
            <w:tcW w:w="1425" w:type="dxa"/>
            <w:tcBorders>
              <w:top w:val="single" w:color="000000" w:sz="4" w:space="0"/>
              <w:left w:val="single" w:color="000000" w:sz="4" w:space="0"/>
              <w:bottom w:val="single" w:color="000000" w:sz="4" w:space="0"/>
              <w:right w:val="single" w:color="000000" w:sz="4" w:space="0"/>
            </w:tcBorders>
          </w:tcPr>
          <w:p w14:paraId="748A943F">
            <w:pPr>
              <w:pStyle w:val="27"/>
              <w:spacing w:line="50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lang w:eastAsia="zh-CN"/>
                <w14:textFill>
                  <w14:solidFill>
                    <w14:schemeClr w14:val="tx1"/>
                  </w14:solidFill>
                </w14:textFill>
              </w:rPr>
              <w:t>服务</w:t>
            </w:r>
            <w:r>
              <w:rPr>
                <w:rFonts w:ascii="仿宋" w:hAnsi="仿宋" w:eastAsia="仿宋" w:cs="宋体"/>
                <w:color w:val="000000" w:themeColor="text1"/>
                <w:sz w:val="28"/>
                <w:szCs w:val="28"/>
                <w14:textFill>
                  <w14:solidFill>
                    <w14:schemeClr w14:val="tx1"/>
                  </w14:solidFill>
                </w14:textFill>
              </w:rPr>
              <w:t>期</w:t>
            </w:r>
          </w:p>
        </w:tc>
        <w:tc>
          <w:tcPr>
            <w:tcW w:w="1860" w:type="dxa"/>
            <w:tcBorders>
              <w:top w:val="single" w:color="000000" w:sz="4" w:space="0"/>
              <w:left w:val="single" w:color="000000" w:sz="4" w:space="0"/>
              <w:bottom w:val="single" w:color="000000" w:sz="4" w:space="0"/>
              <w:right w:val="single" w:color="000000" w:sz="4" w:space="0"/>
            </w:tcBorders>
          </w:tcPr>
          <w:p w14:paraId="61610B63">
            <w:pPr>
              <w:pStyle w:val="27"/>
              <w:spacing w:line="500" w:lineRule="exact"/>
              <w:ind w:right="107"/>
              <w:jc w:val="center"/>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投标保证金</w:t>
            </w:r>
          </w:p>
        </w:tc>
        <w:tc>
          <w:tcPr>
            <w:tcW w:w="930" w:type="dxa"/>
            <w:tcBorders>
              <w:top w:val="single" w:color="000000" w:sz="4" w:space="0"/>
              <w:left w:val="single" w:color="000000" w:sz="4" w:space="0"/>
              <w:bottom w:val="single" w:color="000000" w:sz="4" w:space="0"/>
              <w:right w:val="single" w:color="000000" w:sz="4" w:space="0"/>
            </w:tcBorders>
          </w:tcPr>
          <w:p w14:paraId="70E5C542">
            <w:pPr>
              <w:pStyle w:val="27"/>
              <w:spacing w:line="500" w:lineRule="exact"/>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备注</w:t>
            </w:r>
          </w:p>
        </w:tc>
      </w:tr>
      <w:tr w14:paraId="2FFB47C5">
        <w:tblPrEx>
          <w:tblCellMar>
            <w:top w:w="0" w:type="dxa"/>
            <w:left w:w="0" w:type="dxa"/>
            <w:bottom w:w="0" w:type="dxa"/>
            <w:right w:w="0" w:type="dxa"/>
          </w:tblCellMar>
        </w:tblPrEx>
        <w:trPr>
          <w:trHeight w:val="1632" w:hRule="exact"/>
        </w:trPr>
        <w:tc>
          <w:tcPr>
            <w:tcW w:w="1294" w:type="dxa"/>
            <w:tcBorders>
              <w:top w:val="single" w:color="000000" w:sz="4" w:space="0"/>
              <w:left w:val="single" w:color="000000" w:sz="4" w:space="0"/>
              <w:bottom w:val="single" w:color="000000" w:sz="4" w:space="0"/>
              <w:right w:val="single" w:color="000000" w:sz="4" w:space="0"/>
            </w:tcBorders>
          </w:tcPr>
          <w:p w14:paraId="1DD021CD">
            <w:pPr>
              <w:spacing w:line="500" w:lineRule="exact"/>
              <w:rPr>
                <w:rFonts w:ascii="仿宋" w:hAnsi="仿宋" w:eastAsia="仿宋"/>
                <w:color w:val="000000" w:themeColor="text1"/>
                <w:sz w:val="28"/>
                <w:szCs w:val="28"/>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Pr>
          <w:p w14:paraId="422B27A9">
            <w:pPr>
              <w:spacing w:line="500" w:lineRule="exact"/>
              <w:rPr>
                <w:rFonts w:ascii="仿宋" w:hAnsi="仿宋" w:eastAsia="仿宋"/>
                <w:color w:val="000000" w:themeColor="text1"/>
                <w:sz w:val="28"/>
                <w:szCs w:val="28"/>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tcPr>
          <w:p w14:paraId="6D1523C0">
            <w:pPr>
              <w:spacing w:line="500" w:lineRule="exact"/>
              <w:rPr>
                <w:rFonts w:ascii="仿宋" w:hAnsi="仿宋" w:eastAsia="仿宋"/>
                <w:color w:val="000000" w:themeColor="text1"/>
                <w:sz w:val="28"/>
                <w:szCs w:val="28"/>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tcPr>
          <w:p w14:paraId="6461382D">
            <w:pPr>
              <w:spacing w:line="500" w:lineRule="exact"/>
              <w:rPr>
                <w:rFonts w:ascii="仿宋" w:hAnsi="仿宋" w:eastAsia="仿宋"/>
                <w:color w:val="000000" w:themeColor="text1"/>
                <w:sz w:val="28"/>
                <w:szCs w:val="28"/>
                <w14:textFill>
                  <w14:solidFill>
                    <w14:schemeClr w14:val="tx1"/>
                  </w14:solidFill>
                </w14:textFill>
              </w:rPr>
            </w:pPr>
          </w:p>
        </w:tc>
        <w:tc>
          <w:tcPr>
            <w:tcW w:w="1425" w:type="dxa"/>
            <w:tcBorders>
              <w:top w:val="single" w:color="000000" w:sz="4" w:space="0"/>
              <w:left w:val="single" w:color="000000" w:sz="4" w:space="0"/>
              <w:bottom w:val="single" w:color="000000" w:sz="4" w:space="0"/>
              <w:right w:val="single" w:color="000000" w:sz="4" w:space="0"/>
            </w:tcBorders>
          </w:tcPr>
          <w:p w14:paraId="2BED9472">
            <w:pPr>
              <w:spacing w:line="500" w:lineRule="exact"/>
              <w:rPr>
                <w:rFonts w:ascii="仿宋" w:hAnsi="仿宋" w:eastAsia="仿宋"/>
                <w:color w:val="000000" w:themeColor="text1"/>
                <w:sz w:val="28"/>
                <w:szCs w:val="28"/>
                <w14:textFill>
                  <w14:solidFill>
                    <w14:schemeClr w14:val="tx1"/>
                  </w14:solidFill>
                </w14:textFill>
              </w:rPr>
            </w:pPr>
          </w:p>
        </w:tc>
        <w:tc>
          <w:tcPr>
            <w:tcW w:w="1860" w:type="dxa"/>
            <w:tcBorders>
              <w:top w:val="single" w:color="000000" w:sz="4" w:space="0"/>
              <w:left w:val="single" w:color="000000" w:sz="4" w:space="0"/>
              <w:bottom w:val="single" w:color="000000" w:sz="4" w:space="0"/>
              <w:right w:val="single" w:color="000000" w:sz="4" w:space="0"/>
            </w:tcBorders>
          </w:tcPr>
          <w:p w14:paraId="58643D3C">
            <w:pPr>
              <w:spacing w:line="500" w:lineRule="exact"/>
              <w:rPr>
                <w:rFonts w:ascii="仿宋" w:hAnsi="仿宋" w:eastAsia="仿宋"/>
                <w:color w:val="000000" w:themeColor="text1"/>
                <w:sz w:val="28"/>
                <w:szCs w:val="28"/>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tcPr>
          <w:p w14:paraId="5591516D">
            <w:pPr>
              <w:spacing w:line="500" w:lineRule="exact"/>
              <w:rPr>
                <w:rFonts w:ascii="仿宋" w:hAnsi="仿宋" w:eastAsia="仿宋"/>
                <w:color w:val="000000" w:themeColor="text1"/>
                <w:sz w:val="28"/>
                <w:szCs w:val="28"/>
                <w14:textFill>
                  <w14:solidFill>
                    <w14:schemeClr w14:val="tx1"/>
                  </w14:solidFill>
                </w14:textFill>
              </w:rPr>
            </w:pPr>
          </w:p>
        </w:tc>
      </w:tr>
    </w:tbl>
    <w:p w14:paraId="675F12A0">
      <w:pPr>
        <w:pStyle w:val="7"/>
        <w:spacing w:line="500" w:lineRule="exact"/>
        <w:rPr>
          <w:rFonts w:ascii="仿宋" w:hAnsi="仿宋" w:eastAsia="仿宋"/>
          <w:color w:val="000000" w:themeColor="text1"/>
          <w:sz w:val="32"/>
          <w:szCs w:val="32"/>
          <w14:textFill>
            <w14:solidFill>
              <w14:schemeClr w14:val="tx1"/>
            </w14:solidFill>
          </w14:textFill>
        </w:rPr>
      </w:pPr>
    </w:p>
    <w:p w14:paraId="2A7A4E6A">
      <w:pPr>
        <w:pStyle w:val="7"/>
        <w:spacing w:line="50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注：详细报价清单应另纸详列。</w:t>
      </w:r>
    </w:p>
    <w:p w14:paraId="3B4B6121">
      <w:pPr>
        <w:pStyle w:val="7"/>
        <w:tabs>
          <w:tab w:val="left" w:pos="4340"/>
        </w:tabs>
        <w:spacing w:before="25" w:line="500" w:lineRule="exact"/>
        <w:ind w:right="946"/>
        <w:rPr>
          <w:rFonts w:ascii="仿宋" w:hAnsi="仿宋" w:eastAsia="仿宋"/>
          <w:color w:val="000000" w:themeColor="text1"/>
          <w:sz w:val="32"/>
          <w:szCs w:val="32"/>
          <w14:textFill>
            <w14:solidFill>
              <w14:schemeClr w14:val="tx1"/>
            </w14:solidFill>
          </w14:textFill>
        </w:rPr>
      </w:pPr>
    </w:p>
    <w:p w14:paraId="395DD281">
      <w:pPr>
        <w:spacing w:line="5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投标人（全称并加盖公章）：</w:t>
      </w:r>
    </w:p>
    <w:p w14:paraId="33E78EF2">
      <w:pPr>
        <w:spacing w:line="500" w:lineRule="exact"/>
        <w:ind w:firstLine="320" w:firstLineChars="1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投标人代表签字： </w:t>
      </w:r>
    </w:p>
    <w:p w14:paraId="1E2419B6">
      <w:pPr>
        <w:spacing w:line="5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0B4302BB">
      <w:pPr>
        <w:spacing w:line="500" w:lineRule="exact"/>
        <w:rPr>
          <w:rFonts w:ascii="仿宋" w:hAnsi="仿宋" w:eastAsia="仿宋"/>
          <w:color w:val="000000" w:themeColor="text1"/>
          <w:sz w:val="32"/>
          <w:szCs w:val="32"/>
          <w14:textFill>
            <w14:solidFill>
              <w14:schemeClr w14:val="tx1"/>
            </w14:solidFill>
          </w14:textFill>
        </w:rPr>
        <w:sectPr>
          <w:footerReference r:id="rId4" w:type="default"/>
          <w:pgSz w:w="11907" w:h="16840"/>
          <w:pgMar w:top="1418" w:right="1418" w:bottom="1418" w:left="1418" w:header="857" w:footer="999" w:gutter="0"/>
          <w:cols w:space="720" w:num="1"/>
          <w:docGrid w:linePitch="286" w:charSpace="0"/>
        </w:sectPr>
      </w:pPr>
    </w:p>
    <w:p w14:paraId="2B1BA444">
      <w:pPr>
        <w:spacing w:line="500" w:lineRule="exact"/>
        <w:rPr>
          <w:rFonts w:ascii="仿宋" w:hAnsi="仿宋" w:eastAsia="仿宋"/>
          <w:b/>
          <w:bCs/>
          <w:color w:val="000000" w:themeColor="text1"/>
          <w:sz w:val="32"/>
          <w:szCs w:val="32"/>
          <w14:textFill>
            <w14:solidFill>
              <w14:schemeClr w14:val="tx1"/>
            </w14:solidFill>
          </w14:textFill>
        </w:rPr>
      </w:pPr>
      <w:bookmarkStart w:id="515" w:name="_bookmark30"/>
      <w:bookmarkEnd w:id="515"/>
      <w:r>
        <w:rPr>
          <w:rFonts w:hint="eastAsia" w:ascii="仿宋" w:hAnsi="仿宋" w:eastAsia="仿宋"/>
          <w:b/>
          <w:bCs/>
          <w:color w:val="000000" w:themeColor="text1"/>
          <w:sz w:val="32"/>
          <w:szCs w:val="32"/>
          <w14:textFill>
            <w14:solidFill>
              <w14:schemeClr w14:val="tx1"/>
            </w14:solidFill>
          </w14:textFill>
        </w:rPr>
        <w:t>格式3</w:t>
      </w:r>
    </w:p>
    <w:p w14:paraId="72A8127A">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投标人业绩证明</w:t>
      </w:r>
    </w:p>
    <w:tbl>
      <w:tblPr>
        <w:tblStyle w:val="16"/>
        <w:tblpPr w:leftFromText="180" w:rightFromText="180" w:vertAnchor="page" w:horzAnchor="margin" w:tblpXSpec="center" w:tblpY="2800"/>
        <w:tblW w:w="9237" w:type="dxa"/>
        <w:jc w:val="center"/>
        <w:tblLayout w:type="fixed"/>
        <w:tblCellMar>
          <w:top w:w="0" w:type="dxa"/>
          <w:left w:w="108" w:type="dxa"/>
          <w:bottom w:w="0" w:type="dxa"/>
          <w:right w:w="108" w:type="dxa"/>
        </w:tblCellMar>
      </w:tblPr>
      <w:tblGrid>
        <w:gridCol w:w="902"/>
        <w:gridCol w:w="1435"/>
        <w:gridCol w:w="1440"/>
        <w:gridCol w:w="1680"/>
        <w:gridCol w:w="1920"/>
        <w:gridCol w:w="1860"/>
      </w:tblGrid>
      <w:tr w14:paraId="427D413A">
        <w:tblPrEx>
          <w:tblCellMar>
            <w:top w:w="0" w:type="dxa"/>
            <w:left w:w="108" w:type="dxa"/>
            <w:bottom w:w="0" w:type="dxa"/>
            <w:right w:w="108" w:type="dxa"/>
          </w:tblCellMar>
        </w:tblPrEx>
        <w:trPr>
          <w:trHeight w:val="36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78B1D05">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序号</w:t>
            </w:r>
          </w:p>
        </w:tc>
        <w:tc>
          <w:tcPr>
            <w:tcW w:w="1435" w:type="dxa"/>
            <w:tcBorders>
              <w:top w:val="single" w:color="auto" w:sz="4" w:space="0"/>
              <w:left w:val="nil"/>
              <w:bottom w:val="single" w:color="auto" w:sz="4" w:space="0"/>
              <w:right w:val="single" w:color="auto" w:sz="4" w:space="0"/>
            </w:tcBorders>
            <w:shd w:val="clear" w:color="auto" w:fill="auto"/>
            <w:vAlign w:val="center"/>
          </w:tcPr>
          <w:p w14:paraId="66556FD1">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项目名称</w:t>
            </w:r>
          </w:p>
        </w:tc>
        <w:tc>
          <w:tcPr>
            <w:tcW w:w="1440" w:type="dxa"/>
            <w:tcBorders>
              <w:top w:val="single" w:color="auto" w:sz="4" w:space="0"/>
              <w:left w:val="nil"/>
              <w:bottom w:val="single" w:color="auto" w:sz="4" w:space="0"/>
              <w:right w:val="single" w:color="auto" w:sz="4" w:space="0"/>
            </w:tcBorders>
            <w:shd w:val="clear" w:color="auto" w:fill="auto"/>
            <w:vAlign w:val="center"/>
          </w:tcPr>
          <w:p w14:paraId="784DC513">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项目类型</w:t>
            </w:r>
          </w:p>
        </w:tc>
        <w:tc>
          <w:tcPr>
            <w:tcW w:w="1680" w:type="dxa"/>
            <w:tcBorders>
              <w:top w:val="single" w:color="auto" w:sz="4" w:space="0"/>
              <w:left w:val="nil"/>
              <w:bottom w:val="single" w:color="auto" w:sz="4" w:space="0"/>
              <w:right w:val="single" w:color="auto" w:sz="4" w:space="0"/>
            </w:tcBorders>
            <w:shd w:val="clear" w:color="auto" w:fill="auto"/>
            <w:vAlign w:val="center"/>
          </w:tcPr>
          <w:p w14:paraId="42FBE202">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项目地址</w:t>
            </w:r>
          </w:p>
        </w:tc>
        <w:tc>
          <w:tcPr>
            <w:tcW w:w="1920" w:type="dxa"/>
            <w:tcBorders>
              <w:top w:val="single" w:color="auto" w:sz="4" w:space="0"/>
              <w:left w:val="nil"/>
              <w:bottom w:val="single" w:color="auto" w:sz="4" w:space="0"/>
              <w:right w:val="single" w:color="auto" w:sz="4" w:space="0"/>
            </w:tcBorders>
            <w:shd w:val="clear" w:color="auto" w:fill="auto"/>
            <w:vAlign w:val="center"/>
          </w:tcPr>
          <w:p w14:paraId="4D455838">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建筑面积</w:t>
            </w:r>
          </w:p>
        </w:tc>
        <w:tc>
          <w:tcPr>
            <w:tcW w:w="1860" w:type="dxa"/>
            <w:tcBorders>
              <w:top w:val="single" w:color="auto" w:sz="4" w:space="0"/>
              <w:left w:val="nil"/>
              <w:bottom w:val="single" w:color="auto" w:sz="4" w:space="0"/>
              <w:right w:val="single" w:color="auto" w:sz="4" w:space="0"/>
            </w:tcBorders>
            <w:shd w:val="clear" w:color="auto" w:fill="auto"/>
            <w:vAlign w:val="center"/>
          </w:tcPr>
          <w:p w14:paraId="3BA8FEBB">
            <w:pPr>
              <w:widowControl/>
              <w:spacing w:line="360" w:lineRule="auto"/>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服务期限</w:t>
            </w:r>
          </w:p>
        </w:tc>
      </w:tr>
      <w:tr w14:paraId="3C6035F7">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749AF27">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36A5029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2AE0C8A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E6E0CE0">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8A653FF">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82D5001">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0DA28E4A">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0C7258E8">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373F95B7">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0C6D444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068FBCAA">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1B0799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4D0D71F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417669AE">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7B539C6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56297C55">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E86FD1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625A364A">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21986B4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C93082E">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6F336A38">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0521F202">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62AA086E">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5AAF653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3248ACE1">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53E90B7">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67A2294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065E5F01">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71CC4AD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213F461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352C429F">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1935DC23">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18AD942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5581406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4B91DC41">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150EBF02">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51DFE3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693CF69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D8BC51C">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9A9D368">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73378CF8">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4C05666B">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2214B5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143F75B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843D1AD">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654D3242">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581731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02ED3503">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258583C6">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600263F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87A7584">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306969C4">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8E2B7E6">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657B2F45">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19B9972E">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53CBE537">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1660292E">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5D8EA2EF">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76A01D4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4DB8FA6">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3407E4C0">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0BA7AC07">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62996474">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52696055">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2BF605E3">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02559D40">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2D2048B3">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5AB424F5">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738181A4">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341B48FE">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3506A241">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4E67190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2E30AD72">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5D498E6B">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1DA2DD48">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4E76A6B6">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14:paraId="208B2B05">
        <w:tblPrEx>
          <w:tblCellMar>
            <w:top w:w="0" w:type="dxa"/>
            <w:left w:w="108" w:type="dxa"/>
            <w:bottom w:w="0" w:type="dxa"/>
            <w:right w:w="108" w:type="dxa"/>
          </w:tblCellMar>
        </w:tblPrEx>
        <w:trPr>
          <w:trHeight w:val="364" w:hRule="atLeast"/>
          <w:jc w:val="center"/>
        </w:trPr>
        <w:tc>
          <w:tcPr>
            <w:tcW w:w="902" w:type="dxa"/>
            <w:tcBorders>
              <w:top w:val="nil"/>
              <w:left w:val="single" w:color="auto" w:sz="4" w:space="0"/>
              <w:bottom w:val="single" w:color="auto" w:sz="4" w:space="0"/>
              <w:right w:val="single" w:color="auto" w:sz="4" w:space="0"/>
            </w:tcBorders>
            <w:shd w:val="clear" w:color="auto" w:fill="auto"/>
            <w:vAlign w:val="center"/>
          </w:tcPr>
          <w:p w14:paraId="440B9D6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35" w:type="dxa"/>
            <w:tcBorders>
              <w:top w:val="nil"/>
              <w:left w:val="nil"/>
              <w:bottom w:val="single" w:color="auto" w:sz="4" w:space="0"/>
              <w:right w:val="single" w:color="auto" w:sz="4" w:space="0"/>
            </w:tcBorders>
            <w:shd w:val="clear" w:color="auto" w:fill="auto"/>
            <w:vAlign w:val="center"/>
          </w:tcPr>
          <w:p w14:paraId="0705239A">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440" w:type="dxa"/>
            <w:tcBorders>
              <w:top w:val="nil"/>
              <w:left w:val="nil"/>
              <w:bottom w:val="single" w:color="auto" w:sz="4" w:space="0"/>
              <w:right w:val="single" w:color="auto" w:sz="4" w:space="0"/>
            </w:tcBorders>
            <w:shd w:val="clear" w:color="auto" w:fill="auto"/>
            <w:vAlign w:val="center"/>
          </w:tcPr>
          <w:p w14:paraId="4E4E1D09">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680" w:type="dxa"/>
            <w:tcBorders>
              <w:top w:val="nil"/>
              <w:left w:val="nil"/>
              <w:bottom w:val="single" w:color="auto" w:sz="4" w:space="0"/>
              <w:right w:val="single" w:color="auto" w:sz="4" w:space="0"/>
            </w:tcBorders>
            <w:shd w:val="clear" w:color="auto" w:fill="auto"/>
            <w:vAlign w:val="center"/>
          </w:tcPr>
          <w:p w14:paraId="72EBF529">
            <w:pPr>
              <w:widowControl/>
              <w:spacing w:line="360" w:lineRule="auto"/>
              <w:jc w:val="left"/>
              <w:rPr>
                <w:rFonts w:ascii="宋体" w:hAnsi="宋体" w:cs="宋体"/>
                <w:color w:val="000000" w:themeColor="text1"/>
                <w:kern w:val="0"/>
                <w:sz w:val="24"/>
                <w14:textFill>
                  <w14:solidFill>
                    <w14:schemeClr w14:val="tx1"/>
                  </w14:solidFill>
                </w14:textFill>
              </w:rPr>
            </w:pPr>
          </w:p>
        </w:tc>
        <w:tc>
          <w:tcPr>
            <w:tcW w:w="1920" w:type="dxa"/>
            <w:tcBorders>
              <w:top w:val="nil"/>
              <w:left w:val="nil"/>
              <w:bottom w:val="single" w:color="auto" w:sz="4" w:space="0"/>
              <w:right w:val="single" w:color="auto" w:sz="4" w:space="0"/>
            </w:tcBorders>
            <w:shd w:val="clear" w:color="auto" w:fill="auto"/>
            <w:vAlign w:val="center"/>
          </w:tcPr>
          <w:p w14:paraId="7BB2C56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c>
          <w:tcPr>
            <w:tcW w:w="1860" w:type="dxa"/>
            <w:tcBorders>
              <w:top w:val="nil"/>
              <w:left w:val="nil"/>
              <w:bottom w:val="single" w:color="auto" w:sz="4" w:space="0"/>
              <w:right w:val="single" w:color="auto" w:sz="4" w:space="0"/>
            </w:tcBorders>
            <w:shd w:val="clear" w:color="auto" w:fill="auto"/>
            <w:vAlign w:val="center"/>
          </w:tcPr>
          <w:p w14:paraId="6BFEE3BF">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bl>
    <w:p w14:paraId="1C6D9454">
      <w:pPr>
        <w:pStyle w:val="9"/>
        <w:spacing w:line="360" w:lineRule="auto"/>
        <w:ind w:firstLine="411" w:firstLineChars="147"/>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投标人承诺以上项目为投标人实际建筑垃圾清运的工程项目。如投标人成为本次项目的中标人，接受招标人对上述项目的现场核实。</w:t>
      </w:r>
    </w:p>
    <w:p w14:paraId="487F16F9">
      <w:pPr>
        <w:pStyle w:val="9"/>
        <w:spacing w:line="360" w:lineRule="auto"/>
        <w:ind w:firstLine="411" w:firstLineChars="147"/>
        <w:rPr>
          <w:rFonts w:ascii="仿宋" w:hAnsi="仿宋" w:eastAsia="仿宋"/>
          <w:bCs/>
          <w:color w:val="000000" w:themeColor="text1"/>
          <w:sz w:val="28"/>
          <w:szCs w:val="28"/>
          <w14:textFill>
            <w14:solidFill>
              <w14:schemeClr w14:val="tx1"/>
            </w14:solidFill>
          </w14:textFill>
        </w:rPr>
      </w:pPr>
    </w:p>
    <w:p w14:paraId="325D74AA">
      <w:pPr>
        <w:spacing w:line="5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投标人（全称并加盖公章）：</w:t>
      </w:r>
    </w:p>
    <w:p w14:paraId="6C6EDEF4">
      <w:pPr>
        <w:spacing w:line="500" w:lineRule="exact"/>
        <w:ind w:firstLine="320" w:firstLineChars="1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投标人代表签字： </w:t>
      </w:r>
    </w:p>
    <w:p w14:paraId="02ABB63A">
      <w:pPr>
        <w:spacing w:line="50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65342A5F">
      <w:pPr>
        <w:jc w:val="left"/>
        <w:rPr>
          <w:rFonts w:ascii="仿宋" w:hAnsi="仿宋" w:eastAsia="仿宋"/>
          <w:b/>
          <w:bCs/>
          <w:color w:val="000000" w:themeColor="text1"/>
          <w:sz w:val="32"/>
          <w:szCs w:val="32"/>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br w:type="page"/>
      </w:r>
      <w:r>
        <w:rPr>
          <w:rFonts w:hint="eastAsia" w:ascii="仿宋" w:hAnsi="仿宋" w:eastAsia="仿宋"/>
          <w:b/>
          <w:bCs/>
          <w:color w:val="000000" w:themeColor="text1"/>
          <w:sz w:val="32"/>
          <w:szCs w:val="32"/>
          <w14:textFill>
            <w14:solidFill>
              <w14:schemeClr w14:val="tx1"/>
            </w14:solidFill>
          </w14:textFill>
        </w:rPr>
        <w:t>格式4</w:t>
      </w:r>
    </w:p>
    <w:p w14:paraId="01334BDE">
      <w:pPr>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安全生产管理协议书</w:t>
      </w:r>
    </w:p>
    <w:p w14:paraId="710207D7">
      <w:pPr>
        <w:jc w:val="center"/>
        <w:rPr>
          <w:rFonts w:ascii="仿宋" w:hAnsi="仿宋" w:eastAsia="仿宋" w:cs="仿宋"/>
          <w:color w:val="000000" w:themeColor="text1"/>
          <w:sz w:val="32"/>
          <w:szCs w:val="32"/>
          <w14:textFill>
            <w14:solidFill>
              <w14:schemeClr w14:val="tx1"/>
            </w14:solidFill>
          </w14:textFill>
        </w:rPr>
      </w:pPr>
    </w:p>
    <w:p w14:paraId="44F33E8C">
      <w:pPr>
        <w:spacing w:line="5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建筑垃圾清运□其他____________），经甲乙双方协商，签订安全生产管理协议如下：</w:t>
      </w:r>
    </w:p>
    <w:p w14:paraId="3065C677">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一、乙方应加强对现场工作人员的安全教育，提高现场工作人员的安全意识和安全技术水平。</w:t>
      </w:r>
    </w:p>
    <w:p w14:paraId="392DF69F">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二、乙方人员作业携带的设备及用具，符合国家和企业安全规程要求，特种作业人员须持有效证件操作。</w:t>
      </w:r>
    </w:p>
    <w:p w14:paraId="6EA55C49">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14:paraId="0E89FFEA">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14:paraId="3F193DED">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五、乙方对作业人员投保相关的安全责任险。</w:t>
      </w:r>
    </w:p>
    <w:p w14:paraId="561CE73E">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乙方认真执行国家、行业等相关作业的安全技术操作规程。作业时，与甲方项目负责人保持密切联系，如作业需要动用甲方水、电和其它设备设施或进行危险作业（拆除、吊装、危险搬运、登高作业、动火、临时用电、电气安装、切割焊接、绿化修剪、消杀作业等），必须与甲方办理相关手续后实施，接水、接电必须由甲方或甲方指定人员操作。未经甲方允许，乙方不得擅自使用和移动甲方的设备设施，否则所发生的一切后果由乙方承担。</w:t>
      </w:r>
    </w:p>
    <w:p w14:paraId="27377113">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七、在高温、大风等不良气候条件下作业时，乙方自备防高温、防风、防雨、防雷击等安全措施，确保安全作业。</w:t>
      </w:r>
    </w:p>
    <w:p w14:paraId="7157EC8D">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八、乙方作业人员不得擅自进入业主的非作业区域，若因作业需要临时进入业主非作业区域，应向甲方专业负责人办理登记手续、取得业主同意后才可入内，进入人员须严格遵守业主各项规章制度。</w:t>
      </w:r>
    </w:p>
    <w:p w14:paraId="1DFB6D4C">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九、作业过程中，乙方注意作业现场地下管线及高低压架空线路的保护。甲方项目对口负责人对地下管线和障碍物应详细交底，乙方应遵守交底要求，如遇有情况，应及时向甲方和有关部门联系，采取保护措施。</w:t>
      </w:r>
    </w:p>
    <w:p w14:paraId="610B773B">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十、作业材料堆放整齐，垃圾及时处理，不影响甲方正常秩序及通信畅通。</w:t>
      </w:r>
    </w:p>
    <w:p w14:paraId="03BB55A4">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十一、甲方有权对乙方作业现场安全进行指导及监督，对作业现场检查时提出的违章现象和不安全隐患，乙方立即整改。如出现危及人身和设备安全的紧急情况，甲方有权对乙方进行处罚或责令乙方停止作业。</w:t>
      </w:r>
    </w:p>
    <w:p w14:paraId="554AC132">
      <w:pPr>
        <w:spacing w:line="500" w:lineRule="exact"/>
        <w:ind w:firstLine="640" w:firstLineChars="200"/>
        <w:rPr>
          <w:rFonts w:ascii="仿宋" w:hAnsi="仿宋" w:eastAsia="仿宋" w:cs="仿宋"/>
          <w:color w:val="000000" w:themeColor="text1"/>
          <w:sz w:val="32"/>
          <w:szCs w:val="32"/>
          <w14:textFill>
            <w14:solidFill>
              <w14:schemeClr w14:val="tx1"/>
            </w14:solidFill>
          </w14:textFill>
        </w:rPr>
      </w:pPr>
    </w:p>
    <w:p w14:paraId="136499CD">
      <w:pPr>
        <w:spacing w:line="500" w:lineRule="exact"/>
        <w:rPr>
          <w:rFonts w:ascii="仿宋" w:hAnsi="仿宋" w:eastAsia="仿宋" w:cs="仿宋"/>
          <w:color w:val="000000" w:themeColor="text1"/>
          <w:sz w:val="32"/>
          <w:szCs w:val="32"/>
          <w14:textFill>
            <w14:solidFill>
              <w14:schemeClr w14:val="tx1"/>
            </w14:solidFill>
          </w14:textFill>
        </w:rPr>
      </w:pPr>
    </w:p>
    <w:p w14:paraId="250787C9">
      <w:pPr>
        <w:spacing w:line="500" w:lineRule="exact"/>
        <w:ind w:firstLine="960" w:firstLineChars="3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甲方单位：                    乙方单位：  </w:t>
      </w:r>
    </w:p>
    <w:p w14:paraId="06DCD037">
      <w:pPr>
        <w:spacing w:line="500" w:lineRule="exact"/>
        <w:ind w:firstLine="1280" w:firstLineChars="4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负责人：                      负责人：</w:t>
      </w:r>
    </w:p>
    <w:p w14:paraId="3D1947B6">
      <w:pPr>
        <w:spacing w:line="5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联系电话：                    联系电话：</w:t>
      </w:r>
    </w:p>
    <w:p w14:paraId="0D0D25BD">
      <w:pPr>
        <w:spacing w:line="500" w:lineRule="exact"/>
        <w:rPr>
          <w:rFonts w:ascii="仿宋" w:hAnsi="仿宋" w:eastAsia="仿宋" w:cs="仿宋"/>
          <w:color w:val="000000" w:themeColor="text1"/>
          <w:sz w:val="32"/>
          <w:szCs w:val="32"/>
          <w14:textFill>
            <w14:solidFill>
              <w14:schemeClr w14:val="tx1"/>
            </w14:solidFill>
          </w14:textFill>
        </w:rPr>
      </w:pPr>
    </w:p>
    <w:p w14:paraId="67BCBB27">
      <w:pPr>
        <w:spacing w:line="500" w:lineRule="exact"/>
        <w:ind w:firstLine="2880" w:firstLineChars="9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日期：      </w:t>
      </w:r>
    </w:p>
    <w:p w14:paraId="76F8E5EF">
      <w:pPr>
        <w:spacing w:line="500" w:lineRule="exact"/>
        <w:ind w:firstLine="1120" w:firstLineChars="3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年      月      日</w:t>
      </w:r>
    </w:p>
    <w:p w14:paraId="5BD037E1">
      <w:pPr>
        <w:rPr>
          <w:rFonts w:ascii="仿宋" w:hAnsi="仿宋" w:eastAsia="仿宋"/>
          <w:color w:val="000000" w:themeColor="text1"/>
          <w:sz w:val="28"/>
          <w:szCs w:val="28"/>
          <w14:textFill>
            <w14:solidFill>
              <w14:schemeClr w14:val="tx1"/>
            </w14:solidFill>
          </w14:textFill>
        </w:rPr>
      </w:pPr>
    </w:p>
    <w:p w14:paraId="26746B68">
      <w:pPr>
        <w:spacing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格式5  </w:t>
      </w:r>
    </w:p>
    <w:p w14:paraId="67D274EF">
      <w:pPr>
        <w:spacing w:line="500" w:lineRule="exact"/>
        <w:rPr>
          <w:rFonts w:ascii="仿宋" w:hAnsi="仿宋" w:eastAsia="仿宋"/>
          <w:b/>
          <w:bCs/>
          <w:color w:val="000000" w:themeColor="text1"/>
          <w:sz w:val="32"/>
          <w:szCs w:val="32"/>
          <w14:textFill>
            <w14:solidFill>
              <w14:schemeClr w14:val="tx1"/>
            </w14:solidFill>
          </w14:textFill>
        </w:rPr>
      </w:pPr>
    </w:p>
    <w:p w14:paraId="3BB9D98C">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售后服务承诺函</w:t>
      </w:r>
      <w:r>
        <w:rPr>
          <w:rFonts w:hint="eastAsia" w:ascii="仿宋" w:hAnsi="仿宋" w:eastAsia="仿宋"/>
          <w:b/>
          <w:bCs/>
          <w:color w:val="000000" w:themeColor="text1"/>
          <w:sz w:val="32"/>
          <w:szCs w:val="32"/>
          <w14:textFill>
            <w14:solidFill>
              <w14:schemeClr w14:val="tx1"/>
            </w14:solidFill>
          </w14:textFill>
        </w:rPr>
        <w:cr/>
      </w:r>
    </w:p>
    <w:p w14:paraId="5833615D">
      <w:pPr>
        <w:pStyle w:val="7"/>
        <w:tabs>
          <w:tab w:val="left" w:pos="4580"/>
        </w:tabs>
        <w:spacing w:line="500" w:lineRule="exact"/>
        <w:ind w:firstLine="960" w:firstLineChars="3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根据贵方为</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招标项目的投标</w:t>
      </w:r>
      <w:r>
        <w:rPr>
          <w:rFonts w:hint="eastAsia" w:ascii="仿宋" w:hAnsi="仿宋" w:eastAsia="仿宋"/>
          <w:color w:val="000000" w:themeColor="text1"/>
          <w:sz w:val="32"/>
          <w:szCs w:val="32"/>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，我公司对该项目做出如下售后服务方案：</w:t>
      </w:r>
    </w:p>
    <w:p w14:paraId="59E1C3E5">
      <w:pPr>
        <w:spacing w:line="500" w:lineRule="exact"/>
        <w:rPr>
          <w:rFonts w:ascii="仿宋" w:hAnsi="仿宋" w:eastAsia="仿宋"/>
          <w:color w:val="000000" w:themeColor="text1"/>
          <w:sz w:val="32"/>
          <w:szCs w:val="32"/>
          <w14:textFill>
            <w14:solidFill>
              <w14:schemeClr w14:val="tx1"/>
            </w14:solidFill>
          </w14:textFill>
        </w:rPr>
      </w:pPr>
    </w:p>
    <w:p w14:paraId="59433083">
      <w:pPr>
        <w:spacing w:line="500" w:lineRule="exact"/>
        <w:rPr>
          <w:rFonts w:ascii="仿宋" w:hAnsi="仿宋" w:eastAsia="仿宋"/>
          <w:color w:val="000000" w:themeColor="text1"/>
          <w:sz w:val="32"/>
          <w:szCs w:val="32"/>
          <w14:textFill>
            <w14:solidFill>
              <w14:schemeClr w14:val="tx1"/>
            </w14:solidFill>
          </w14:textFill>
        </w:rPr>
      </w:pPr>
    </w:p>
    <w:p w14:paraId="1137AC6F">
      <w:pPr>
        <w:pStyle w:val="7"/>
        <w:spacing w:line="500" w:lineRule="exact"/>
        <w:ind w:left="3042" w:right="146"/>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（内容根据招标文件要求自拟）</w:t>
      </w:r>
    </w:p>
    <w:p w14:paraId="50F83FA7">
      <w:pPr>
        <w:spacing w:line="500" w:lineRule="exact"/>
        <w:ind w:firstLine="640" w:firstLineChars="200"/>
        <w:rPr>
          <w:rFonts w:ascii="仿宋" w:hAnsi="仿宋" w:eastAsia="仿宋"/>
          <w:color w:val="000000" w:themeColor="text1"/>
          <w:sz w:val="32"/>
          <w:szCs w:val="32"/>
          <w14:textFill>
            <w14:solidFill>
              <w14:schemeClr w14:val="tx1"/>
            </w14:solidFill>
          </w14:textFill>
        </w:rPr>
      </w:pPr>
    </w:p>
    <w:p w14:paraId="352DBE84">
      <w:pPr>
        <w:tabs>
          <w:tab w:val="left" w:pos="6814"/>
        </w:tabs>
        <w:spacing w:line="50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ab/>
      </w:r>
    </w:p>
    <w:p w14:paraId="56F15E4B">
      <w:pPr>
        <w:spacing w:line="500" w:lineRule="exact"/>
        <w:rPr>
          <w:rFonts w:ascii="仿宋" w:hAnsi="仿宋" w:eastAsia="仿宋"/>
          <w:color w:val="000000" w:themeColor="text1"/>
          <w:sz w:val="32"/>
          <w:szCs w:val="32"/>
          <w14:textFill>
            <w14:solidFill>
              <w14:schemeClr w14:val="tx1"/>
            </w14:solidFill>
          </w14:textFill>
        </w:rPr>
      </w:pPr>
    </w:p>
    <w:p w14:paraId="4CF8F030">
      <w:pPr>
        <w:spacing w:line="50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投标人全称(加盖公章)：</w:t>
      </w:r>
    </w:p>
    <w:p w14:paraId="27D35E95">
      <w:pPr>
        <w:spacing w:line="500" w:lineRule="exact"/>
        <w:ind w:firstLine="5600" w:firstLineChars="175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0A4D8D8E">
      <w:pPr>
        <w:spacing w:line="500" w:lineRule="exact"/>
        <w:ind w:firstLine="5600" w:firstLineChars="175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3822DB7E">
      <w:pPr>
        <w:spacing w:line="500" w:lineRule="exact"/>
        <w:rPr>
          <w:rFonts w:ascii="仿宋" w:hAnsi="仿宋" w:eastAsia="仿宋"/>
          <w:color w:val="000000" w:themeColor="text1"/>
          <w:sz w:val="32"/>
          <w:szCs w:val="32"/>
          <w14:textFill>
            <w14:solidFill>
              <w14:schemeClr w14:val="tx1"/>
            </w14:solidFill>
          </w14:textFill>
        </w:rPr>
      </w:pPr>
    </w:p>
    <w:p w14:paraId="168E4048">
      <w:pPr>
        <w:spacing w:line="500" w:lineRule="exact"/>
        <w:rPr>
          <w:rFonts w:ascii="仿宋" w:hAnsi="仿宋" w:eastAsia="仿宋"/>
          <w:b/>
          <w:bCs/>
          <w:color w:val="000000" w:themeColor="text1"/>
          <w:sz w:val="32"/>
          <w:szCs w:val="32"/>
          <w14:textFill>
            <w14:solidFill>
              <w14:schemeClr w14:val="tx1"/>
            </w14:solidFill>
          </w14:textFill>
        </w:rPr>
      </w:pPr>
    </w:p>
    <w:p w14:paraId="5324404F">
      <w:pPr>
        <w:spacing w:line="500" w:lineRule="exact"/>
        <w:rPr>
          <w:rFonts w:ascii="仿宋" w:hAnsi="仿宋" w:eastAsia="仿宋"/>
          <w:b/>
          <w:bCs/>
          <w:color w:val="000000" w:themeColor="text1"/>
          <w:sz w:val="32"/>
          <w:szCs w:val="32"/>
          <w14:textFill>
            <w14:solidFill>
              <w14:schemeClr w14:val="tx1"/>
            </w14:solidFill>
          </w14:textFill>
        </w:rPr>
      </w:pPr>
    </w:p>
    <w:p w14:paraId="319F4C40">
      <w:pPr>
        <w:spacing w:line="500" w:lineRule="exact"/>
        <w:rPr>
          <w:rFonts w:ascii="仿宋" w:hAnsi="仿宋" w:eastAsia="仿宋"/>
          <w:b/>
          <w:bCs/>
          <w:color w:val="000000" w:themeColor="text1"/>
          <w:sz w:val="32"/>
          <w:szCs w:val="32"/>
          <w14:textFill>
            <w14:solidFill>
              <w14:schemeClr w14:val="tx1"/>
            </w14:solidFill>
          </w14:textFill>
        </w:rPr>
      </w:pPr>
    </w:p>
    <w:p w14:paraId="506D5C48">
      <w:pPr>
        <w:spacing w:line="500" w:lineRule="exact"/>
        <w:rPr>
          <w:rFonts w:ascii="仿宋" w:hAnsi="仿宋" w:eastAsia="仿宋"/>
          <w:b/>
          <w:bCs/>
          <w:color w:val="000000" w:themeColor="text1"/>
          <w:sz w:val="32"/>
          <w:szCs w:val="32"/>
          <w14:textFill>
            <w14:solidFill>
              <w14:schemeClr w14:val="tx1"/>
            </w14:solidFill>
          </w14:textFill>
        </w:rPr>
      </w:pPr>
    </w:p>
    <w:p w14:paraId="72C5549E">
      <w:pPr>
        <w:spacing w:line="500" w:lineRule="exact"/>
        <w:rPr>
          <w:rFonts w:ascii="仿宋" w:hAnsi="仿宋" w:eastAsia="仿宋"/>
          <w:b/>
          <w:bCs/>
          <w:color w:val="000000" w:themeColor="text1"/>
          <w:sz w:val="32"/>
          <w:szCs w:val="32"/>
          <w14:textFill>
            <w14:solidFill>
              <w14:schemeClr w14:val="tx1"/>
            </w14:solidFill>
          </w14:textFill>
        </w:rPr>
      </w:pPr>
    </w:p>
    <w:p w14:paraId="2924CFA4">
      <w:pPr>
        <w:spacing w:line="500" w:lineRule="exact"/>
        <w:rPr>
          <w:rFonts w:ascii="仿宋" w:hAnsi="仿宋" w:eastAsia="仿宋"/>
          <w:b/>
          <w:bCs/>
          <w:color w:val="000000" w:themeColor="text1"/>
          <w:sz w:val="32"/>
          <w:szCs w:val="32"/>
          <w14:textFill>
            <w14:solidFill>
              <w14:schemeClr w14:val="tx1"/>
            </w14:solidFill>
          </w14:textFill>
        </w:rPr>
      </w:pPr>
    </w:p>
    <w:p w14:paraId="465FEE04">
      <w:pPr>
        <w:spacing w:line="500" w:lineRule="exact"/>
        <w:rPr>
          <w:rFonts w:ascii="仿宋" w:hAnsi="仿宋" w:eastAsia="仿宋"/>
          <w:b/>
          <w:bCs/>
          <w:color w:val="000000" w:themeColor="text1"/>
          <w:sz w:val="32"/>
          <w:szCs w:val="32"/>
          <w14:textFill>
            <w14:solidFill>
              <w14:schemeClr w14:val="tx1"/>
            </w14:solidFill>
          </w14:textFill>
        </w:rPr>
      </w:pPr>
    </w:p>
    <w:p w14:paraId="05640FA7">
      <w:pPr>
        <w:spacing w:line="500" w:lineRule="exact"/>
        <w:rPr>
          <w:rFonts w:ascii="仿宋" w:hAnsi="仿宋" w:eastAsia="仿宋"/>
          <w:b/>
          <w:bCs/>
          <w:color w:val="000000" w:themeColor="text1"/>
          <w:sz w:val="32"/>
          <w:szCs w:val="32"/>
          <w14:textFill>
            <w14:solidFill>
              <w14:schemeClr w14:val="tx1"/>
            </w14:solidFill>
          </w14:textFill>
        </w:rPr>
      </w:pPr>
    </w:p>
    <w:p w14:paraId="548A1245">
      <w:pPr>
        <w:spacing w:line="500" w:lineRule="exact"/>
        <w:rPr>
          <w:rFonts w:ascii="仿宋" w:hAnsi="仿宋" w:eastAsia="仿宋"/>
          <w:b/>
          <w:bCs/>
          <w:color w:val="000000" w:themeColor="text1"/>
          <w:sz w:val="32"/>
          <w:szCs w:val="32"/>
          <w14:textFill>
            <w14:solidFill>
              <w14:schemeClr w14:val="tx1"/>
            </w14:solidFill>
          </w14:textFill>
        </w:rPr>
      </w:pPr>
    </w:p>
    <w:p w14:paraId="2F8DCC88">
      <w:pPr>
        <w:spacing w:line="500" w:lineRule="exact"/>
        <w:rPr>
          <w:rFonts w:ascii="仿宋" w:hAnsi="仿宋" w:eastAsia="仿宋"/>
          <w:b/>
          <w:bCs/>
          <w:color w:val="000000" w:themeColor="text1"/>
          <w:sz w:val="32"/>
          <w:szCs w:val="32"/>
          <w14:textFill>
            <w14:solidFill>
              <w14:schemeClr w14:val="tx1"/>
            </w14:solidFill>
          </w14:textFill>
        </w:rPr>
      </w:pPr>
    </w:p>
    <w:p w14:paraId="3E63B469">
      <w:pPr>
        <w:spacing w:line="500" w:lineRule="exact"/>
        <w:rPr>
          <w:rFonts w:ascii="仿宋" w:hAnsi="仿宋" w:eastAsia="仿宋"/>
          <w:b/>
          <w:bCs/>
          <w:color w:val="000000" w:themeColor="text1"/>
          <w:sz w:val="32"/>
          <w:szCs w:val="32"/>
          <w14:textFill>
            <w14:solidFill>
              <w14:schemeClr w14:val="tx1"/>
            </w14:solidFill>
          </w14:textFill>
        </w:rPr>
      </w:pPr>
    </w:p>
    <w:p w14:paraId="5B7A07DB">
      <w:pPr>
        <w:spacing w:line="500" w:lineRule="exact"/>
        <w:rPr>
          <w:rFonts w:ascii="仿宋" w:hAnsi="仿宋" w:eastAsia="仿宋"/>
          <w:b/>
          <w:bCs/>
          <w:color w:val="000000" w:themeColor="text1"/>
          <w:sz w:val="32"/>
          <w:szCs w:val="32"/>
          <w14:textFill>
            <w14:solidFill>
              <w14:schemeClr w14:val="tx1"/>
            </w14:solidFill>
          </w14:textFill>
        </w:rPr>
      </w:pPr>
    </w:p>
    <w:p w14:paraId="7DA6D54E">
      <w:pPr>
        <w:spacing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格式6   </w:t>
      </w:r>
    </w:p>
    <w:p w14:paraId="60AB0E16">
      <w:pPr>
        <w:spacing w:line="500" w:lineRule="exact"/>
        <w:rPr>
          <w:rFonts w:ascii="仿宋" w:hAnsi="仿宋" w:eastAsia="仿宋"/>
          <w:b/>
          <w:bCs/>
          <w:color w:val="000000" w:themeColor="text1"/>
          <w:sz w:val="32"/>
          <w:szCs w:val="32"/>
          <w14:textFill>
            <w14:solidFill>
              <w14:schemeClr w14:val="tx1"/>
            </w14:solidFill>
          </w14:textFill>
        </w:rPr>
      </w:pPr>
    </w:p>
    <w:p w14:paraId="27D6A0C1">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法定代表人授权书</w:t>
      </w:r>
      <w:r>
        <w:rPr>
          <w:rFonts w:hint="eastAsia" w:ascii="仿宋" w:hAnsi="仿宋" w:eastAsia="仿宋"/>
          <w:b/>
          <w:bCs/>
          <w:color w:val="000000" w:themeColor="text1"/>
          <w:sz w:val="32"/>
          <w:szCs w:val="32"/>
          <w14:textFill>
            <w14:solidFill>
              <w14:schemeClr w14:val="tx1"/>
            </w14:solidFill>
          </w14:textFill>
        </w:rPr>
        <w:cr/>
      </w:r>
    </w:p>
    <w:p w14:paraId="03672899">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p>
    <w:p w14:paraId="7F8264C0">
      <w:pPr>
        <w:pStyle w:val="9"/>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u w:val="single"/>
          <w14:textFill>
            <w14:solidFill>
              <w14:schemeClr w14:val="tx1"/>
            </w14:solidFill>
          </w14:textFill>
        </w:rPr>
        <w:t>（投标人全称）</w:t>
      </w:r>
      <w:r>
        <w:rPr>
          <w:rFonts w:hint="eastAsia" w:ascii="仿宋" w:hAnsi="仿宋" w:eastAsia="仿宋"/>
          <w:color w:val="000000" w:themeColor="text1"/>
          <w:sz w:val="32"/>
          <w:szCs w:val="32"/>
          <w14:textFill>
            <w14:solidFill>
              <w14:schemeClr w14:val="tx1"/>
            </w14:solidFill>
          </w14:textFill>
        </w:rPr>
        <w:t>法定代表人 授权</w:t>
      </w:r>
      <w:r>
        <w:rPr>
          <w:rFonts w:hint="eastAsia" w:ascii="仿宋" w:hAnsi="仿宋" w:eastAsia="仿宋"/>
          <w:color w:val="000000" w:themeColor="text1"/>
          <w:sz w:val="32"/>
          <w:szCs w:val="32"/>
          <w:u w:val="single"/>
          <w14:textFill>
            <w14:solidFill>
              <w14:schemeClr w14:val="tx1"/>
            </w14:solidFill>
          </w14:textFill>
        </w:rPr>
        <w:t xml:space="preserve">  （投标人代表姓名）</w:t>
      </w:r>
      <w:r>
        <w:rPr>
          <w:rFonts w:hint="eastAsia" w:ascii="仿宋" w:hAnsi="仿宋" w:eastAsia="仿宋"/>
          <w:color w:val="000000" w:themeColor="text1"/>
          <w:sz w:val="32"/>
          <w:szCs w:val="32"/>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0BBF546B">
      <w:pPr>
        <w:pStyle w:val="9"/>
        <w:snapToGrid w:val="0"/>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本授权书自出具之日起生效。</w:t>
      </w:r>
    </w:p>
    <w:p w14:paraId="756CEA2D">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投标人代表：性别：身份证号：</w:t>
      </w:r>
    </w:p>
    <w:p w14:paraId="06C58EF3">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单位：部门：  职务：</w:t>
      </w:r>
    </w:p>
    <w:p w14:paraId="2E9EDEB6">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详细通讯地址：邮政编码</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 xml:space="preserve"> 电话：</w:t>
      </w:r>
    </w:p>
    <w:p w14:paraId="633E663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附：被授权人身份证件</w:t>
      </w:r>
    </w:p>
    <w:p w14:paraId="03C4713C">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授权方</w:t>
      </w:r>
    </w:p>
    <w:p w14:paraId="620CAD6F">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w:t>
      </w:r>
      <w:r>
        <w:rPr>
          <w:rFonts w:hint="eastAsia" w:ascii="仿宋" w:hAnsi="仿宋" w:eastAsia="仿宋"/>
          <w:color w:val="000000" w:themeColor="text1"/>
          <w:sz w:val="32"/>
          <w:szCs w:val="32"/>
          <w:u w:val="single"/>
          <w14:textFill>
            <w14:solidFill>
              <w14:schemeClr w14:val="tx1"/>
            </w14:solidFill>
          </w14:textFill>
        </w:rPr>
        <w:t>（全称并加盖公章）</w:t>
      </w:r>
      <w:r>
        <w:rPr>
          <w:rFonts w:hint="eastAsia" w:ascii="仿宋" w:hAnsi="仿宋" w:eastAsia="仿宋"/>
          <w:color w:val="000000" w:themeColor="text1"/>
          <w:sz w:val="32"/>
          <w:szCs w:val="32"/>
          <w14:textFill>
            <w14:solidFill>
              <w14:schemeClr w14:val="tx1"/>
            </w14:solidFill>
          </w14:textFill>
        </w:rPr>
        <w:t>：</w:t>
      </w:r>
    </w:p>
    <w:p w14:paraId="7AC25EA0">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法定代表人签字：</w:t>
      </w:r>
    </w:p>
    <w:p w14:paraId="32FFF74A">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0A90842B">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接受授权方</w:t>
      </w:r>
    </w:p>
    <w:p w14:paraId="63D0E2B1">
      <w:pPr>
        <w:spacing w:line="500" w:lineRule="exact"/>
        <w:ind w:firstLine="5120" w:firstLineChars="1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1FD9EE07">
      <w:pPr>
        <w:spacing w:line="500" w:lineRule="exact"/>
        <w:ind w:firstLine="5120" w:firstLineChars="16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358787D9">
      <w:pPr>
        <w:spacing w:line="500" w:lineRule="exact"/>
        <w:ind w:firstLine="6400" w:firstLineChars="2000"/>
        <w:rPr>
          <w:rFonts w:ascii="仿宋" w:hAnsi="仿宋" w:eastAsia="仿宋"/>
          <w:color w:val="000000" w:themeColor="text1"/>
          <w:sz w:val="32"/>
          <w:szCs w:val="32"/>
          <w14:textFill>
            <w14:solidFill>
              <w14:schemeClr w14:val="tx1"/>
            </w14:solidFill>
          </w14:textFill>
        </w:rPr>
      </w:pPr>
    </w:p>
    <w:p w14:paraId="157AF7AA">
      <w:pPr>
        <w:spacing w:line="500" w:lineRule="exact"/>
        <w:rPr>
          <w:rFonts w:ascii="仿宋" w:hAnsi="仿宋" w:eastAsia="仿宋"/>
          <w:b/>
          <w:bCs/>
          <w:color w:val="000000" w:themeColor="text1"/>
          <w:sz w:val="32"/>
          <w:szCs w:val="32"/>
          <w14:textFill>
            <w14:solidFill>
              <w14:schemeClr w14:val="tx1"/>
            </w14:solidFill>
          </w14:textFill>
        </w:rPr>
      </w:pPr>
    </w:p>
    <w:p w14:paraId="3357841D">
      <w:pPr>
        <w:spacing w:line="500" w:lineRule="exact"/>
        <w:rPr>
          <w:rFonts w:ascii="仿宋" w:hAnsi="仿宋" w:eastAsia="仿宋"/>
          <w:b/>
          <w:bCs/>
          <w:color w:val="000000" w:themeColor="text1"/>
          <w:sz w:val="32"/>
          <w:szCs w:val="32"/>
          <w14:textFill>
            <w14:solidFill>
              <w14:schemeClr w14:val="tx1"/>
            </w14:solidFill>
          </w14:textFill>
        </w:rPr>
      </w:pPr>
    </w:p>
    <w:p w14:paraId="74964AFB">
      <w:pPr>
        <w:spacing w:line="500" w:lineRule="exact"/>
        <w:rPr>
          <w:rFonts w:ascii="仿宋" w:hAnsi="仿宋" w:eastAsia="仿宋"/>
          <w:b/>
          <w:bCs/>
          <w:color w:val="000000" w:themeColor="text1"/>
          <w:sz w:val="32"/>
          <w:szCs w:val="32"/>
          <w14:textFill>
            <w14:solidFill>
              <w14:schemeClr w14:val="tx1"/>
            </w14:solidFill>
          </w14:textFill>
        </w:rPr>
      </w:pPr>
    </w:p>
    <w:p w14:paraId="285CFE4D">
      <w:pPr>
        <w:spacing w:line="500" w:lineRule="exact"/>
        <w:rPr>
          <w:rFonts w:ascii="仿宋" w:hAnsi="仿宋" w:eastAsia="仿宋"/>
          <w:b/>
          <w:bCs/>
          <w:color w:val="000000" w:themeColor="text1"/>
          <w:sz w:val="32"/>
          <w:szCs w:val="32"/>
          <w14:textFill>
            <w14:solidFill>
              <w14:schemeClr w14:val="tx1"/>
            </w14:solidFill>
          </w14:textFill>
        </w:rPr>
      </w:pPr>
    </w:p>
    <w:p w14:paraId="445846A4">
      <w:pPr>
        <w:spacing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格式7   </w:t>
      </w:r>
    </w:p>
    <w:p w14:paraId="1C1710A0">
      <w:pPr>
        <w:spacing w:line="500" w:lineRule="exact"/>
        <w:rPr>
          <w:rFonts w:ascii="仿宋" w:hAnsi="仿宋" w:eastAsia="仿宋"/>
          <w:b/>
          <w:bCs/>
          <w:color w:val="000000" w:themeColor="text1"/>
          <w:sz w:val="32"/>
          <w:szCs w:val="32"/>
          <w14:textFill>
            <w14:solidFill>
              <w14:schemeClr w14:val="tx1"/>
            </w14:solidFill>
          </w14:textFill>
        </w:rPr>
      </w:pPr>
    </w:p>
    <w:p w14:paraId="6422487F">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法人营业执照</w:t>
      </w:r>
    </w:p>
    <w:p w14:paraId="02AA4599">
      <w:pPr>
        <w:spacing w:line="500" w:lineRule="exact"/>
        <w:rPr>
          <w:rFonts w:ascii="仿宋" w:hAnsi="仿宋" w:eastAsia="仿宋"/>
          <w:color w:val="000000" w:themeColor="text1"/>
          <w:sz w:val="32"/>
          <w:szCs w:val="32"/>
          <w14:textFill>
            <w14:solidFill>
              <w14:schemeClr w14:val="tx1"/>
            </w14:solidFill>
          </w14:textFill>
        </w:rPr>
      </w:pPr>
    </w:p>
    <w:p w14:paraId="3D2925B9">
      <w:pPr>
        <w:spacing w:line="5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p>
    <w:p w14:paraId="142C3A5E">
      <w:pPr>
        <w:spacing w:line="500" w:lineRule="exact"/>
        <w:rPr>
          <w:rFonts w:ascii="仿宋" w:hAnsi="仿宋" w:eastAsia="仿宋"/>
          <w:color w:val="000000" w:themeColor="text1"/>
          <w:sz w:val="32"/>
          <w:szCs w:val="32"/>
          <w14:textFill>
            <w14:solidFill>
              <w14:schemeClr w14:val="tx1"/>
            </w14:solidFill>
          </w14:textFill>
        </w:rPr>
      </w:pPr>
    </w:p>
    <w:p w14:paraId="11CCB9C9">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现附上由（签发机关名称）签发的我方法人营业执照副本复印件，真实有效。</w:t>
      </w:r>
    </w:p>
    <w:p w14:paraId="5AB5B3FD">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（注：法人营业执照提供复印件，由企业加盖公章并注明复印件与原件一致。）</w:t>
      </w:r>
    </w:p>
    <w:p w14:paraId="465C4B30">
      <w:pPr>
        <w:spacing w:line="500" w:lineRule="exact"/>
        <w:rPr>
          <w:rFonts w:ascii="仿宋" w:hAnsi="仿宋" w:eastAsia="仿宋"/>
          <w:color w:val="000000" w:themeColor="text1"/>
          <w:sz w:val="32"/>
          <w:szCs w:val="32"/>
          <w14:textFill>
            <w14:solidFill>
              <w14:schemeClr w14:val="tx1"/>
            </w14:solidFill>
          </w14:textFill>
        </w:rPr>
      </w:pPr>
    </w:p>
    <w:p w14:paraId="2AC72489">
      <w:pPr>
        <w:spacing w:line="500" w:lineRule="exact"/>
        <w:ind w:firstLine="4160" w:firstLineChars="1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 标 人（全称并加盖公章）：</w:t>
      </w:r>
    </w:p>
    <w:p w14:paraId="5F105975">
      <w:pPr>
        <w:spacing w:line="500" w:lineRule="exact"/>
        <w:ind w:firstLine="4160" w:firstLineChars="1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6A162827">
      <w:pPr>
        <w:spacing w:line="500" w:lineRule="exact"/>
        <w:ind w:firstLine="4160" w:firstLineChars="130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2FD1E284">
      <w:pPr>
        <w:spacing w:line="500" w:lineRule="exac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5263B870">
      <w:pPr>
        <w:spacing w:line="220" w:lineRule="atLeast"/>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格式8</w:t>
      </w:r>
    </w:p>
    <w:p w14:paraId="3763E4EB">
      <w:pPr>
        <w:spacing w:line="220" w:lineRule="atLeas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廉洁诚信承诺书</w:t>
      </w:r>
    </w:p>
    <w:p w14:paraId="027E524C">
      <w:pPr>
        <w:spacing w:line="300" w:lineRule="exact"/>
        <w:jc w:val="center"/>
        <w:rPr>
          <w:rFonts w:ascii="仿宋" w:hAnsi="仿宋" w:eastAsia="仿宋"/>
          <w:b/>
          <w:color w:val="000000" w:themeColor="text1"/>
          <w:sz w:val="28"/>
          <w:szCs w:val="28"/>
          <w14:textFill>
            <w14:solidFill>
              <w14:schemeClr w14:val="tx1"/>
            </w14:solidFill>
          </w14:textFill>
        </w:rPr>
      </w:pPr>
    </w:p>
    <w:p w14:paraId="1883FA67">
      <w:pPr>
        <w:spacing w:line="360" w:lineRule="auto"/>
        <w:ind w:left="-401" w:leftChars="-191"/>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致</w:t>
      </w:r>
      <w:r>
        <w:rPr>
          <w:rFonts w:hint="eastAsia" w:ascii="仿宋" w:hAnsi="仿宋" w:eastAsia="仿宋"/>
          <w:color w:val="000000" w:themeColor="text1"/>
          <w:sz w:val="32"/>
          <w:szCs w:val="32"/>
          <w:u w:val="single"/>
          <w14:textFill>
            <w14:solidFill>
              <w14:schemeClr w14:val="tx1"/>
            </w14:solidFill>
          </w14:textFill>
        </w:rPr>
        <w:t>厦门国贸物业服务有限公司</w:t>
      </w:r>
      <w:r>
        <w:rPr>
          <w:rFonts w:hint="eastAsia" w:ascii="仿宋" w:hAnsi="仿宋" w:eastAsia="仿宋"/>
          <w:color w:val="000000" w:themeColor="text1"/>
          <w:sz w:val="32"/>
          <w:szCs w:val="32"/>
          <w14:textFill>
            <w14:solidFill>
              <w14:schemeClr w14:val="tx1"/>
            </w14:solidFill>
          </w14:textFill>
        </w:rPr>
        <w:t>：</w:t>
      </w:r>
    </w:p>
    <w:p w14:paraId="0947456C">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承诺方系</w:t>
      </w:r>
      <w:r>
        <w:rPr>
          <w:rFonts w:hint="eastAsia" w:ascii="仿宋" w:hAnsi="仿宋" w:eastAsia="仿宋"/>
          <w:color w:val="000000" w:themeColor="text1"/>
          <w:sz w:val="32"/>
          <w:szCs w:val="32"/>
          <w:u w:val="single"/>
          <w14:textFill>
            <w14:solidFill>
              <w14:schemeClr w14:val="tx1"/>
            </w14:solidFill>
          </w14:textFill>
        </w:rPr>
        <w:t>厦门国贸物业服务有限公司</w:t>
      </w:r>
      <w:r>
        <w:rPr>
          <w:rFonts w:hint="eastAsia" w:ascii="仿宋" w:hAnsi="仿宋" w:eastAsia="仿宋"/>
          <w:color w:val="000000" w:themeColor="text1"/>
          <w:sz w:val="32"/>
          <w:szCs w:val="32"/>
          <w14:textFill>
            <w14:solidFill>
              <w14:schemeClr w14:val="tx1"/>
            </w14:solidFill>
          </w14:textFill>
        </w:rPr>
        <w:t>（以下简称“</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）的供应商、服务商或合作商，在相关业务活动</w:t>
      </w:r>
      <w:r>
        <w:rPr>
          <w:rFonts w:ascii="仿宋" w:hAnsi="仿宋" w:eastAsia="仿宋"/>
          <w:color w:val="000000" w:themeColor="text1"/>
          <w:sz w:val="32"/>
          <w:szCs w:val="32"/>
          <w14:textFill>
            <w14:solidFill>
              <w14:schemeClr w14:val="tx1"/>
            </w14:solidFill>
          </w14:textFill>
        </w:rPr>
        <w:t>(包括但不限于交易洽谈、供货、服务、承揽、技术合作交流、付款)中接触</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相关人员和资讯，在廉洁义务和操守方面做出如下承诺：</w:t>
      </w:r>
    </w:p>
    <w:p w14:paraId="1EB9D28C">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5F1F0A67">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二、不向</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的工作人员及其亲属馈赠礼金、礼品（含有价证券）；不向</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的工作人员提供任何应由其个人支付报酬的劳务和其它服务；不为</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的工作人员安排可能影响公正执行公务的任何活动；不为</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的工作人员支付应由其个人支付的任何赞助费、宣传费、咨询费、劳务费等；不为</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工作人员报销任何名义的个人消费凭证。一经发现有上述行为，招标人有权取消中标资格。</w:t>
      </w:r>
    </w:p>
    <w:p w14:paraId="788E5736">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64A581B1">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四、承诺方在与</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达成和交易履行过程中，提供的资质证明、证照、企业及个人资料、住所、产品名称、规格、品质、服务标准、票据、权证、权利限制均为真实，不存在虚假、期满、伪造、变造行为，如上述情况发生变更，承诺方需在</w:t>
      </w:r>
      <w:r>
        <w:rPr>
          <w:rFonts w:ascii="仿宋" w:hAnsi="仿宋" w:eastAsia="仿宋"/>
          <w:color w:val="000000" w:themeColor="text1"/>
          <w:sz w:val="32"/>
          <w:szCs w:val="32"/>
          <w14:textFill>
            <w14:solidFill>
              <w14:schemeClr w14:val="tx1"/>
            </w14:solidFill>
          </w14:textFill>
        </w:rPr>
        <w:t>5个工作日内通知</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备案存档。</w:t>
      </w:r>
    </w:p>
    <w:p w14:paraId="26572875">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五、承诺方禁止提供仿冒品（包括但不限于如贴牌、掺杂掺假，以次充好，以旧冒新、以不合格冒充合格）或不符合</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所需规格之商品提供</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使用。</w:t>
      </w:r>
    </w:p>
    <w:p w14:paraId="12DBD1A5">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六、承诺方同意</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依其保密制度所划列的机密资料可包括一切关于</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，无论是否有价值，被公开或正在采取保密措施的书面、口头或以其他形式呈现、保存之资讯、承诺方与接受机密资料五年内均有保密义务，未经</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同意不得利用或向任何第三方泄露、交付。</w:t>
      </w:r>
    </w:p>
    <w:p w14:paraId="6CBA9357">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七、为净化采购相关秩序及环境，可至</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进行投诉或申报。</w:t>
      </w:r>
    </w:p>
    <w:p w14:paraId="1F7FA347">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八、违约责任</w:t>
      </w:r>
    </w:p>
    <w:p w14:paraId="49E0C895">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承诺方承诺如违反本承诺书所述任何义务，无论是否给</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造成损失，承诺方将承担一切责任，并就</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实际造成的经济、名誉损失进行赔偿。</w:t>
      </w:r>
      <w:r>
        <w:rPr>
          <w:rFonts w:hint="eastAsia" w:ascii="仿宋" w:hAnsi="仿宋" w:eastAsia="仿宋"/>
          <w:color w:val="000000" w:themeColor="text1"/>
          <w:sz w:val="32"/>
          <w:szCs w:val="32"/>
          <w:u w:val="single"/>
          <w14:textFill>
            <w14:solidFill>
              <w14:schemeClr w14:val="tx1"/>
            </w14:solidFill>
          </w14:textFill>
        </w:rPr>
        <w:t>国贸物业</w:t>
      </w:r>
      <w:r>
        <w:rPr>
          <w:rFonts w:hint="eastAsia" w:ascii="仿宋" w:hAnsi="仿宋" w:eastAsia="仿宋"/>
          <w:color w:val="000000" w:themeColor="text1"/>
          <w:sz w:val="32"/>
          <w:szCs w:val="32"/>
          <w14:textFill>
            <w14:solidFill>
              <w14:schemeClr w14:val="tx1"/>
            </w14:solidFill>
          </w14:textFill>
        </w:rPr>
        <w:t>有权解除双方合同并不负任何违约责任，有权从应付承诺方账款中扣罚，并可采用法律手段索赔。</w:t>
      </w:r>
    </w:p>
    <w:p w14:paraId="30D1A087">
      <w:pPr>
        <w:spacing w:line="300" w:lineRule="auto"/>
        <w:ind w:left="-405" w:leftChars="-193"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九、自觉接受监督。</w:t>
      </w:r>
    </w:p>
    <w:p w14:paraId="6DDF0D55">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特此承诺。</w:t>
      </w:r>
    </w:p>
    <w:p w14:paraId="098AAFED">
      <w:pPr>
        <w:spacing w:line="240" w:lineRule="atLeast"/>
        <w:ind w:left="-105" w:leftChars="-50"/>
        <w:jc w:val="center"/>
        <w:rPr>
          <w:rFonts w:ascii="仿宋" w:hAnsi="仿宋" w:eastAsia="仿宋"/>
          <w:color w:val="000000" w:themeColor="text1"/>
          <w:sz w:val="32"/>
          <w:szCs w:val="32"/>
          <w14:textFill>
            <w14:solidFill>
              <w14:schemeClr w14:val="tx1"/>
            </w14:solidFill>
          </w14:textFill>
        </w:rPr>
      </w:pPr>
    </w:p>
    <w:p w14:paraId="28637FAA">
      <w:pPr>
        <w:spacing w:line="240" w:lineRule="atLeast"/>
        <w:ind w:left="-105" w:leftChars="-50"/>
        <w:jc w:val="center"/>
        <w:rPr>
          <w:rFonts w:ascii="仿宋" w:hAnsi="仿宋" w:eastAsia="仿宋"/>
          <w:color w:val="000000" w:themeColor="text1"/>
          <w:sz w:val="32"/>
          <w:szCs w:val="32"/>
          <w14:textFill>
            <w14:solidFill>
              <w14:schemeClr w14:val="tx1"/>
            </w14:solidFill>
          </w14:textFill>
        </w:rPr>
      </w:pPr>
    </w:p>
    <w:p w14:paraId="527206CC">
      <w:pPr>
        <w:spacing w:line="240" w:lineRule="atLeast"/>
        <w:ind w:left="-105" w:leftChars="-50"/>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承诺人（投标人）名称（盖章）：</w:t>
      </w:r>
    </w:p>
    <w:p w14:paraId="42CA7240">
      <w:pPr>
        <w:spacing w:line="240" w:lineRule="atLeast"/>
        <w:ind w:left="-105" w:leftChars="-50"/>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法定代表人（或投标人代表）：</w:t>
      </w:r>
    </w:p>
    <w:p w14:paraId="795122B6">
      <w:pPr>
        <w:spacing w:line="240" w:lineRule="atLeast"/>
        <w:ind w:firstLine="3840" w:firstLineChars="1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日期：</w:t>
      </w:r>
    </w:p>
    <w:p w14:paraId="5AF3C8DF">
      <w:pPr>
        <w:spacing w:line="500" w:lineRule="exact"/>
        <w:rPr>
          <w:rFonts w:ascii="仿宋" w:hAnsi="仿宋" w:eastAsia="仿宋"/>
          <w:color w:val="000000" w:themeColor="text1"/>
          <w:sz w:val="32"/>
          <w:szCs w:val="32"/>
          <w14:textFill>
            <w14:solidFill>
              <w14:schemeClr w14:val="tx1"/>
            </w14:solidFill>
          </w14:textFill>
        </w:rPr>
      </w:pPr>
    </w:p>
    <w:p w14:paraId="1CBA670B">
      <w:pPr>
        <w:spacing w:line="500" w:lineRule="exact"/>
        <w:rPr>
          <w:rFonts w:ascii="仿宋" w:hAnsi="仿宋" w:eastAsia="仿宋"/>
          <w:color w:val="000000" w:themeColor="text1"/>
          <w:sz w:val="32"/>
          <w:szCs w:val="32"/>
          <w14:textFill>
            <w14:solidFill>
              <w14:schemeClr w14:val="tx1"/>
            </w14:solidFill>
          </w14:textFill>
        </w:rPr>
      </w:pPr>
    </w:p>
    <w:p w14:paraId="0FB1EF64">
      <w:pPr>
        <w:spacing w:line="500" w:lineRule="exact"/>
        <w:rPr>
          <w:rFonts w:ascii="仿宋" w:hAnsi="仿宋" w:eastAsia="仿宋"/>
          <w:color w:val="000000" w:themeColor="text1"/>
          <w:sz w:val="32"/>
          <w:szCs w:val="32"/>
          <w14:textFill>
            <w14:solidFill>
              <w14:schemeClr w14:val="tx1"/>
            </w14:solidFill>
          </w14:textFill>
        </w:rPr>
      </w:pPr>
    </w:p>
    <w:p w14:paraId="7964F49E">
      <w:pPr>
        <w:spacing w:line="500" w:lineRule="exact"/>
        <w:rPr>
          <w:rFonts w:ascii="仿宋" w:hAnsi="仿宋" w:eastAsia="仿宋"/>
          <w:color w:val="000000" w:themeColor="text1"/>
          <w:sz w:val="32"/>
          <w:szCs w:val="32"/>
          <w14:textFill>
            <w14:solidFill>
              <w14:schemeClr w14:val="tx1"/>
            </w14:solidFill>
          </w14:textFill>
        </w:rPr>
      </w:pPr>
    </w:p>
    <w:p w14:paraId="287D854C">
      <w:pPr>
        <w:spacing w:line="500" w:lineRule="exact"/>
        <w:rPr>
          <w:rFonts w:ascii="仿宋" w:hAnsi="仿宋" w:eastAsia="仿宋"/>
          <w:color w:val="000000" w:themeColor="text1"/>
          <w:sz w:val="32"/>
          <w:szCs w:val="32"/>
          <w14:textFill>
            <w14:solidFill>
              <w14:schemeClr w14:val="tx1"/>
            </w14:solidFill>
          </w14:textFill>
        </w:rPr>
      </w:pPr>
    </w:p>
    <w:p w14:paraId="5F7979F4">
      <w:pPr>
        <w:spacing w:line="500" w:lineRule="exact"/>
        <w:rPr>
          <w:rFonts w:ascii="仿宋" w:hAnsi="仿宋" w:eastAsia="仿宋"/>
          <w:color w:val="000000" w:themeColor="text1"/>
          <w:sz w:val="32"/>
          <w:szCs w:val="32"/>
          <w14:textFill>
            <w14:solidFill>
              <w14:schemeClr w14:val="tx1"/>
            </w14:solidFill>
          </w14:textFill>
        </w:rPr>
      </w:pPr>
    </w:p>
    <w:p w14:paraId="63D926EF">
      <w:pPr>
        <w:spacing w:line="500" w:lineRule="exact"/>
        <w:rPr>
          <w:rFonts w:ascii="仿宋" w:hAnsi="仿宋" w:eastAsia="仿宋"/>
          <w:color w:val="000000" w:themeColor="text1"/>
          <w:sz w:val="32"/>
          <w:szCs w:val="32"/>
          <w14:textFill>
            <w14:solidFill>
              <w14:schemeClr w14:val="tx1"/>
            </w14:solidFill>
          </w14:textFill>
        </w:rPr>
      </w:pPr>
    </w:p>
    <w:p w14:paraId="6EB2C513">
      <w:pPr>
        <w:spacing w:before="120" w:after="120"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格式9  </w:t>
      </w:r>
    </w:p>
    <w:p w14:paraId="6224F72C">
      <w:pPr>
        <w:spacing w:beforeLines="50" w:afterLines="50"/>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带“★”号条款逐条响应情况表</w:t>
      </w:r>
    </w:p>
    <w:p w14:paraId="7075DB1A">
      <w:pPr>
        <w:spacing w:line="38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项目名称：</w:t>
      </w:r>
      <w:r>
        <w:rPr>
          <w:rFonts w:hint="eastAsia" w:ascii="仿宋" w:hAnsi="仿宋" w:eastAsia="仿宋"/>
          <w:color w:val="000000" w:themeColor="text1"/>
          <w:sz w:val="32"/>
          <w:szCs w:val="32"/>
          <w14:textFill>
            <w14:solidFill>
              <w14:schemeClr w14:val="tx1"/>
            </w14:solidFill>
          </w14:textFill>
        </w:rPr>
        <w:t xml:space="preserve">        招标编号</w:t>
      </w:r>
      <w:r>
        <w:rPr>
          <w:rFonts w:hint="eastAsia" w:ascii="仿宋" w:hAnsi="仿宋" w:eastAsia="仿宋" w:cs="宋体"/>
          <w:color w:val="000000" w:themeColor="text1"/>
          <w:sz w:val="32"/>
          <w:szCs w:val="32"/>
          <w14:textFill>
            <w14:solidFill>
              <w14:schemeClr w14:val="tx1"/>
            </w14:solidFill>
          </w14:textFill>
        </w:rPr>
        <w:t>：</w:t>
      </w:r>
    </w:p>
    <w:tbl>
      <w:tblPr>
        <w:tblStyle w:val="16"/>
        <w:tblW w:w="895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3276"/>
        <w:gridCol w:w="1836"/>
        <w:gridCol w:w="2676"/>
      </w:tblGrid>
      <w:tr w14:paraId="78A639F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1167" w:type="dxa"/>
            <w:vAlign w:val="center"/>
          </w:tcPr>
          <w:p w14:paraId="31EF0842">
            <w:pPr>
              <w:spacing w:line="3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序号</w:t>
            </w:r>
          </w:p>
        </w:tc>
        <w:tc>
          <w:tcPr>
            <w:tcW w:w="3276" w:type="dxa"/>
            <w:vAlign w:val="center"/>
          </w:tcPr>
          <w:p w14:paraId="31D97FFC">
            <w:pPr>
              <w:spacing w:line="3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招标文件中带“★”号的条款</w:t>
            </w:r>
          </w:p>
        </w:tc>
        <w:tc>
          <w:tcPr>
            <w:tcW w:w="1836" w:type="dxa"/>
            <w:vAlign w:val="center"/>
          </w:tcPr>
          <w:p w14:paraId="5B2BF0AC">
            <w:pPr>
              <w:spacing w:line="300" w:lineRule="exact"/>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投标响应</w:t>
            </w:r>
            <w:r>
              <w:rPr>
                <w:rFonts w:hint="eastAsia" w:ascii="仿宋" w:hAnsi="仿宋" w:eastAsia="仿宋"/>
                <w:color w:val="000000" w:themeColor="text1"/>
                <w:sz w:val="32"/>
                <w:szCs w:val="32"/>
                <w14:textFill>
                  <w14:solidFill>
                    <w14:schemeClr w14:val="tx1"/>
                  </w14:solidFill>
                </w14:textFill>
              </w:rPr>
              <w:t>内容</w:t>
            </w:r>
          </w:p>
        </w:tc>
        <w:tc>
          <w:tcPr>
            <w:tcW w:w="2676" w:type="dxa"/>
            <w:vAlign w:val="center"/>
          </w:tcPr>
          <w:p w14:paraId="64074AE1">
            <w:pPr>
              <w:spacing w:line="3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对应投标文件页码</w:t>
            </w:r>
          </w:p>
        </w:tc>
      </w:tr>
      <w:tr w14:paraId="45ED074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0421E4E7">
            <w:pPr>
              <w:spacing w:line="300" w:lineRule="exact"/>
              <w:jc w:val="center"/>
              <w:rPr>
                <w:rFonts w:ascii="仿宋" w:hAnsi="仿宋" w:eastAsia="仿宋"/>
                <w:color w:val="000000" w:themeColor="text1"/>
                <w:sz w:val="32"/>
                <w:szCs w:val="32"/>
                <w14:textFill>
                  <w14:solidFill>
                    <w14:schemeClr w14:val="tx1"/>
                  </w14:solidFill>
                </w14:textFill>
              </w:rPr>
            </w:pPr>
          </w:p>
        </w:tc>
        <w:tc>
          <w:tcPr>
            <w:tcW w:w="3276" w:type="dxa"/>
            <w:vAlign w:val="center"/>
          </w:tcPr>
          <w:p w14:paraId="325481FD">
            <w:pPr>
              <w:spacing w:line="300" w:lineRule="exact"/>
              <w:rPr>
                <w:rFonts w:ascii="仿宋" w:hAnsi="仿宋" w:eastAsia="仿宋" w:cs="宋体"/>
                <w:bCs/>
                <w:color w:val="000000" w:themeColor="text1"/>
                <w:kern w:val="0"/>
                <w:sz w:val="32"/>
                <w:szCs w:val="32"/>
                <w14:textFill>
                  <w14:solidFill>
                    <w14:schemeClr w14:val="tx1"/>
                  </w14:solidFill>
                </w14:textFill>
              </w:rPr>
            </w:pPr>
          </w:p>
        </w:tc>
        <w:tc>
          <w:tcPr>
            <w:tcW w:w="1836" w:type="dxa"/>
            <w:vAlign w:val="center"/>
          </w:tcPr>
          <w:p w14:paraId="5AC6A5FF">
            <w:pPr>
              <w:spacing w:line="300" w:lineRule="exact"/>
              <w:rPr>
                <w:rFonts w:ascii="仿宋" w:hAnsi="仿宋" w:eastAsia="仿宋"/>
                <w:color w:val="000000" w:themeColor="text1"/>
                <w:sz w:val="32"/>
                <w:szCs w:val="32"/>
                <w14:textFill>
                  <w14:solidFill>
                    <w14:schemeClr w14:val="tx1"/>
                  </w14:solidFill>
                </w14:textFill>
              </w:rPr>
            </w:pPr>
          </w:p>
        </w:tc>
        <w:tc>
          <w:tcPr>
            <w:tcW w:w="2676" w:type="dxa"/>
            <w:vAlign w:val="center"/>
          </w:tcPr>
          <w:p w14:paraId="600573B7">
            <w:pPr>
              <w:spacing w:line="300" w:lineRule="exact"/>
              <w:rPr>
                <w:rFonts w:ascii="仿宋" w:hAnsi="仿宋" w:eastAsia="仿宋"/>
                <w:color w:val="000000" w:themeColor="text1"/>
                <w:sz w:val="32"/>
                <w:szCs w:val="32"/>
                <w14:textFill>
                  <w14:solidFill>
                    <w14:schemeClr w14:val="tx1"/>
                  </w14:solidFill>
                </w14:textFill>
              </w:rPr>
            </w:pPr>
          </w:p>
        </w:tc>
      </w:tr>
      <w:tr w14:paraId="410A72A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0D44E0A">
            <w:pPr>
              <w:spacing w:line="300" w:lineRule="exact"/>
              <w:jc w:val="center"/>
              <w:rPr>
                <w:rFonts w:ascii="仿宋" w:hAnsi="仿宋" w:eastAsia="仿宋"/>
                <w:color w:val="000000" w:themeColor="text1"/>
                <w:sz w:val="32"/>
                <w:szCs w:val="32"/>
                <w14:textFill>
                  <w14:solidFill>
                    <w14:schemeClr w14:val="tx1"/>
                  </w14:solidFill>
                </w14:textFill>
              </w:rPr>
            </w:pPr>
          </w:p>
        </w:tc>
        <w:tc>
          <w:tcPr>
            <w:tcW w:w="3276" w:type="dxa"/>
            <w:vAlign w:val="center"/>
          </w:tcPr>
          <w:p w14:paraId="61592FAC">
            <w:pPr>
              <w:spacing w:line="300" w:lineRule="exact"/>
              <w:rPr>
                <w:rFonts w:ascii="仿宋" w:hAnsi="仿宋" w:eastAsia="仿宋" w:cs="宋体"/>
                <w:bCs/>
                <w:color w:val="000000" w:themeColor="text1"/>
                <w:kern w:val="0"/>
                <w:sz w:val="32"/>
                <w:szCs w:val="32"/>
                <w14:textFill>
                  <w14:solidFill>
                    <w14:schemeClr w14:val="tx1"/>
                  </w14:solidFill>
                </w14:textFill>
              </w:rPr>
            </w:pPr>
          </w:p>
        </w:tc>
        <w:tc>
          <w:tcPr>
            <w:tcW w:w="1836" w:type="dxa"/>
            <w:vAlign w:val="center"/>
          </w:tcPr>
          <w:p w14:paraId="74481F27">
            <w:pPr>
              <w:spacing w:line="300" w:lineRule="exact"/>
              <w:rPr>
                <w:rFonts w:ascii="仿宋" w:hAnsi="仿宋" w:eastAsia="仿宋"/>
                <w:color w:val="000000" w:themeColor="text1"/>
                <w:sz w:val="32"/>
                <w:szCs w:val="32"/>
                <w14:textFill>
                  <w14:solidFill>
                    <w14:schemeClr w14:val="tx1"/>
                  </w14:solidFill>
                </w14:textFill>
              </w:rPr>
            </w:pPr>
          </w:p>
        </w:tc>
        <w:tc>
          <w:tcPr>
            <w:tcW w:w="2676" w:type="dxa"/>
            <w:vAlign w:val="center"/>
          </w:tcPr>
          <w:p w14:paraId="2B1BF6CA">
            <w:pPr>
              <w:spacing w:line="300" w:lineRule="exact"/>
              <w:rPr>
                <w:rFonts w:ascii="仿宋" w:hAnsi="仿宋" w:eastAsia="仿宋"/>
                <w:color w:val="000000" w:themeColor="text1"/>
                <w:sz w:val="32"/>
                <w:szCs w:val="32"/>
                <w14:textFill>
                  <w14:solidFill>
                    <w14:schemeClr w14:val="tx1"/>
                  </w14:solidFill>
                </w14:textFill>
              </w:rPr>
            </w:pPr>
          </w:p>
        </w:tc>
      </w:tr>
      <w:tr w14:paraId="38E634C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81FEA67">
            <w:pPr>
              <w:spacing w:line="300" w:lineRule="exact"/>
              <w:jc w:val="center"/>
              <w:rPr>
                <w:rFonts w:ascii="仿宋" w:hAnsi="仿宋" w:eastAsia="仿宋"/>
                <w:color w:val="000000" w:themeColor="text1"/>
                <w:sz w:val="32"/>
                <w:szCs w:val="32"/>
                <w14:textFill>
                  <w14:solidFill>
                    <w14:schemeClr w14:val="tx1"/>
                  </w14:solidFill>
                </w14:textFill>
              </w:rPr>
            </w:pPr>
          </w:p>
        </w:tc>
        <w:tc>
          <w:tcPr>
            <w:tcW w:w="3276" w:type="dxa"/>
            <w:vAlign w:val="center"/>
          </w:tcPr>
          <w:p w14:paraId="0B393523">
            <w:pPr>
              <w:spacing w:line="300" w:lineRule="exact"/>
              <w:rPr>
                <w:rFonts w:ascii="仿宋" w:hAnsi="仿宋" w:eastAsia="仿宋" w:cs="宋体"/>
                <w:bCs/>
                <w:color w:val="000000" w:themeColor="text1"/>
                <w:kern w:val="0"/>
                <w:sz w:val="32"/>
                <w:szCs w:val="32"/>
                <w14:textFill>
                  <w14:solidFill>
                    <w14:schemeClr w14:val="tx1"/>
                  </w14:solidFill>
                </w14:textFill>
              </w:rPr>
            </w:pPr>
          </w:p>
        </w:tc>
        <w:tc>
          <w:tcPr>
            <w:tcW w:w="1836" w:type="dxa"/>
            <w:vAlign w:val="center"/>
          </w:tcPr>
          <w:p w14:paraId="587ADFFA">
            <w:pPr>
              <w:spacing w:line="300" w:lineRule="exact"/>
              <w:rPr>
                <w:rFonts w:ascii="仿宋" w:hAnsi="仿宋" w:eastAsia="仿宋"/>
                <w:color w:val="000000" w:themeColor="text1"/>
                <w:sz w:val="32"/>
                <w:szCs w:val="32"/>
                <w14:textFill>
                  <w14:solidFill>
                    <w14:schemeClr w14:val="tx1"/>
                  </w14:solidFill>
                </w14:textFill>
              </w:rPr>
            </w:pPr>
          </w:p>
        </w:tc>
        <w:tc>
          <w:tcPr>
            <w:tcW w:w="2676" w:type="dxa"/>
            <w:vAlign w:val="center"/>
          </w:tcPr>
          <w:p w14:paraId="0EA2DC45">
            <w:pPr>
              <w:spacing w:line="300" w:lineRule="exact"/>
              <w:rPr>
                <w:rFonts w:ascii="仿宋" w:hAnsi="仿宋" w:eastAsia="仿宋"/>
                <w:color w:val="000000" w:themeColor="text1"/>
                <w:sz w:val="32"/>
                <w:szCs w:val="32"/>
                <w14:textFill>
                  <w14:solidFill>
                    <w14:schemeClr w14:val="tx1"/>
                  </w14:solidFill>
                </w14:textFill>
              </w:rPr>
            </w:pPr>
          </w:p>
        </w:tc>
      </w:tr>
      <w:tr w14:paraId="48EABE3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4138B731">
            <w:pPr>
              <w:spacing w:line="300" w:lineRule="exact"/>
              <w:jc w:val="center"/>
              <w:rPr>
                <w:rFonts w:ascii="仿宋" w:hAnsi="仿宋" w:eastAsia="仿宋"/>
                <w:color w:val="000000" w:themeColor="text1"/>
                <w:sz w:val="32"/>
                <w:szCs w:val="32"/>
                <w14:textFill>
                  <w14:solidFill>
                    <w14:schemeClr w14:val="tx1"/>
                  </w14:solidFill>
                </w14:textFill>
              </w:rPr>
            </w:pPr>
          </w:p>
        </w:tc>
        <w:tc>
          <w:tcPr>
            <w:tcW w:w="3276" w:type="dxa"/>
            <w:vAlign w:val="center"/>
          </w:tcPr>
          <w:p w14:paraId="7A8BE0AC">
            <w:pPr>
              <w:spacing w:line="300" w:lineRule="exact"/>
              <w:rPr>
                <w:rFonts w:ascii="仿宋" w:hAnsi="仿宋" w:eastAsia="仿宋" w:cs="宋体"/>
                <w:bCs/>
                <w:color w:val="000000" w:themeColor="text1"/>
                <w:kern w:val="0"/>
                <w:sz w:val="32"/>
                <w:szCs w:val="32"/>
                <w14:textFill>
                  <w14:solidFill>
                    <w14:schemeClr w14:val="tx1"/>
                  </w14:solidFill>
                </w14:textFill>
              </w:rPr>
            </w:pPr>
          </w:p>
        </w:tc>
        <w:tc>
          <w:tcPr>
            <w:tcW w:w="1836" w:type="dxa"/>
            <w:vAlign w:val="center"/>
          </w:tcPr>
          <w:p w14:paraId="32D759C8">
            <w:pPr>
              <w:spacing w:line="300" w:lineRule="exact"/>
              <w:rPr>
                <w:rFonts w:ascii="仿宋" w:hAnsi="仿宋" w:eastAsia="仿宋"/>
                <w:color w:val="000000" w:themeColor="text1"/>
                <w:sz w:val="32"/>
                <w:szCs w:val="32"/>
                <w14:textFill>
                  <w14:solidFill>
                    <w14:schemeClr w14:val="tx1"/>
                  </w14:solidFill>
                </w14:textFill>
              </w:rPr>
            </w:pPr>
          </w:p>
        </w:tc>
        <w:tc>
          <w:tcPr>
            <w:tcW w:w="2676" w:type="dxa"/>
            <w:vAlign w:val="center"/>
          </w:tcPr>
          <w:p w14:paraId="7E729540">
            <w:pPr>
              <w:spacing w:line="300" w:lineRule="exact"/>
              <w:rPr>
                <w:rFonts w:ascii="仿宋" w:hAnsi="仿宋" w:eastAsia="仿宋"/>
                <w:color w:val="000000" w:themeColor="text1"/>
                <w:sz w:val="32"/>
                <w:szCs w:val="32"/>
                <w14:textFill>
                  <w14:solidFill>
                    <w14:schemeClr w14:val="tx1"/>
                  </w14:solidFill>
                </w14:textFill>
              </w:rPr>
            </w:pPr>
          </w:p>
        </w:tc>
      </w:tr>
    </w:tbl>
    <w:p w14:paraId="3B52774C">
      <w:pPr>
        <w:spacing w:line="540" w:lineRule="exact"/>
        <w:ind w:firstLine="643" w:firstLineChars="200"/>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以上★号条款为招标文件中的所有★号条款，无论是技术指标或文字描述要求，投标人必须逐条如实地书面响应及承诺。</w:t>
      </w:r>
    </w:p>
    <w:p w14:paraId="709BC218">
      <w:pPr>
        <w:spacing w:line="54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投标人全称（加盖公章）：</w:t>
      </w:r>
    </w:p>
    <w:p w14:paraId="62CE5C78">
      <w:pPr>
        <w:spacing w:line="54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421710D8">
      <w:pPr>
        <w:spacing w:line="54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日   期： </w:t>
      </w:r>
    </w:p>
    <w:p w14:paraId="5927A4A4">
      <w:pPr>
        <w:spacing w:line="540" w:lineRule="exact"/>
        <w:ind w:firstLine="5600" w:firstLineChars="1750"/>
        <w:rPr>
          <w:rFonts w:ascii="仿宋" w:hAnsi="仿宋" w:eastAsia="仿宋"/>
          <w:color w:val="000000" w:themeColor="text1"/>
          <w:sz w:val="32"/>
          <w:szCs w:val="32"/>
          <w14:textFill>
            <w14:solidFill>
              <w14:schemeClr w14:val="tx1"/>
            </w14:solidFill>
          </w14:textFill>
        </w:rPr>
      </w:pPr>
    </w:p>
    <w:p w14:paraId="5BEB1F4E">
      <w:pPr>
        <w:spacing w:line="540" w:lineRule="exact"/>
        <w:rPr>
          <w:rFonts w:ascii="仿宋" w:hAnsi="仿宋" w:eastAsia="仿宋"/>
          <w:color w:val="000000" w:themeColor="text1"/>
          <w:sz w:val="32"/>
          <w:szCs w:val="32"/>
          <w14:textFill>
            <w14:solidFill>
              <w14:schemeClr w14:val="tx1"/>
            </w14:solidFill>
          </w14:textFill>
        </w:rPr>
      </w:pPr>
    </w:p>
    <w:p w14:paraId="089C58A5">
      <w:pPr>
        <w:spacing w:line="540" w:lineRule="exact"/>
        <w:rPr>
          <w:rFonts w:ascii="仿宋" w:hAnsi="仿宋" w:eastAsia="仿宋"/>
          <w:color w:val="000000" w:themeColor="text1"/>
          <w:sz w:val="32"/>
          <w:szCs w:val="32"/>
          <w14:textFill>
            <w14:solidFill>
              <w14:schemeClr w14:val="tx1"/>
            </w14:solidFill>
          </w14:textFill>
        </w:rPr>
      </w:pPr>
    </w:p>
    <w:p w14:paraId="4326CEFF">
      <w:pPr>
        <w:spacing w:line="540" w:lineRule="exact"/>
        <w:rPr>
          <w:rFonts w:ascii="仿宋" w:hAnsi="仿宋" w:eastAsia="仿宋"/>
          <w:color w:val="000000" w:themeColor="text1"/>
          <w:sz w:val="32"/>
          <w:szCs w:val="32"/>
          <w14:textFill>
            <w14:solidFill>
              <w14:schemeClr w14:val="tx1"/>
            </w14:solidFill>
          </w14:textFill>
        </w:rPr>
      </w:pPr>
    </w:p>
    <w:p w14:paraId="1B99A7E5">
      <w:pPr>
        <w:spacing w:line="540" w:lineRule="exact"/>
        <w:rPr>
          <w:rFonts w:ascii="仿宋" w:hAnsi="仿宋" w:eastAsia="仿宋"/>
          <w:color w:val="000000" w:themeColor="text1"/>
          <w:sz w:val="32"/>
          <w:szCs w:val="32"/>
          <w14:textFill>
            <w14:solidFill>
              <w14:schemeClr w14:val="tx1"/>
            </w14:solidFill>
          </w14:textFill>
        </w:rPr>
      </w:pPr>
    </w:p>
    <w:p w14:paraId="27624155">
      <w:pPr>
        <w:spacing w:line="540" w:lineRule="exact"/>
        <w:rPr>
          <w:rFonts w:ascii="仿宋" w:hAnsi="仿宋" w:eastAsia="仿宋"/>
          <w:color w:val="000000" w:themeColor="text1"/>
          <w:sz w:val="32"/>
          <w:szCs w:val="32"/>
          <w14:textFill>
            <w14:solidFill>
              <w14:schemeClr w14:val="tx1"/>
            </w14:solidFill>
          </w14:textFill>
        </w:rPr>
      </w:pPr>
    </w:p>
    <w:p w14:paraId="2B54E1AB">
      <w:pPr>
        <w:spacing w:line="540" w:lineRule="exact"/>
        <w:rPr>
          <w:rFonts w:ascii="仿宋" w:hAnsi="仿宋" w:eastAsia="仿宋"/>
          <w:color w:val="000000" w:themeColor="text1"/>
          <w:sz w:val="32"/>
          <w:szCs w:val="32"/>
          <w14:textFill>
            <w14:solidFill>
              <w14:schemeClr w14:val="tx1"/>
            </w14:solidFill>
          </w14:textFill>
        </w:rPr>
      </w:pPr>
    </w:p>
    <w:p w14:paraId="30F2062F">
      <w:pPr>
        <w:spacing w:line="540" w:lineRule="exact"/>
        <w:rPr>
          <w:rFonts w:ascii="仿宋" w:hAnsi="仿宋" w:eastAsia="仿宋"/>
          <w:color w:val="000000" w:themeColor="text1"/>
          <w:sz w:val="32"/>
          <w:szCs w:val="32"/>
          <w14:textFill>
            <w14:solidFill>
              <w14:schemeClr w14:val="tx1"/>
            </w14:solidFill>
          </w14:textFill>
        </w:rPr>
      </w:pPr>
    </w:p>
    <w:p w14:paraId="7A888C06">
      <w:pPr>
        <w:spacing w:line="540" w:lineRule="exact"/>
        <w:rPr>
          <w:rFonts w:ascii="仿宋" w:hAnsi="仿宋" w:eastAsia="仿宋"/>
          <w:color w:val="000000" w:themeColor="text1"/>
          <w:sz w:val="32"/>
          <w:szCs w:val="32"/>
          <w14:textFill>
            <w14:solidFill>
              <w14:schemeClr w14:val="tx1"/>
            </w14:solidFill>
          </w14:textFill>
        </w:rPr>
      </w:pPr>
    </w:p>
    <w:p w14:paraId="5AA69D84">
      <w:pPr>
        <w:spacing w:line="540" w:lineRule="exact"/>
        <w:rPr>
          <w:rFonts w:ascii="仿宋" w:hAnsi="仿宋" w:eastAsia="仿宋"/>
          <w:color w:val="000000" w:themeColor="text1"/>
          <w:sz w:val="32"/>
          <w:szCs w:val="32"/>
          <w14:textFill>
            <w14:solidFill>
              <w14:schemeClr w14:val="tx1"/>
            </w14:solidFill>
          </w14:textFill>
        </w:rPr>
      </w:pPr>
    </w:p>
    <w:p w14:paraId="1F13BAFA">
      <w:pPr>
        <w:spacing w:line="540" w:lineRule="exact"/>
        <w:rPr>
          <w:rFonts w:ascii="仿宋" w:hAnsi="仿宋" w:eastAsia="仿宋"/>
          <w:color w:val="000000" w:themeColor="text1"/>
          <w:sz w:val="32"/>
          <w:szCs w:val="32"/>
          <w14:textFill>
            <w14:solidFill>
              <w14:schemeClr w14:val="tx1"/>
            </w14:solidFill>
          </w14:textFill>
        </w:rPr>
      </w:pPr>
    </w:p>
    <w:p w14:paraId="137DE008">
      <w:pPr>
        <w:spacing w:line="540" w:lineRule="exact"/>
        <w:rPr>
          <w:rFonts w:ascii="仿宋" w:hAnsi="仿宋" w:eastAsia="仿宋"/>
          <w:color w:val="000000" w:themeColor="text1"/>
          <w:sz w:val="32"/>
          <w:szCs w:val="32"/>
          <w14:textFill>
            <w14:solidFill>
              <w14:schemeClr w14:val="tx1"/>
            </w14:solidFill>
          </w14:textFill>
        </w:rPr>
      </w:pPr>
    </w:p>
    <w:p w14:paraId="58BBA56B">
      <w:pPr>
        <w:spacing w:line="500" w:lineRule="exact"/>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格式</w:t>
      </w:r>
      <w:r>
        <w:rPr>
          <w:rFonts w:hint="eastAsia" w:ascii="仿宋" w:hAnsi="仿宋" w:eastAsia="仿宋"/>
          <w:b/>
          <w:bCs/>
          <w:color w:val="000000" w:themeColor="text1"/>
          <w:sz w:val="32"/>
          <w:szCs w:val="32"/>
          <w14:textFill>
            <w14:solidFill>
              <w14:schemeClr w14:val="tx1"/>
            </w14:solidFill>
          </w14:textFill>
        </w:rPr>
        <w:t>10</w:t>
      </w:r>
    </w:p>
    <w:p w14:paraId="28C69BF8">
      <w:pPr>
        <w:spacing w:line="5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投标人提交的其它资料</w:t>
      </w:r>
    </w:p>
    <w:p w14:paraId="33F760A7">
      <w:pPr>
        <w:spacing w:line="500" w:lineRule="exact"/>
        <w:rPr>
          <w:rFonts w:ascii="仿宋" w:hAnsi="仿宋" w:eastAsia="仿宋"/>
          <w:b/>
          <w:color w:val="000000" w:themeColor="text1"/>
          <w:sz w:val="32"/>
          <w:szCs w:val="32"/>
          <w14:textFill>
            <w14:solidFill>
              <w14:schemeClr w14:val="tx1"/>
            </w14:solidFill>
          </w14:textFill>
        </w:rPr>
      </w:pPr>
    </w:p>
    <w:p w14:paraId="2B830528">
      <w:pPr>
        <w:spacing w:line="500" w:lineRule="exact"/>
        <w:ind w:firstLine="640" w:firstLineChars="20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（投标人认为应提交的其他材料, 可在此附件中提交）</w:t>
      </w:r>
    </w:p>
    <w:p w14:paraId="2C341EE4">
      <w:pPr>
        <w:spacing w:line="500" w:lineRule="exact"/>
        <w:rPr>
          <w:rFonts w:ascii="仿宋" w:hAnsi="仿宋" w:eastAsia="仿宋"/>
          <w:color w:val="000000" w:themeColor="text1"/>
          <w:sz w:val="32"/>
          <w:szCs w:val="32"/>
          <w14:textFill>
            <w14:solidFill>
              <w14:schemeClr w14:val="tx1"/>
            </w14:solidFill>
          </w14:textFill>
        </w:rPr>
      </w:pPr>
    </w:p>
    <w:p w14:paraId="7D8252D9">
      <w:pPr>
        <w:spacing w:line="500" w:lineRule="exact"/>
        <w:rPr>
          <w:rFonts w:ascii="仿宋" w:hAnsi="仿宋" w:eastAsia="仿宋"/>
          <w:color w:val="000000" w:themeColor="text1"/>
          <w:sz w:val="32"/>
          <w:szCs w:val="32"/>
          <w14:textFill>
            <w14:solidFill>
              <w14:schemeClr w14:val="tx1"/>
            </w14:solidFill>
          </w14:textFill>
        </w:rPr>
      </w:pPr>
    </w:p>
    <w:p w14:paraId="0720D74E">
      <w:pPr>
        <w:spacing w:line="500" w:lineRule="exact"/>
        <w:rPr>
          <w:rFonts w:ascii="仿宋" w:hAnsi="仿宋" w:eastAsia="仿宋"/>
          <w:color w:val="000000" w:themeColor="text1"/>
          <w:sz w:val="32"/>
          <w:szCs w:val="32"/>
          <w14:textFill>
            <w14:solidFill>
              <w14:schemeClr w14:val="tx1"/>
            </w14:solidFill>
          </w14:textFill>
        </w:rPr>
      </w:pPr>
    </w:p>
    <w:p w14:paraId="59238A1A">
      <w:pPr>
        <w:spacing w:line="500" w:lineRule="exact"/>
        <w:rPr>
          <w:rFonts w:ascii="仿宋" w:hAnsi="仿宋" w:eastAsia="仿宋"/>
          <w:color w:val="000000" w:themeColor="text1"/>
          <w:sz w:val="32"/>
          <w:szCs w:val="32"/>
          <w14:textFill>
            <w14:solidFill>
              <w14:schemeClr w14:val="tx1"/>
            </w14:solidFill>
          </w14:textFill>
        </w:rPr>
      </w:pPr>
    </w:p>
    <w:p w14:paraId="3BEF8AB7">
      <w:pPr>
        <w:spacing w:line="500" w:lineRule="exact"/>
        <w:ind w:firstLine="5600" w:firstLineChars="17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投标人全称(加盖公章)：</w:t>
      </w:r>
    </w:p>
    <w:p w14:paraId="6182B503">
      <w:pPr>
        <w:spacing w:line="500" w:lineRule="exact"/>
        <w:ind w:firstLine="5600" w:firstLineChars="1750"/>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投标人代表签字：</w:t>
      </w:r>
    </w:p>
    <w:p w14:paraId="61864D6B">
      <w:pPr>
        <w:spacing w:line="500" w:lineRule="exact"/>
        <w:ind w:firstLine="5760" w:firstLineChars="18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日          期：</w:t>
      </w:r>
    </w:p>
    <w:p w14:paraId="6D69580D">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0DF1F8D4">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3EE1203E">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0BCB26C3">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0AD7019E">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088AFC52">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62851872">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1C3F9C98">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24EE6A81">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23DDB735">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246B8D97">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40AEEA50">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21E164BC">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1A86393A">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4D54D4FF">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418A729D">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720D1691">
      <w:pPr>
        <w:spacing w:line="500" w:lineRule="exact"/>
        <w:ind w:firstLine="5760" w:firstLineChars="1800"/>
        <w:rPr>
          <w:rFonts w:ascii="仿宋" w:hAnsi="仿宋" w:eastAsia="仿宋"/>
          <w:color w:val="000000" w:themeColor="text1"/>
          <w:sz w:val="32"/>
          <w:szCs w:val="32"/>
          <w14:textFill>
            <w14:solidFill>
              <w14:schemeClr w14:val="tx1"/>
            </w14:solidFill>
          </w14:textFill>
        </w:rPr>
      </w:pPr>
    </w:p>
    <w:p w14:paraId="1982E9D6">
      <w:pPr>
        <w:spacing w:line="500" w:lineRule="exac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格式11 投标人密封条</w:t>
      </w:r>
    </w:p>
    <w:p w14:paraId="2676A10F">
      <w:pPr>
        <w:spacing w:line="500" w:lineRule="exact"/>
        <w:rPr>
          <w:rFonts w:ascii="仿宋" w:hAnsi="仿宋" w:eastAsia="仿宋"/>
          <w:color w:val="000000" w:themeColor="text1"/>
          <w:sz w:val="32"/>
          <w:szCs w:val="32"/>
          <w14:textFill>
            <w14:solidFill>
              <w14:schemeClr w14:val="tx1"/>
            </w14:solidFill>
          </w14:textFill>
        </w:rPr>
      </w:pPr>
    </w:p>
    <w:p w14:paraId="73D160F4">
      <w:pPr>
        <w:spacing w:line="500" w:lineRule="exact"/>
        <w:rPr>
          <w:rFonts w:ascii="仿宋" w:hAnsi="仿宋" w:eastAsia="仿宋" w:cs="Arial"/>
          <w:color w:val="000000" w:themeColor="text1"/>
          <w:sz w:val="32"/>
          <w:szCs w:val="32"/>
          <w14:textFill>
            <w14:solidFill>
              <w14:schemeClr w14:val="tx1"/>
            </w14:solidFill>
          </w14:textFill>
        </w:rPr>
      </w:pPr>
      <w:r>
        <w:rPr>
          <w:rFonts w:hint="eastAsia" w:ascii="仿宋" w:hAnsi="仿宋" w:eastAsia="仿宋" w:cs="Arial"/>
          <w:color w:val="000000" w:themeColor="text1"/>
          <w:sz w:val="32"/>
          <w:szCs w:val="32"/>
          <w14:textFill>
            <w14:solidFill>
              <w14:schemeClr w14:val="tx1"/>
            </w14:solidFill>
          </w14:textFill>
        </w:rPr>
        <w:t>--------------------------------------------------------</w:t>
      </w:r>
    </w:p>
    <w:p w14:paraId="24F0C2BA">
      <w:pPr>
        <w:spacing w:line="500" w:lineRule="exact"/>
        <w:rPr>
          <w:rFonts w:ascii="仿宋" w:hAnsi="仿宋" w:eastAsia="仿宋" w:cs="Arial"/>
          <w:b/>
          <w:color w:val="000000" w:themeColor="text1"/>
          <w:sz w:val="32"/>
          <w:szCs w:val="32"/>
          <w14:textFill>
            <w14:solidFill>
              <w14:schemeClr w14:val="tx1"/>
            </w14:solidFill>
          </w14:textFill>
        </w:rPr>
      </w:pPr>
      <w:r>
        <w:rPr>
          <w:rFonts w:hint="eastAsia" w:ascii="仿宋" w:hAnsi="仿宋" w:eastAsia="仿宋" w:cs="Arial"/>
          <w:b/>
          <w:color w:val="000000" w:themeColor="text1"/>
          <w:sz w:val="32"/>
          <w:szCs w:val="32"/>
          <w14:textFill>
            <w14:solidFill>
              <w14:schemeClr w14:val="tx1"/>
            </w14:solidFill>
          </w14:textFill>
        </w:rPr>
        <w:t xml:space="preserve">    密    封    条</w:t>
      </w:r>
    </w:p>
    <w:tbl>
      <w:tblPr>
        <w:tblStyle w:val="16"/>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1"/>
        <w:gridCol w:w="2019"/>
        <w:gridCol w:w="1706"/>
        <w:gridCol w:w="2200"/>
      </w:tblGrid>
      <w:tr w14:paraId="00B8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31" w:type="dxa"/>
            <w:vAlign w:val="center"/>
          </w:tcPr>
          <w:p w14:paraId="0850B33A">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送   呈</w:t>
            </w:r>
          </w:p>
        </w:tc>
        <w:tc>
          <w:tcPr>
            <w:tcW w:w="7026" w:type="dxa"/>
            <w:gridSpan w:val="4"/>
            <w:vAlign w:val="center"/>
          </w:tcPr>
          <w:p w14:paraId="5CFDECBC">
            <w:pPr>
              <w:spacing w:line="500" w:lineRule="exact"/>
              <w:ind w:left="42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厦门国贸物业服务有限公司</w:t>
            </w:r>
          </w:p>
        </w:tc>
      </w:tr>
      <w:tr w14:paraId="7F84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31" w:type="dxa"/>
            <w:vAlign w:val="center"/>
          </w:tcPr>
          <w:p w14:paraId="40B63A79">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项目名称</w:t>
            </w:r>
          </w:p>
        </w:tc>
        <w:tc>
          <w:tcPr>
            <w:tcW w:w="3120" w:type="dxa"/>
            <w:gridSpan w:val="2"/>
            <w:vAlign w:val="center"/>
          </w:tcPr>
          <w:p w14:paraId="116B5AFF">
            <w:pPr>
              <w:spacing w:line="500" w:lineRule="exact"/>
              <w:rPr>
                <w:rFonts w:ascii="仿宋" w:hAnsi="仿宋" w:eastAsia="仿宋" w:cs="仿宋"/>
                <w:bCs/>
                <w:color w:val="000000" w:themeColor="text1"/>
                <w:sz w:val="30"/>
                <w:szCs w:val="30"/>
                <w:lang w:val="zh-CN"/>
                <w14:textFill>
                  <w14:solidFill>
                    <w14:schemeClr w14:val="tx1"/>
                  </w14:solidFill>
                </w14:textFill>
              </w:rPr>
            </w:pPr>
          </w:p>
        </w:tc>
        <w:tc>
          <w:tcPr>
            <w:tcW w:w="1706" w:type="dxa"/>
            <w:vAlign w:val="center"/>
          </w:tcPr>
          <w:p w14:paraId="729F8F09">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招标编号</w:t>
            </w:r>
          </w:p>
        </w:tc>
        <w:tc>
          <w:tcPr>
            <w:tcW w:w="2200" w:type="dxa"/>
            <w:vAlign w:val="center"/>
          </w:tcPr>
          <w:p w14:paraId="53B4A7DD">
            <w:pPr>
              <w:spacing w:line="500" w:lineRule="exact"/>
              <w:rPr>
                <w:rFonts w:ascii="仿宋" w:hAnsi="仿宋" w:eastAsia="仿宋" w:cs="Arial"/>
                <w:color w:val="000000" w:themeColor="text1"/>
                <w:kern w:val="0"/>
                <w:sz w:val="32"/>
                <w:szCs w:val="32"/>
                <w14:textFill>
                  <w14:solidFill>
                    <w14:schemeClr w14:val="tx1"/>
                  </w14:solidFill>
                </w14:textFill>
              </w:rPr>
            </w:pPr>
          </w:p>
        </w:tc>
      </w:tr>
      <w:tr w14:paraId="43E2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31" w:type="dxa"/>
            <w:vAlign w:val="center"/>
          </w:tcPr>
          <w:p w14:paraId="1E9A7D7C">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截标日期</w:t>
            </w:r>
          </w:p>
        </w:tc>
        <w:tc>
          <w:tcPr>
            <w:tcW w:w="7026" w:type="dxa"/>
            <w:gridSpan w:val="4"/>
            <w:vAlign w:val="center"/>
          </w:tcPr>
          <w:p w14:paraId="5AEBC35B">
            <w:pPr>
              <w:spacing w:line="500" w:lineRule="exact"/>
              <w:ind w:firstLine="640" w:firstLineChars="200"/>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年  月  日    分止</w:t>
            </w:r>
          </w:p>
        </w:tc>
      </w:tr>
      <w:tr w14:paraId="3610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326D9F36">
            <w:pPr>
              <w:spacing w:line="500" w:lineRule="exact"/>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s="Arial"/>
                <w:color w:val="000000" w:themeColor="text1"/>
                <w:kern w:val="0"/>
                <w:sz w:val="32"/>
                <w:szCs w:val="32"/>
                <w14:textFill>
                  <w14:solidFill>
                    <w14:schemeClr w14:val="tx1"/>
                  </w14:solidFill>
                </w14:textFill>
              </w:rPr>
              <w:t>报价单位名称（加盖密封章或公章）</w:t>
            </w:r>
          </w:p>
        </w:tc>
        <w:tc>
          <w:tcPr>
            <w:tcW w:w="5925" w:type="dxa"/>
            <w:gridSpan w:val="3"/>
            <w:vAlign w:val="center"/>
          </w:tcPr>
          <w:p w14:paraId="6FC6066C">
            <w:pPr>
              <w:spacing w:line="500" w:lineRule="exact"/>
              <w:rPr>
                <w:rFonts w:ascii="仿宋" w:hAnsi="仿宋" w:eastAsia="仿宋" w:cs="Arial"/>
                <w:color w:val="000000" w:themeColor="text1"/>
                <w:kern w:val="0"/>
                <w:sz w:val="32"/>
                <w:szCs w:val="32"/>
                <w14:textFill>
                  <w14:solidFill>
                    <w14:schemeClr w14:val="tx1"/>
                  </w14:solidFill>
                </w14:textFill>
              </w:rPr>
            </w:pPr>
          </w:p>
        </w:tc>
      </w:tr>
    </w:tbl>
    <w:p w14:paraId="10766526">
      <w:pPr>
        <w:spacing w:line="500" w:lineRule="exact"/>
        <w:rPr>
          <w:rFonts w:ascii="仿宋" w:hAnsi="仿宋" w:eastAsia="仿宋"/>
          <w:b/>
          <w:color w:val="000000" w:themeColor="text1"/>
          <w:sz w:val="32"/>
          <w:szCs w:val="32"/>
          <w14:textFill>
            <w14:solidFill>
              <w14:schemeClr w14:val="tx1"/>
            </w14:solidFill>
          </w14:textFill>
        </w:rPr>
      </w:pPr>
    </w:p>
    <w:p w14:paraId="1F3E03B8">
      <w:pPr>
        <w:spacing w:line="500" w:lineRule="exact"/>
        <w:rPr>
          <w:rFonts w:ascii="仿宋" w:hAnsi="仿宋" w:eastAsia="仿宋" w:cs="Arial"/>
          <w:color w:val="000000" w:themeColor="text1"/>
          <w:sz w:val="32"/>
          <w:szCs w:val="32"/>
          <w14:textFill>
            <w14:solidFill>
              <w14:schemeClr w14:val="tx1"/>
            </w14:solidFill>
          </w14:textFill>
        </w:rPr>
      </w:pPr>
      <w:r>
        <w:rPr>
          <w:rFonts w:hint="eastAsia" w:ascii="仿宋" w:hAnsi="仿宋" w:eastAsia="仿宋" w:cs="Arial"/>
          <w:color w:val="000000" w:themeColor="text1"/>
          <w:sz w:val="32"/>
          <w:szCs w:val="32"/>
          <w14:textFill>
            <w14:solidFill>
              <w14:schemeClr w14:val="tx1"/>
            </w14:solidFill>
          </w14:textFill>
        </w:rPr>
        <w:t>--------------------------------------------------------</w:t>
      </w:r>
    </w:p>
    <w:bookmarkEnd w:id="5"/>
    <w:bookmarkEnd w:id="6"/>
    <w:p w14:paraId="6C70A7DE">
      <w:pPr>
        <w:pageBreakBefore/>
        <w:tabs>
          <w:tab w:val="left" w:pos="5130"/>
        </w:tabs>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建筑垃圾清运服务合同</w:t>
      </w:r>
    </w:p>
    <w:p w14:paraId="2742F4F3">
      <w:pPr>
        <w:pStyle w:val="9"/>
        <w:spacing w:line="360" w:lineRule="auto"/>
        <w:ind w:right="42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 xml:space="preserve"> 合同编号：</w:t>
      </w:r>
    </w:p>
    <w:p w14:paraId="673A59B8">
      <w:pPr>
        <w:spacing w:line="360" w:lineRule="auto"/>
        <w:rPr>
          <w:rFonts w:ascii="宋体" w:hAnsi="宋体"/>
          <w:b/>
          <w:color w:val="000000" w:themeColor="text1"/>
          <w:sz w:val="24"/>
          <w14:textFill>
            <w14:solidFill>
              <w14:schemeClr w14:val="tx1"/>
            </w14:solidFill>
          </w14:textFill>
        </w:rPr>
      </w:pPr>
    </w:p>
    <w:p w14:paraId="64D3942A">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甲方：                                       </w:t>
      </w:r>
    </w:p>
    <w:p w14:paraId="73B633A5">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法定代表人：                                 </w:t>
      </w:r>
    </w:p>
    <w:p w14:paraId="50E96F8C">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地址：                                       </w:t>
      </w:r>
    </w:p>
    <w:p w14:paraId="30865D91">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乙方：                                       </w:t>
      </w:r>
    </w:p>
    <w:p w14:paraId="5E4DBBB7">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法定代表人：                                 </w:t>
      </w:r>
    </w:p>
    <w:p w14:paraId="776686DB">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 xml:space="preserve">住所地：                                     </w:t>
      </w:r>
    </w:p>
    <w:p w14:paraId="412171D9">
      <w:pPr>
        <w:adjustRightInd w:val="0"/>
        <w:snapToGrid w:val="0"/>
        <w:spacing w:line="360" w:lineRule="auto"/>
        <w:ind w:firstLine="470" w:firstLineChars="196"/>
        <w:rPr>
          <w:rFonts w:hAnsi="宋体"/>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甲方为</w:t>
      </w:r>
      <w:r>
        <w:rPr>
          <w:rFonts w:hint="eastAsia" w:ascii="宋体" w:hAnsi="宋体"/>
          <w:b/>
          <w:color w:val="000000" w:themeColor="text1"/>
          <w:sz w:val="24"/>
          <w:u w:val="single"/>
          <w14:textFill>
            <w14:solidFill>
              <w14:schemeClr w14:val="tx1"/>
            </w14:solidFill>
          </w14:textFill>
        </w:rPr>
        <w:t>泉州国贸江南璟上</w:t>
      </w:r>
      <w:r>
        <w:rPr>
          <w:rFonts w:hint="eastAsia" w:hAnsi="宋体"/>
          <w:color w:val="000000" w:themeColor="text1"/>
          <w:sz w:val="24"/>
          <w:szCs w:val="24"/>
          <w14:textFill>
            <w14:solidFill>
              <w14:schemeClr w14:val="tx1"/>
            </w14:solidFill>
          </w14:textFill>
        </w:rPr>
        <w:t>项目（下称“本项目”）的物业服务企业，乙方为建筑装修垃圾清运服务专业机构，经甲、乙双方友好协商，在平等自愿的原则下，就乙方承包</w:t>
      </w:r>
      <w:r>
        <w:rPr>
          <w:rFonts w:hAnsi="宋体"/>
          <w:color w:val="000000" w:themeColor="text1"/>
          <w:sz w:val="24"/>
          <w:szCs w:val="24"/>
          <w14:textFill>
            <w14:solidFill>
              <w14:schemeClr w14:val="tx1"/>
            </w14:solidFill>
          </w14:textFill>
        </w:rPr>
        <w:t>本项目</w:t>
      </w:r>
      <w:r>
        <w:rPr>
          <w:rFonts w:hint="eastAsia" w:hAnsi="宋体"/>
          <w:color w:val="000000" w:themeColor="text1"/>
          <w:sz w:val="24"/>
          <w:szCs w:val="24"/>
          <w14:textFill>
            <w14:solidFill>
              <w14:schemeClr w14:val="tx1"/>
            </w14:solidFill>
          </w14:textFill>
        </w:rPr>
        <w:t>建筑装修垃圾清运服务（下称“垃圾清运服务”）达成一致，特签订本合同，以资共同信守。</w:t>
      </w:r>
    </w:p>
    <w:p w14:paraId="39FFCA2A">
      <w:pPr>
        <w:adjustRightInd w:val="0"/>
        <w:snapToGrid w:val="0"/>
        <w:spacing w:line="360" w:lineRule="auto"/>
        <w:ind w:firstLine="472" w:firstLineChars="196"/>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第一条 项目地址：</w:t>
      </w:r>
      <w:r>
        <w:rPr>
          <w:rFonts w:hint="eastAsia" w:ascii="宋体" w:hAnsi="宋体"/>
          <w:b/>
          <w:color w:val="000000" w:themeColor="text1"/>
          <w:sz w:val="24"/>
          <w:lang w:val="en-US" w:eastAsia="zh-CN"/>
          <w14:textFill>
            <w14:solidFill>
              <w14:schemeClr w14:val="tx1"/>
            </w14:solidFill>
          </w14:textFill>
        </w:rPr>
        <w:t xml:space="preserve">                          </w:t>
      </w:r>
    </w:p>
    <w:p w14:paraId="39C105E8">
      <w:pPr>
        <w:adjustRightInd w:val="0"/>
        <w:snapToGrid w:val="0"/>
        <w:spacing w:line="360" w:lineRule="auto"/>
        <w:ind w:firstLine="472" w:firstLineChars="196"/>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 承包方</w:t>
      </w:r>
      <w:r>
        <w:rPr>
          <w:rFonts w:hint="eastAsia" w:ascii="宋体" w:hAnsi="宋体"/>
          <w:b/>
          <w:color w:val="000000" w:themeColor="text1"/>
          <w:sz w:val="24"/>
          <w:lang w:val="en-US" w:eastAsia="zh-CN"/>
          <w14:textFill>
            <w14:solidFill>
              <w14:schemeClr w14:val="tx1"/>
            </w14:solidFill>
          </w14:textFill>
        </w:rPr>
        <w:t>式</w:t>
      </w:r>
      <w:r>
        <w:rPr>
          <w:rFonts w:hint="eastAsia" w:ascii="宋体" w:hAnsi="宋体"/>
          <w:b/>
          <w:color w:val="000000" w:themeColor="text1"/>
          <w:sz w:val="24"/>
          <w14:textFill>
            <w14:solidFill>
              <w14:schemeClr w14:val="tx1"/>
            </w14:solidFill>
          </w14:textFill>
        </w:rPr>
        <w:t>及质量要求：</w:t>
      </w:r>
      <w:r>
        <w:rPr>
          <w:rFonts w:hint="eastAsia" w:ascii="宋体" w:hAnsi="宋体"/>
          <w:color w:val="000000" w:themeColor="text1"/>
          <w:sz w:val="24"/>
          <w:u w:val="single"/>
          <w14:textFill>
            <w14:solidFill>
              <w14:schemeClr w14:val="tx1"/>
            </w14:solidFill>
          </w14:textFill>
        </w:rPr>
        <w:t>包工、包料(含清运材料、工具、机械、设备等)、包税、包安全、保质量</w:t>
      </w:r>
      <w:r>
        <w:rPr>
          <w:rFonts w:hint="eastAsia" w:ascii="宋体" w:hAnsi="宋体"/>
          <w:color w:val="000000" w:themeColor="text1"/>
          <w:sz w:val="24"/>
          <w:u w:val="single"/>
          <w:lang w:val="en-US" w:eastAsia="zh-CN"/>
          <w14:textFill>
            <w14:solidFill>
              <w14:schemeClr w14:val="tx1"/>
            </w14:solidFill>
          </w14:textFill>
        </w:rPr>
        <w:t>的全包方式</w:t>
      </w:r>
      <w:r>
        <w:rPr>
          <w:rFonts w:hint="eastAsia" w:ascii="宋体" w:hAnsi="宋体"/>
          <w:color w:val="000000" w:themeColor="text1"/>
          <w:sz w:val="24"/>
          <w14:textFill>
            <w14:solidFill>
              <w14:schemeClr w14:val="tx1"/>
            </w14:solidFill>
          </w14:textFill>
        </w:rPr>
        <w:t>。</w:t>
      </w:r>
    </w:p>
    <w:p w14:paraId="7700D297">
      <w:pPr>
        <w:pStyle w:val="9"/>
        <w:adjustRightInd w:val="0"/>
        <w:snapToGrid w:val="0"/>
        <w:spacing w:line="360" w:lineRule="auto"/>
        <w:ind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第三条 服务期限</w:t>
      </w:r>
    </w:p>
    <w:p w14:paraId="13E06092">
      <w:pPr>
        <w:pStyle w:val="9"/>
        <w:adjustRightInd w:val="0"/>
        <w:snapToGrid w:val="0"/>
        <w:spacing w:line="360" w:lineRule="auto"/>
        <w:ind w:left="239" w:leftChars="114" w:firstLine="240" w:firstLineChars="100"/>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本合同</w:t>
      </w:r>
      <w:r>
        <w:rPr>
          <w:rFonts w:hAnsi="宋体"/>
          <w:color w:val="000000" w:themeColor="text1"/>
          <w:sz w:val="24"/>
          <w:szCs w:val="24"/>
          <w14:textFill>
            <w14:solidFill>
              <w14:schemeClr w14:val="tx1"/>
            </w14:solidFill>
          </w14:textFill>
        </w:rPr>
        <w:t>项下</w:t>
      </w:r>
      <w:r>
        <w:rPr>
          <w:rFonts w:hint="eastAsia" w:hAnsi="宋体"/>
          <w:color w:val="000000" w:themeColor="text1"/>
          <w:sz w:val="24"/>
          <w:szCs w:val="24"/>
          <w14:textFill>
            <w14:solidFill>
              <w14:schemeClr w14:val="tx1"/>
            </w14:solidFill>
          </w14:textFill>
        </w:rPr>
        <w:t>建筑垃圾清运服务期限自</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日起至</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日止。服务期内，若甲方终止本项目的物业管理服务，则本协议同日自动终止，双方互不承担责任。</w:t>
      </w:r>
    </w:p>
    <w:p w14:paraId="67E870C3">
      <w:pPr>
        <w:pStyle w:val="9"/>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第四条 服务范围及内容</w:t>
      </w:r>
    </w:p>
    <w:p w14:paraId="16FB3E6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w:t>
      </w:r>
      <w:r>
        <w:rPr>
          <w:rFonts w:ascii="宋体" w:hAnsi="宋体"/>
          <w:color w:val="000000" w:themeColor="text1"/>
          <w:sz w:val="24"/>
          <w14:textFill>
            <w14:solidFill>
              <w14:schemeClr w14:val="tx1"/>
            </w14:solidFill>
          </w14:textFill>
        </w:rPr>
        <w:t>项下</w:t>
      </w:r>
      <w:r>
        <w:rPr>
          <w:rFonts w:hint="eastAsia" w:ascii="宋体" w:hAnsi="宋体"/>
          <w:color w:val="000000" w:themeColor="text1"/>
          <w:sz w:val="24"/>
          <w14:textFill>
            <w14:solidFill>
              <w14:schemeClr w14:val="tx1"/>
            </w14:solidFill>
          </w14:textFill>
        </w:rPr>
        <w:t>建筑垃圾清运服务范围为：甲方实施物业管理服务的</w:t>
      </w:r>
      <w:r>
        <w:rPr>
          <w:rFonts w:hint="eastAsia" w:ascii="宋体" w:hAnsi="宋体"/>
          <w:color w:val="000000" w:themeColor="text1"/>
          <w:sz w:val="24"/>
          <w:u w:val="none"/>
          <w14:textFill>
            <w14:solidFill>
              <w14:schemeClr w14:val="tx1"/>
            </w14:solidFill>
          </w14:textFill>
        </w:rPr>
        <w:t>本</w:t>
      </w:r>
      <w:r>
        <w:rPr>
          <w:rFonts w:hint="eastAsia" w:ascii="宋体" w:hAnsi="宋体"/>
          <w:color w:val="000000" w:themeColor="text1"/>
          <w:sz w:val="24"/>
          <w14:textFill>
            <w14:solidFill>
              <w14:schemeClr w14:val="tx1"/>
            </w14:solidFill>
          </w14:textFill>
        </w:rPr>
        <w:t>项目业主在二次装修时所产生的建筑垃圾（不包含园林绿化垃圾、生活垃圾的清运）。</w:t>
      </w:r>
    </w:p>
    <w:p w14:paraId="39BD97C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w:t>
      </w:r>
      <w:r>
        <w:rPr>
          <w:rFonts w:ascii="宋体" w:hAnsi="宋体"/>
          <w:color w:val="000000" w:themeColor="text1"/>
          <w:sz w:val="24"/>
          <w14:textFill>
            <w14:solidFill>
              <w14:schemeClr w14:val="tx1"/>
            </w14:solidFill>
          </w14:textFill>
        </w:rPr>
        <w:t>项下</w:t>
      </w:r>
      <w:r>
        <w:rPr>
          <w:rFonts w:hint="eastAsia" w:ascii="宋体" w:hAnsi="宋体"/>
          <w:color w:val="000000" w:themeColor="text1"/>
          <w:sz w:val="24"/>
          <w14:textFill>
            <w14:solidFill>
              <w14:schemeClr w14:val="tx1"/>
            </w14:solidFill>
          </w14:textFill>
        </w:rPr>
        <w:t>建筑垃圾清运服务的内容为：</w:t>
      </w:r>
    </w:p>
    <w:p w14:paraId="5F7DB1F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1）本项目服务范围内所有建筑垃圾的清理、清运；</w:t>
      </w:r>
    </w:p>
    <w:p w14:paraId="727048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2）负责在甲方指定的堆放点修建围栏设施，以免造成区域污染（硬隔断、墙面、柱角、地面保护等）。</w:t>
      </w:r>
    </w:p>
    <w:p w14:paraId="3E40752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3）配备专业的保洁人员及时清理装卸车现场及周边遗落的建筑垃圾，针对某些部位无法采用常规办法清扫的，应配备专业工具（如吸尘器）予以清理，保持环境整体整洁、干净。</w:t>
      </w:r>
    </w:p>
    <w:p w14:paraId="24384B4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3、根据《鲤城区城市建筑垃圾专项整治实施方案》要求配合并落实。</w:t>
      </w:r>
    </w:p>
    <w:p w14:paraId="0C4A6ED7">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 保证金</w:t>
      </w:r>
    </w:p>
    <w:p w14:paraId="30C5430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1、乙方应在本合同签署后3日内，向甲方缴纳人民币</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万</w:t>
      </w:r>
      <w:r>
        <w:rPr>
          <w:rFonts w:hint="eastAsia" w:ascii="宋体" w:hAnsi="宋体"/>
          <w:color w:val="000000" w:themeColor="text1"/>
          <w:sz w:val="24"/>
          <w14:textFill>
            <w14:solidFill>
              <w14:schemeClr w14:val="tx1"/>
            </w14:solidFill>
          </w14:textFill>
        </w:rPr>
        <w:t>元整的履约保证金（以下称“保证金”），上述保证金作为乙方履行本合同义务的担保。</w:t>
      </w:r>
    </w:p>
    <w:p w14:paraId="58AAABA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2、如乙方发生违约，甲方有权从中扣除乙方应承担的赔偿金或违约金，该等扣除金额将视为乙方向甲方支付的赔偿金或违约金，乙方应在甲方扣款后3个工作日内补足保证金。</w:t>
      </w:r>
    </w:p>
    <w:p w14:paraId="3A7571C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3、服务期限届满后15日内，甲方无息退还保证金剩余部分（如有）。乙方应同时退还甲方保证金收据原件。</w:t>
      </w:r>
    </w:p>
    <w:p w14:paraId="33143E96">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第六条 </w:t>
      </w:r>
      <w:r>
        <w:rPr>
          <w:rFonts w:hint="eastAsia" w:ascii="宋体" w:hAnsi="宋体"/>
          <w:b/>
          <w:color w:val="000000" w:themeColor="text1"/>
          <w:sz w:val="24"/>
          <w:lang w:val="en-US" w:eastAsia="zh-CN"/>
          <w14:textFill>
            <w14:solidFill>
              <w14:schemeClr w14:val="tx1"/>
            </w14:solidFill>
          </w14:textFill>
        </w:rPr>
        <w:t>垃圾清运费</w:t>
      </w:r>
      <w:r>
        <w:rPr>
          <w:rFonts w:hint="eastAsia" w:ascii="宋体" w:hAnsi="宋体"/>
          <w:b/>
          <w:color w:val="000000" w:themeColor="text1"/>
          <w:sz w:val="24"/>
          <w14:textFill>
            <w14:solidFill>
              <w14:schemeClr w14:val="tx1"/>
            </w14:solidFill>
          </w14:textFill>
        </w:rPr>
        <w:t>及支付</w:t>
      </w:r>
    </w:p>
    <w:p w14:paraId="42470FB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w:t>
      </w:r>
      <w:r>
        <w:rPr>
          <w:rFonts w:ascii="宋体" w:hAnsi="宋体"/>
          <w:color w:val="000000" w:themeColor="text1"/>
          <w:sz w:val="24"/>
          <w14:textFill>
            <w14:solidFill>
              <w14:schemeClr w14:val="tx1"/>
            </w14:solidFill>
          </w14:textFill>
        </w:rPr>
        <w:t>项下</w:t>
      </w:r>
      <w:r>
        <w:rPr>
          <w:rFonts w:hint="eastAsia" w:ascii="宋体" w:hAnsi="宋体"/>
          <w:color w:val="000000" w:themeColor="text1"/>
          <w:sz w:val="24"/>
          <w:lang w:val="en-US" w:eastAsia="zh-CN"/>
          <w14:textFill>
            <w14:solidFill>
              <w14:schemeClr w14:val="tx1"/>
            </w14:solidFill>
          </w14:textFill>
        </w:rPr>
        <w:t>的垃圾</w:t>
      </w:r>
      <w:r>
        <w:rPr>
          <w:rFonts w:hint="eastAsia" w:ascii="宋体" w:hAnsi="宋体"/>
          <w:color w:val="000000" w:themeColor="text1"/>
          <w:sz w:val="24"/>
          <w14:textFill>
            <w14:solidFill>
              <w14:schemeClr w14:val="tx1"/>
            </w14:solidFill>
          </w14:textFill>
        </w:rPr>
        <w:t>清运费</w:t>
      </w:r>
      <w:r>
        <w:rPr>
          <w:rFonts w:hint="eastAsia" w:ascii="宋体" w:hAnsi="宋体"/>
          <w:color w:val="000000" w:themeColor="text1"/>
          <w:sz w:val="24"/>
          <w:lang w:val="en-US" w:eastAsia="zh-CN"/>
          <w14:textFill>
            <w14:solidFill>
              <w14:schemeClr w14:val="tx1"/>
            </w14:solidFill>
          </w14:textFill>
        </w:rPr>
        <w:t>根据</w:t>
      </w:r>
      <w:r>
        <w:rPr>
          <w:rFonts w:hint="eastAsia" w:ascii="宋体" w:hAnsi="宋体"/>
          <w:color w:val="000000" w:themeColor="text1"/>
          <w:sz w:val="24"/>
          <w14:textFill>
            <w14:solidFill>
              <w14:schemeClr w14:val="tx1"/>
            </w14:solidFill>
          </w14:textFill>
        </w:rPr>
        <w:t>住宅和商铺产权面积按人民币</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元整</w:t>
      </w:r>
      <w:r>
        <w:rPr>
          <w:rFonts w:hint="eastAsia" w:ascii="宋体" w:hAnsi="宋体"/>
          <w:color w:val="000000" w:themeColor="text1"/>
          <w:sz w:val="24"/>
          <w:lang w:val="en-US" w:eastAsia="zh-CN"/>
          <w14:textFill>
            <w14:solidFill>
              <w14:schemeClr w14:val="tx1"/>
            </w14:solidFill>
          </w14:textFill>
        </w:rPr>
        <w:t>/m²的标准</w:t>
      </w:r>
      <w:r>
        <w:rPr>
          <w:rFonts w:hint="eastAsia" w:ascii="宋体" w:hAnsi="宋体"/>
          <w:color w:val="000000" w:themeColor="text1"/>
          <w:sz w:val="24"/>
          <w14:textFill>
            <w14:solidFill>
              <w14:schemeClr w14:val="tx1"/>
            </w14:solidFill>
          </w14:textFill>
        </w:rPr>
        <w:t>结算。</w:t>
      </w:r>
    </w:p>
    <w:p w14:paraId="6F8BAE3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上述清运费单价包干，不因任何原因（包括物价上涨、最低工资标准或社保缴费基数上调、人员配置增加、设备配置调整等）调增，包括但不限于建筑垃圾装车费、运输费、卸车费、建筑垃圾堆放点场地清理费、建筑垃圾堆放点场地围挡及地面保护费、清运通道开辟及后期围挡拆除的场地恢复费、因建筑垃圾清运所产生的安全纠纷所产生的费用等，除此之外，甲方不再向乙方支付任何费用。</w:t>
      </w:r>
    </w:p>
    <w:p w14:paraId="52F4298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垃圾</w:t>
      </w:r>
      <w:r>
        <w:rPr>
          <w:rFonts w:ascii="宋体" w:hAnsi="宋体"/>
          <w:color w:val="000000" w:themeColor="text1"/>
          <w:sz w:val="24"/>
          <w14:textFill>
            <w14:solidFill>
              <w14:schemeClr w14:val="tx1"/>
            </w14:solidFill>
          </w14:textFill>
        </w:rPr>
        <w:t>清运费</w:t>
      </w:r>
      <w:r>
        <w:rPr>
          <w:rFonts w:hint="eastAsia" w:ascii="宋体" w:hAnsi="宋体"/>
          <w:color w:val="000000" w:themeColor="text1"/>
          <w:sz w:val="24"/>
          <w14:textFill>
            <w14:solidFill>
              <w14:schemeClr w14:val="tx1"/>
            </w14:solidFill>
          </w14:textFill>
        </w:rPr>
        <w:t>分</w:t>
      </w:r>
      <w:r>
        <w:rPr>
          <w:rFonts w:hint="eastAsia" w:ascii="宋体" w:hAnsi="宋体"/>
          <w:color w:val="000000" w:themeColor="text1"/>
          <w:sz w:val="24"/>
          <w:lang w:val="en-US" w:eastAsia="zh-CN"/>
          <w14:textFill>
            <w14:solidFill>
              <w14:schemeClr w14:val="tx1"/>
            </w14:solidFill>
          </w14:textFill>
        </w:rPr>
        <w:t>期</w:t>
      </w:r>
      <w:r>
        <w:rPr>
          <w:rFonts w:hint="eastAsia" w:ascii="宋体" w:hAnsi="宋体"/>
          <w:color w:val="000000" w:themeColor="text1"/>
          <w:sz w:val="24"/>
          <w14:textFill>
            <w14:solidFill>
              <w14:schemeClr w14:val="tx1"/>
            </w14:solidFill>
          </w14:textFill>
        </w:rPr>
        <w:t>结算：</w:t>
      </w:r>
    </w:p>
    <w:p w14:paraId="667FA43D">
      <w:pPr>
        <w:numPr>
          <w:ilvl w:val="255"/>
          <w:numId w:val="0"/>
        </w:num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自</w:t>
      </w:r>
      <w:r>
        <w:rPr>
          <w:rFonts w:hint="eastAsia" w:ascii="宋体" w:hAnsi="宋体" w:eastAsia="宋体" w:cs="宋体"/>
          <w:bCs/>
          <w:color w:val="000000" w:themeColor="text1"/>
          <w:sz w:val="24"/>
          <w:szCs w:val="24"/>
          <w:lang w:val="en-US" w:eastAsia="zh-CN"/>
          <w14:textFill>
            <w14:solidFill>
              <w14:schemeClr w14:val="tx1"/>
            </w14:solidFill>
          </w14:textFill>
        </w:rPr>
        <w:t>服务期满</w:t>
      </w:r>
      <w:r>
        <w:rPr>
          <w:rFonts w:hint="eastAsia" w:ascii="宋体" w:hAnsi="宋体" w:eastAsia="宋体" w:cs="宋体"/>
          <w:bCs/>
          <w:color w:val="000000" w:themeColor="text1"/>
          <w:sz w:val="24"/>
          <w:szCs w:val="24"/>
          <w14:textFill>
            <w14:solidFill>
              <w14:schemeClr w14:val="tx1"/>
            </w14:solidFill>
          </w14:textFill>
        </w:rPr>
        <w:t>半年后，结算</w:t>
      </w:r>
      <w:r>
        <w:rPr>
          <w:rFonts w:hint="eastAsia" w:ascii="宋体" w:hAnsi="宋体" w:eastAsia="宋体" w:cs="宋体"/>
          <w:bCs/>
          <w:color w:val="000000" w:themeColor="text1"/>
          <w:sz w:val="24"/>
          <w:szCs w:val="24"/>
          <w:lang w:val="en-US" w:eastAsia="zh-CN"/>
          <w14:textFill>
            <w14:solidFill>
              <w14:schemeClr w14:val="tx1"/>
            </w14:solidFill>
          </w14:textFill>
        </w:rPr>
        <w:t>本</w:t>
      </w:r>
      <w:r>
        <w:rPr>
          <w:rFonts w:hint="eastAsia" w:ascii="宋体" w:hAnsi="宋体" w:eastAsia="宋体" w:cs="宋体"/>
          <w:bCs/>
          <w:color w:val="000000" w:themeColor="text1"/>
          <w:sz w:val="24"/>
          <w:szCs w:val="24"/>
          <w14:textFill>
            <w14:solidFill>
              <w14:schemeClr w14:val="tx1"/>
            </w14:solidFill>
          </w14:textFill>
        </w:rPr>
        <w:t>项目</w:t>
      </w:r>
      <w:r>
        <w:rPr>
          <w:rFonts w:hint="eastAsia" w:ascii="宋体" w:hAnsi="宋体" w:eastAsia="宋体" w:cs="宋体"/>
          <w:bCs/>
          <w:color w:val="000000" w:themeColor="text1"/>
          <w:sz w:val="24"/>
          <w:szCs w:val="24"/>
          <w:lang w:val="en-US" w:eastAsia="zh-CN"/>
          <w14:textFill>
            <w14:solidFill>
              <w14:schemeClr w14:val="tx1"/>
            </w14:solidFill>
          </w14:textFill>
        </w:rPr>
        <w:t>实际装修业主</w:t>
      </w:r>
      <w:r>
        <w:rPr>
          <w:rFonts w:hint="eastAsia" w:ascii="宋体" w:hAnsi="宋体" w:eastAsia="宋体" w:cs="宋体"/>
          <w:bCs/>
          <w:color w:val="000000" w:themeColor="text1"/>
          <w:sz w:val="24"/>
          <w:szCs w:val="24"/>
          <w14:textFill>
            <w14:solidFill>
              <w14:schemeClr w14:val="tx1"/>
            </w14:solidFill>
          </w14:textFill>
        </w:rPr>
        <w:t>土头清运</w:t>
      </w:r>
      <w:r>
        <w:rPr>
          <w:rFonts w:hint="eastAsia" w:ascii="宋体" w:hAnsi="宋体" w:eastAsia="宋体" w:cs="宋体"/>
          <w:bCs/>
          <w:color w:val="000000" w:themeColor="text1"/>
          <w:sz w:val="24"/>
          <w:szCs w:val="24"/>
          <w:lang w:val="en-US" w:eastAsia="zh-CN"/>
          <w14:textFill>
            <w14:solidFill>
              <w14:schemeClr w14:val="tx1"/>
            </w14:solidFill>
          </w14:textFill>
        </w:rPr>
        <w:t>费</w:t>
      </w:r>
      <w:r>
        <w:rPr>
          <w:rFonts w:hint="eastAsia" w:ascii="宋体" w:hAnsi="宋体" w:eastAsia="宋体" w:cs="宋体"/>
          <w:bCs/>
          <w:color w:val="000000" w:themeColor="text1"/>
          <w:sz w:val="24"/>
          <w:szCs w:val="24"/>
          <w14:textFill>
            <w14:solidFill>
              <w14:schemeClr w14:val="tx1"/>
            </w14:solidFill>
          </w14:textFill>
        </w:rPr>
        <w:t>的30%。</w:t>
      </w:r>
    </w:p>
    <w:p w14:paraId="033DE57B">
      <w:pPr>
        <w:widowControl/>
        <w:spacing w:line="360" w:lineRule="auto"/>
        <w:ind w:firstLine="480" w:firstLineChars="200"/>
        <w:jc w:val="left"/>
        <w:rPr>
          <w:rFonts w:ascii="仿宋" w:hAnsi="仿宋" w:eastAsia="仿宋" w:cs="仿宋"/>
          <w:bCs/>
          <w:color w:val="000000" w:themeColor="text1"/>
          <w:sz w:val="32"/>
          <w:szCs w:val="32"/>
          <w:highlight w:val="yellow"/>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业主装修</w:t>
      </w:r>
      <w:r>
        <w:rPr>
          <w:rFonts w:hint="eastAsia" w:ascii="宋体" w:hAnsi="宋体" w:eastAsia="宋体" w:cs="宋体"/>
          <w:bCs/>
          <w:color w:val="000000" w:themeColor="text1"/>
          <w:sz w:val="24"/>
          <w:szCs w:val="24"/>
          <w:lang w:val="en-US" w:eastAsia="zh-CN"/>
          <w14:textFill>
            <w14:solidFill>
              <w14:schemeClr w14:val="tx1"/>
            </w14:solidFill>
          </w14:textFill>
        </w:rPr>
        <w:t>完工并通过</w:t>
      </w:r>
      <w:r>
        <w:rPr>
          <w:rFonts w:hint="eastAsia" w:ascii="宋体" w:hAnsi="宋体" w:eastAsia="宋体" w:cs="宋体"/>
          <w:bCs/>
          <w:color w:val="000000" w:themeColor="text1"/>
          <w:sz w:val="24"/>
          <w:szCs w:val="24"/>
          <w14:textFill>
            <w14:solidFill>
              <w14:schemeClr w14:val="tx1"/>
            </w14:solidFill>
          </w14:textFill>
        </w:rPr>
        <w:t>验收，且</w:t>
      </w:r>
      <w:r>
        <w:rPr>
          <w:rFonts w:hint="eastAsia" w:ascii="宋体" w:hAnsi="宋体" w:eastAsia="宋体" w:cs="宋体"/>
          <w:bCs/>
          <w:color w:val="000000" w:themeColor="text1"/>
          <w:sz w:val="24"/>
          <w:szCs w:val="24"/>
          <w:lang w:val="en-US" w:eastAsia="zh-CN"/>
          <w14:textFill>
            <w14:solidFill>
              <w14:schemeClr w14:val="tx1"/>
            </w14:solidFill>
          </w14:textFill>
        </w:rPr>
        <w:t>招标人全额退还业主</w:t>
      </w:r>
      <w:r>
        <w:rPr>
          <w:rFonts w:hint="eastAsia" w:ascii="宋体" w:hAnsi="宋体" w:eastAsia="宋体" w:cs="宋体"/>
          <w:bCs/>
          <w:color w:val="000000" w:themeColor="text1"/>
          <w:sz w:val="24"/>
          <w:szCs w:val="24"/>
          <w14:textFill>
            <w14:solidFill>
              <w14:schemeClr w14:val="tx1"/>
            </w14:solidFill>
          </w14:textFill>
        </w:rPr>
        <w:t>装修保证金后，结算该</w:t>
      </w:r>
      <w:r>
        <w:rPr>
          <w:rFonts w:hint="eastAsia" w:ascii="宋体" w:hAnsi="宋体" w:eastAsia="宋体" w:cs="宋体"/>
          <w:bCs/>
          <w:color w:val="000000" w:themeColor="text1"/>
          <w:sz w:val="24"/>
          <w:szCs w:val="24"/>
          <w:lang w:val="en-US" w:eastAsia="zh-CN"/>
          <w14:textFill>
            <w14:solidFill>
              <w14:schemeClr w14:val="tx1"/>
            </w14:solidFill>
          </w14:textFill>
        </w:rPr>
        <w:t>业主土头清运费的</w:t>
      </w:r>
      <w:r>
        <w:rPr>
          <w:rFonts w:hint="eastAsia" w:ascii="宋体" w:hAnsi="宋体" w:eastAsia="宋体" w:cs="宋体"/>
          <w:bCs/>
          <w:color w:val="000000" w:themeColor="text1"/>
          <w:sz w:val="24"/>
          <w:szCs w:val="24"/>
          <w14:textFill>
            <w14:solidFill>
              <w14:schemeClr w14:val="tx1"/>
            </w14:solidFill>
          </w14:textFill>
        </w:rPr>
        <w:t>70% （款项结算以 1个自然月为一个周期）。甲方提供</w:t>
      </w:r>
      <w:r>
        <w:rPr>
          <w:rFonts w:hint="eastAsia" w:ascii="宋体" w:hAnsi="宋体" w:eastAsia="宋体" w:cs="宋体"/>
          <w:bCs/>
          <w:color w:val="000000" w:themeColor="text1"/>
          <w:sz w:val="24"/>
          <w:szCs w:val="24"/>
          <w:lang w:val="en-US" w:eastAsia="zh-CN"/>
          <w14:textFill>
            <w14:solidFill>
              <w14:schemeClr w14:val="tx1"/>
            </w14:solidFill>
          </w14:textFill>
        </w:rPr>
        <w:t>本项目实际装修业主的装修进度</w:t>
      </w:r>
      <w:r>
        <w:rPr>
          <w:rFonts w:hint="eastAsia" w:ascii="宋体" w:hAnsi="宋体" w:eastAsia="宋体" w:cs="宋体"/>
          <w:bCs/>
          <w:color w:val="000000" w:themeColor="text1"/>
          <w:sz w:val="24"/>
          <w:szCs w:val="24"/>
          <w14:textFill>
            <w14:solidFill>
              <w14:schemeClr w14:val="tx1"/>
            </w14:solidFill>
          </w14:textFill>
        </w:rPr>
        <w:t>情况及</w:t>
      </w:r>
      <w:r>
        <w:rPr>
          <w:rFonts w:hint="eastAsia" w:ascii="宋体" w:hAnsi="宋体" w:eastAsia="宋体" w:cs="宋体"/>
          <w:bCs/>
          <w:color w:val="000000" w:themeColor="text1"/>
          <w:sz w:val="24"/>
          <w:szCs w:val="24"/>
          <w:lang w:val="en-US" w:eastAsia="zh-CN"/>
          <w14:textFill>
            <w14:solidFill>
              <w14:schemeClr w14:val="tx1"/>
            </w14:solidFill>
          </w14:textFill>
        </w:rPr>
        <w:t>应</w:t>
      </w:r>
      <w:r>
        <w:rPr>
          <w:rFonts w:hint="eastAsia" w:ascii="宋体" w:hAnsi="宋体" w:eastAsia="宋体" w:cs="宋体"/>
          <w:bCs/>
          <w:color w:val="000000" w:themeColor="text1"/>
          <w:sz w:val="24"/>
          <w:szCs w:val="24"/>
          <w14:textFill>
            <w14:solidFill>
              <w14:schemeClr w14:val="tx1"/>
            </w14:solidFill>
          </w14:textFill>
        </w:rPr>
        <w:t>付款</w:t>
      </w:r>
      <w:r>
        <w:rPr>
          <w:rFonts w:hint="eastAsia" w:ascii="宋体" w:hAnsi="宋体" w:eastAsia="宋体" w:cs="宋体"/>
          <w:bCs/>
          <w:color w:val="000000" w:themeColor="text1"/>
          <w:sz w:val="24"/>
          <w:szCs w:val="24"/>
          <w:lang w:val="en-US" w:eastAsia="zh-CN"/>
          <w14:textFill>
            <w14:solidFill>
              <w14:schemeClr w14:val="tx1"/>
            </w14:solidFill>
          </w14:textFill>
        </w:rPr>
        <w:t>项并</w:t>
      </w:r>
      <w:r>
        <w:rPr>
          <w:rFonts w:hint="eastAsia" w:ascii="宋体" w:hAnsi="宋体" w:eastAsia="宋体" w:cs="宋体"/>
          <w:bCs/>
          <w:color w:val="000000" w:themeColor="text1"/>
          <w:sz w:val="24"/>
          <w:szCs w:val="24"/>
          <w14:textFill>
            <w14:solidFill>
              <w14:schemeClr w14:val="tx1"/>
            </w14:solidFill>
          </w14:textFill>
        </w:rPr>
        <w:t>由双方共同确认，确认完成后由中标人</w:t>
      </w:r>
      <w:r>
        <w:rPr>
          <w:rFonts w:hint="eastAsia" w:ascii="宋体" w:hAnsi="宋体" w:eastAsia="宋体" w:cs="宋体"/>
          <w:bCs/>
          <w:color w:val="000000" w:themeColor="text1"/>
          <w:sz w:val="24"/>
          <w:szCs w:val="24"/>
          <w:lang w:val="en-US" w:eastAsia="zh-CN"/>
          <w14:textFill>
            <w14:solidFill>
              <w14:schemeClr w14:val="tx1"/>
            </w14:solidFill>
          </w14:textFill>
        </w:rPr>
        <w:t>向招标人</w:t>
      </w:r>
      <w:r>
        <w:rPr>
          <w:rFonts w:hint="eastAsia" w:ascii="宋体" w:hAnsi="宋体" w:eastAsia="宋体" w:cs="宋体"/>
          <w:bCs/>
          <w:color w:val="000000" w:themeColor="text1"/>
          <w:sz w:val="24"/>
          <w:szCs w:val="24"/>
          <w14:textFill>
            <w14:solidFill>
              <w14:schemeClr w14:val="tx1"/>
            </w14:solidFill>
          </w14:textFill>
        </w:rPr>
        <w:t>开具</w:t>
      </w:r>
      <w:r>
        <w:rPr>
          <w:rFonts w:hint="eastAsia" w:ascii="宋体" w:hAnsi="宋体" w:eastAsia="宋体" w:cs="宋体"/>
          <w:bCs/>
          <w:color w:val="000000" w:themeColor="text1"/>
          <w:sz w:val="24"/>
          <w:szCs w:val="24"/>
          <w:lang w:val="en-US" w:eastAsia="zh-CN"/>
          <w14:textFill>
            <w14:solidFill>
              <w14:schemeClr w14:val="tx1"/>
            </w14:solidFill>
          </w14:textFill>
        </w:rPr>
        <w:t>等</w:t>
      </w:r>
      <w:r>
        <w:rPr>
          <w:rFonts w:hint="eastAsia" w:ascii="宋体" w:hAnsi="宋体" w:eastAsia="宋体" w:cs="宋体"/>
          <w:bCs/>
          <w:color w:val="000000" w:themeColor="text1"/>
          <w:sz w:val="24"/>
          <w:szCs w:val="24"/>
          <w14:textFill>
            <w14:solidFill>
              <w14:schemeClr w14:val="tx1"/>
            </w14:solidFill>
          </w14:textFill>
        </w:rPr>
        <w:t>额</w:t>
      </w:r>
      <w:r>
        <w:rPr>
          <w:rFonts w:hint="eastAsia" w:ascii="宋体" w:hAnsi="宋体" w:eastAsia="宋体" w:cs="宋体"/>
          <w:bCs/>
          <w:color w:val="000000" w:themeColor="text1"/>
          <w:sz w:val="24"/>
          <w:szCs w:val="24"/>
          <w:lang w:val="en-US" w:eastAsia="zh-CN"/>
          <w14:textFill>
            <w14:solidFill>
              <w14:schemeClr w14:val="tx1"/>
            </w14:solidFill>
          </w14:textFill>
        </w:rPr>
        <w:t>合法有效</w:t>
      </w:r>
      <w:r>
        <w:rPr>
          <w:rFonts w:hint="eastAsia" w:ascii="宋体" w:hAnsi="宋体" w:eastAsia="宋体" w:cs="宋体"/>
          <w:bCs/>
          <w:color w:val="000000" w:themeColor="text1"/>
          <w:sz w:val="24"/>
          <w:szCs w:val="24"/>
          <w14:textFill>
            <w14:solidFill>
              <w14:schemeClr w14:val="tx1"/>
            </w14:solidFill>
          </w14:textFill>
        </w:rPr>
        <w:t>的增值税专用发票，</w:t>
      </w:r>
      <w:r>
        <w:rPr>
          <w:rFonts w:hint="eastAsia" w:ascii="宋体" w:hAnsi="宋体" w:eastAsia="宋体" w:cs="宋体"/>
          <w:bCs/>
          <w:color w:val="000000" w:themeColor="text1"/>
          <w:sz w:val="24"/>
          <w:szCs w:val="24"/>
          <w:lang w:val="en-US" w:eastAsia="zh-CN"/>
          <w14:textFill>
            <w14:solidFill>
              <w14:schemeClr w14:val="tx1"/>
            </w14:solidFill>
          </w14:textFill>
        </w:rPr>
        <w:t>招标人</w:t>
      </w:r>
      <w:r>
        <w:rPr>
          <w:rFonts w:hint="eastAsia" w:ascii="宋体" w:hAnsi="宋体" w:eastAsia="宋体" w:cs="宋体"/>
          <w:bCs/>
          <w:color w:val="000000" w:themeColor="text1"/>
          <w:sz w:val="24"/>
          <w:szCs w:val="24"/>
          <w14:textFill>
            <w14:solidFill>
              <w14:schemeClr w14:val="tx1"/>
            </w14:solidFill>
          </w14:textFill>
        </w:rPr>
        <w:t>在收到中标人</w:t>
      </w:r>
      <w:r>
        <w:rPr>
          <w:rFonts w:hint="eastAsia" w:ascii="宋体" w:hAnsi="宋体" w:eastAsia="宋体" w:cs="宋体"/>
          <w:bCs/>
          <w:color w:val="000000" w:themeColor="text1"/>
          <w:sz w:val="24"/>
          <w:szCs w:val="24"/>
          <w:lang w:val="en-US" w:eastAsia="zh-CN"/>
          <w14:textFill>
            <w14:solidFill>
              <w14:schemeClr w14:val="tx1"/>
            </w14:solidFill>
          </w14:textFill>
        </w:rPr>
        <w:t>开具的</w:t>
      </w:r>
      <w:r>
        <w:rPr>
          <w:rFonts w:hint="eastAsia" w:ascii="宋体" w:hAnsi="宋体" w:eastAsia="宋体" w:cs="宋体"/>
          <w:bCs/>
          <w:color w:val="000000" w:themeColor="text1"/>
          <w:sz w:val="24"/>
          <w:szCs w:val="24"/>
          <w14:textFill>
            <w14:solidFill>
              <w14:schemeClr w14:val="tx1"/>
            </w14:solidFill>
          </w14:textFill>
        </w:rPr>
        <w:t>发票之日起 10个工作日内以银行转账的方式支付(遇节假日顺延)。</w:t>
      </w:r>
      <w:r>
        <w:rPr>
          <w:rFonts w:hint="eastAsia" w:ascii="仿宋" w:hAnsi="仿宋" w:eastAsia="仿宋" w:cs="仿宋"/>
          <w:bCs/>
          <w:color w:val="000000" w:themeColor="text1"/>
          <w:sz w:val="32"/>
          <w:szCs w:val="32"/>
          <w14:textFill>
            <w14:solidFill>
              <w14:schemeClr w14:val="tx1"/>
            </w14:solidFill>
          </w14:textFill>
        </w:rPr>
        <w:tab/>
      </w:r>
    </w:p>
    <w:p w14:paraId="4112220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4、本合同价格为含税价格，乙方应在甲方每次付款前，向甲方开具足额合法发票，否则甲方有权顺延付款，且不承担违约责任。</w:t>
      </w:r>
    </w:p>
    <w:p w14:paraId="3F50A60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乙方收款账户信息如下</w:t>
      </w:r>
      <w:r>
        <w:rPr>
          <w:rFonts w:hint="eastAsia" w:ascii="宋体" w:hAnsi="宋体"/>
          <w:color w:val="000000" w:themeColor="text1"/>
          <w:sz w:val="24"/>
          <w14:textFill>
            <w14:solidFill>
              <w14:schemeClr w14:val="tx1"/>
            </w14:solidFill>
          </w14:textFill>
        </w:rPr>
        <w:t>：</w:t>
      </w:r>
    </w:p>
    <w:p w14:paraId="1956B5AE">
      <w:pPr>
        <w:spacing w:line="48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none"/>
          <w14:textFill>
            <w14:solidFill>
              <w14:schemeClr w14:val="tx1"/>
            </w14:solidFill>
          </w14:textFill>
        </w:rPr>
        <w:t>乙方户名：</w:t>
      </w:r>
      <w:r>
        <w:rPr>
          <w:rFonts w:hint="eastAsia" w:ascii="宋体" w:hAnsi="宋体"/>
          <w:color w:val="000000" w:themeColor="text1"/>
          <w:sz w:val="24"/>
          <w:u w:val="single"/>
          <w14:textFill>
            <w14:solidFill>
              <w14:schemeClr w14:val="tx1"/>
            </w14:solidFill>
          </w14:textFill>
        </w:rPr>
        <w:t xml:space="preserve">                                   </w:t>
      </w:r>
    </w:p>
    <w:p w14:paraId="4E9DAD65">
      <w:pPr>
        <w:spacing w:line="48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none"/>
          <w14:textFill>
            <w14:solidFill>
              <w14:schemeClr w14:val="tx1"/>
            </w14:solidFill>
          </w14:textFill>
        </w:rPr>
        <w:t xml:space="preserve">纳税人识别号：  </w:t>
      </w:r>
      <w:r>
        <w:rPr>
          <w:rFonts w:hint="eastAsia" w:ascii="宋体" w:hAnsi="宋体"/>
          <w:color w:val="000000" w:themeColor="text1"/>
          <w:sz w:val="24"/>
          <w:u w:val="single"/>
          <w14:textFill>
            <w14:solidFill>
              <w14:schemeClr w14:val="tx1"/>
            </w14:solidFill>
          </w14:textFill>
        </w:rPr>
        <w:t xml:space="preserve">                             </w:t>
      </w:r>
    </w:p>
    <w:p w14:paraId="2FD9D2ED">
      <w:pPr>
        <w:spacing w:line="48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none"/>
          <w14:textFill>
            <w14:solidFill>
              <w14:schemeClr w14:val="tx1"/>
            </w14:solidFill>
          </w14:textFill>
        </w:rPr>
        <w:t>银行账号：</w:t>
      </w:r>
      <w:r>
        <w:rPr>
          <w:rFonts w:hint="eastAsia" w:ascii="宋体" w:hAnsi="宋体"/>
          <w:color w:val="000000" w:themeColor="text1"/>
          <w:sz w:val="24"/>
          <w:u w:val="single"/>
          <w14:textFill>
            <w14:solidFill>
              <w14:schemeClr w14:val="tx1"/>
            </w14:solidFill>
          </w14:textFill>
        </w:rPr>
        <w:t xml:space="preserve">                                   </w:t>
      </w:r>
    </w:p>
    <w:p w14:paraId="79550069">
      <w:pPr>
        <w:spacing w:line="48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none"/>
          <w14:textFill>
            <w14:solidFill>
              <w14:schemeClr w14:val="tx1"/>
            </w14:solidFill>
          </w14:textFill>
        </w:rPr>
        <w:t>开户银行：</w:t>
      </w:r>
      <w:r>
        <w:rPr>
          <w:rFonts w:hint="eastAsia" w:ascii="宋体" w:hAnsi="宋体"/>
          <w:color w:val="000000" w:themeColor="text1"/>
          <w:sz w:val="24"/>
          <w:u w:val="single"/>
          <w14:textFill>
            <w14:solidFill>
              <w14:schemeClr w14:val="tx1"/>
            </w14:solidFill>
          </w14:textFill>
        </w:rPr>
        <w:t xml:space="preserve">                                   </w:t>
      </w:r>
    </w:p>
    <w:p w14:paraId="5047249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方如需改变上述账户，应提前15</w:t>
      </w:r>
      <w:r>
        <w:rPr>
          <w:rFonts w:hint="eastAsia" w:ascii="宋体" w:hAnsi="宋体"/>
          <w:color w:val="000000" w:themeColor="text1"/>
          <w:sz w:val="24"/>
          <w14:textFill>
            <w14:solidFill>
              <w14:schemeClr w14:val="tx1"/>
            </w14:solidFill>
          </w14:textFill>
        </w:rPr>
        <w:t>日以书面形式通知甲方。如乙方未按本合同规定通知而遭受损失的自行承担，若使甲方遭受损失的，应赔偿相应损失并承担当期付款金额</w:t>
      </w:r>
      <w:r>
        <w:rPr>
          <w:rFonts w:ascii="宋体" w:hAnsi="宋体"/>
          <w:color w:val="000000" w:themeColor="text1"/>
          <w:sz w:val="24"/>
          <w14:textFill>
            <w14:solidFill>
              <w14:schemeClr w14:val="tx1"/>
            </w14:solidFill>
          </w14:textFill>
        </w:rPr>
        <w:t>20%的违约金。</w:t>
      </w:r>
    </w:p>
    <w:p w14:paraId="78D50641">
      <w:pPr>
        <w:spacing w:line="360" w:lineRule="auto"/>
        <w:ind w:firstLine="424" w:firstLineChars="176"/>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 甲方权利和义务</w:t>
      </w:r>
    </w:p>
    <w:p w14:paraId="3DA5A8FA">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1、甲方根据产生的建筑垃圾量指定垃圾堆放点及制定清运时间。</w:t>
      </w:r>
    </w:p>
    <w:p w14:paraId="4A0E3D0F">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2、甲方有权指定专人指导、检查乙方工作质量，发现问题及时通知乙方，要求乙方限期整改。</w:t>
      </w:r>
    </w:p>
    <w:p w14:paraId="63CEC9E2">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3、甲方有权制定相应的管理措施，监督标准等，以保证乙方按照合同及其它双方议定的要求运作。</w:t>
      </w:r>
    </w:p>
    <w:p w14:paraId="5AB0867B">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4、监督乙方遵守项目的相关规定。</w:t>
      </w:r>
    </w:p>
    <w:p w14:paraId="4FEA89F4">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5、制止乙方在建筑垃圾清运过程中扰民破坏行为。</w:t>
      </w:r>
    </w:p>
    <w:p w14:paraId="46AB3831">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6、指引业主按照规定将建筑垃圾堆放在指定的堆放点。</w:t>
      </w:r>
    </w:p>
    <w:p w14:paraId="27FF072A">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7、按本合同约定及时向乙方支付建筑垃圾清运费用。</w:t>
      </w:r>
    </w:p>
    <w:p w14:paraId="40D615AC">
      <w:pPr>
        <w:spacing w:line="360" w:lineRule="auto"/>
        <w:ind w:firstLine="422" w:firstLineChars="17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8、乙方作业过程中，如造成本项目公共部位或公共财物等损坏的，应负责修复或赔偿，否则甲方有权依据被损坏部分、物品等的实际价值或维修所需费用，扣除乙方相应的保证金，不足部分由乙方补齐。</w:t>
      </w:r>
    </w:p>
    <w:p w14:paraId="07B12508">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第八条 乙方权利和义务</w:t>
      </w:r>
    </w:p>
    <w:p w14:paraId="411B59D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需自备建筑垃圾清运车并自行承担所有费用(包括但不限于燃油费、保险费、维修费等)。乙方应负责建筑垃圾装卸点场地清理、场地围挡及地面保护方案实施(方案须经本项目物服中心审批)、清运通道开辟(包括与周边村落、街道等相关村委、社区进行协商、公关等)及后期拆除等责任。</w:t>
      </w:r>
    </w:p>
    <w:p w14:paraId="1C90F67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2、乙方垃圾清运车辆应封闭良好，清运垃圾时应自装自卸，清运途中严禁滴、洒、漏现象，不得造成小区二次污染。</w:t>
      </w:r>
    </w:p>
    <w:p w14:paraId="778BEB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3、乙方应在甲方通知的时间内及时清运垃圾，不得以任何理由拖延清运时间。</w:t>
      </w:r>
    </w:p>
    <w:p w14:paraId="1749BD7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 乙方不得在清运过程中损坏小区内设备设施以及园林绿化，否则按价赔偿，若因甲方的原因造成的损失与乙方无关。</w:t>
      </w:r>
    </w:p>
    <w:p w14:paraId="179F40F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5、乙方在清运过程中应遵守相关法律、法规，守法经营，否则由此产生的一切责任由乙方自行承担。清运过程中，若需办理有关手续或被有关部门罚款，由乙方负责处理并承担相关责任和费用。</w:t>
      </w:r>
    </w:p>
    <w:p w14:paraId="2C4BB53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6、确保做到建筑垃圾及时运出小区，如未按照甲方要求按时清运时，甲方有权请人代运，所发生费用从乙方的结算款中予以扣除，乙方不得有异议。累计三次未按时清运，甲方有权无条件单方面解除合同。</w:t>
      </w:r>
    </w:p>
    <w:p w14:paraId="593F6E1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7、清运每车建筑垃圾都需到甲方指定地点进行确认、登记。</w:t>
      </w:r>
    </w:p>
    <w:p w14:paraId="789866F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8、如遇紧急情况(如政府或开发商有大型活动，环卫部门卫生检查等)应配合甲方要求，及时清运。</w:t>
      </w:r>
    </w:p>
    <w:p w14:paraId="6BB9C6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10、若建筑垃圾堆放点需要移动，乙方应无条件配合，确保清运工作正常开展。</w:t>
      </w:r>
    </w:p>
    <w:p w14:paraId="22F8C07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11、乙方保证自己具备提供本合同约定服务的合法资格，否则因此受到政府部门的处罚，乙方应承担全部责任。服务期限内，乙方应确保上述资格的持续有效性，否则甲方有权立即解除本合同。</w:t>
      </w:r>
    </w:p>
    <w:p w14:paraId="76C8FE2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乙方应依法与其员工建立劳动合同关系，缴交医社保，并保证该劳动合同关系在本合同履行期间合法存续。甲方不承担乙方与其员工劳动合同项下的责任，乙方处理与其员工的劳动纠纷不得影响本合同正常履行。</w:t>
      </w:r>
    </w:p>
    <w:p w14:paraId="276B7B1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乙方必须遵守甲方的各项管理规章及本项目管理规约，严禁进行一切违反法律法规规定及违背社会公德的行为，积极配合本项目维序人员的治安工作，进入本项目的装卸人员必须统一服装、挂牌上岗（进场人员交一寸照片、身份证复印件各一份，到甲方本项目物业服务处办理出入证），不得做出有损于甲方形象的行为。乙方指定为现场负责人，联系电话：。</w:t>
      </w:r>
    </w:p>
    <w:p w14:paraId="1B90B87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乙方应确保现场作业安全规范，作业过程中应在作业区设有警示标志、安全防护及隔离措施。乙方因实施本合同项下的清运服务造成事故或其他人身、财产损害的，其责任和费用概由乙方承担，若因此导致甲方损失的，乙方应予以赔偿。</w:t>
      </w:r>
    </w:p>
    <w:p w14:paraId="044EE8F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协议签订后，乙方使用甲方地库车位作为建渣堆放点，</w:t>
      </w:r>
      <w:r>
        <w:rPr>
          <w:rFonts w:hint="eastAsia" w:ascii="宋体" w:hAnsi="宋体"/>
          <w:color w:val="000000" w:themeColor="text1"/>
          <w:sz w:val="24"/>
          <w:lang w:val="en-US" w:eastAsia="zh-CN"/>
          <w14:textFill>
            <w14:solidFill>
              <w14:schemeClr w14:val="tx1"/>
            </w14:solidFill>
          </w14:textFill>
        </w:rPr>
        <w:t>服务期满或提前终止后7日</w:t>
      </w:r>
      <w:r>
        <w:rPr>
          <w:rFonts w:hint="eastAsia" w:ascii="宋体" w:hAnsi="宋体"/>
          <w:color w:val="000000" w:themeColor="text1"/>
          <w:sz w:val="24"/>
          <w14:textFill>
            <w14:solidFill>
              <w14:schemeClr w14:val="tx1"/>
            </w14:solidFill>
          </w14:textFill>
        </w:rPr>
        <w:t>内，乙方需按照甲方车位使用前的装修标准无偿恢复原样归还甲方。若乙方拒不配合的，甲方有权扣除乙方保证金进行修缮。</w:t>
      </w:r>
    </w:p>
    <w:p w14:paraId="1E15C927">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第九条 违约责任</w:t>
      </w:r>
    </w:p>
    <w:p w14:paraId="056F80C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1、乙方未能按照双方约定的垃圾清运时间清运建筑垃圾，造成垃圾堆积，第一次甲方将予以书面警告，如再次发生则按 500 元/</w:t>
      </w:r>
      <w:r>
        <w:rPr>
          <w:rFonts w:ascii="宋体" w:hAnsi="宋体"/>
          <w:color w:val="000000" w:themeColor="text1"/>
          <w:sz w:val="24"/>
          <w14:textFill>
            <w14:solidFill>
              <w14:schemeClr w14:val="tx1"/>
            </w14:solidFill>
          </w14:textFill>
        </w:rPr>
        <w:t>次</w:t>
      </w:r>
      <w:r>
        <w:rPr>
          <w:rFonts w:hint="eastAsia" w:ascii="宋体" w:hAnsi="宋体"/>
          <w:color w:val="000000" w:themeColor="text1"/>
          <w:sz w:val="24"/>
          <w14:textFill>
            <w14:solidFill>
              <w14:schemeClr w14:val="tx1"/>
            </w14:solidFill>
          </w14:textFill>
        </w:rPr>
        <w:t>扣除清运费其有权要求乙方限期整改。</w:t>
      </w:r>
    </w:p>
    <w:p w14:paraId="7E98A2C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2、发生如下情况之一，视为乙方严重违约，甲方有权立即解除合同：</w:t>
      </w:r>
    </w:p>
    <w:p w14:paraId="12EEBEF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（1）在经甲方连续三次发出书面整改通知后，仍不能按时整改的。</w:t>
      </w:r>
    </w:p>
    <w:p w14:paraId="06C14A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（2）乙方垃圾清运工作存在瑕疵，导致甲方或甲方关联公司被相关政府主管部门处罚。</w:t>
      </w:r>
    </w:p>
    <w:p w14:paraId="25BFB69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（3）未经甲方事先书面允许，乙方将本合同建筑垃圾清运工作全部或部分转包给第三方。</w:t>
      </w:r>
    </w:p>
    <w:p w14:paraId="35776B7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（4）乙方作业过程中，因乙方过错导致人员伤亡、严重财产损害（≥人民币3万元）。</w:t>
      </w:r>
    </w:p>
    <w:p w14:paraId="6A7B073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（5）非经甲方许可，乙方在本项目内经营与本合同无关的业务（包含但不限于经营水泥、沙土等装修配套材料）。</w:t>
      </w:r>
    </w:p>
    <w:p w14:paraId="38F91AE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3、除本协议约定外，本合同因一方违约导致提前终止（包括守约方行使合同解除权的情况），违约方除按照相关约定承担违约责任外，还应向另一方支付人民币5000元违约金。</w:t>
      </w:r>
    </w:p>
    <w:p w14:paraId="27EEB8A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4、在乙方违约的情况下，如果乙方支付的违约金不足以补偿甲方因乙方违约行为而遭受的损失，则甲方有权要求乙方就差额部分予以赔偿。</w:t>
      </w:r>
    </w:p>
    <w:p w14:paraId="408ADA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5、无论任何原因导致本合同终止，乙方均应按甲方要求限期撤走全部人员和设备，否则每逾期一日，乙方应向甲方支付人民币500元滞留违约金。</w:t>
      </w:r>
    </w:p>
    <w:p w14:paraId="0BD61F1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6、本合同内乙方应承担的违约金或赔偿金，甲方有权从应付乙方的任何一笔款项及乙方履约保证金中直接扣除。</w:t>
      </w:r>
    </w:p>
    <w:p w14:paraId="2FF7CFE0">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7、服务期内，若甲方提前终止本协议，则应提前三十日（自甲方通知书发出之日起算）以书面形式通知乙方，本情形不在违约责任范围内，甲方不承担违约责任。</w:t>
      </w:r>
    </w:p>
    <w:p w14:paraId="4500BCB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8、违约方的损失赔偿范围包括守约方的直接损失和间接损失，包括但不限于守约方向第三方承担的赔偿责任、诉讼费、仲裁费、律师费、鉴定费等费用支出。</w:t>
      </w:r>
    </w:p>
    <w:p w14:paraId="5DA58674">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第十条 禁止商业贿赂</w:t>
      </w:r>
    </w:p>
    <w:p w14:paraId="50A73FD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1、甲、乙双方应严格遵守《中华人民共和国反不正当竞争法》等相关法律法规关于禁止商业贿赂行为的规定，坚决拒绝商业贿赂、行贿及其他不正当之商业行为。</w:t>
      </w:r>
    </w:p>
    <w:p w14:paraId="354CDF1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项下商业贿赂是指乙方或其工作人员为促成交易或从甲方取得比他人更多的商业利益或更特殊的商业待遇而给予甲方员工个人的回扣、退佣、购物折扣、礼品券、优惠券、置业、礼品、馈赠、游览或旅游、娱乐、招待、报销票据等不正当利益。</w:t>
      </w:r>
    </w:p>
    <w:p w14:paraId="704F269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3、若甲方或其工作人员要求乙方或其工作人员给予任何形式的不正当利益，乙方应向甲方相关监察部门提供相关证据，甲方查实后将及时公正处理，并为乙方严格保密。</w:t>
      </w:r>
    </w:p>
    <w:p w14:paraId="722144F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若发现乙方或其工作人员违反以上规定，甲方有权解除本合同，并终止与乙方正在进行的一切合作（如有）；乙方应按甲方查明的行贿金额的两倍向甲方支付违约金。甲方可依法对乙方采取必要措施，包括冻结所有应付款，向法院诉请赔偿经济及商誉损失等。</w:t>
      </w:r>
    </w:p>
    <w:p w14:paraId="10FE7985">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第十一条 争议解决方式</w:t>
      </w:r>
    </w:p>
    <w:p w14:paraId="327BF6DE">
      <w:pPr>
        <w:spacing w:line="460" w:lineRule="exact"/>
        <w:ind w:firstLine="480" w:firstLineChars="200"/>
        <w:rPr>
          <w:rFonts w:hint="eastAsia" w:ascii="宋体" w:hAnsi="宋体" w:cs="仿宋_GB2312"/>
          <w:color w:val="000000" w:themeColor="text1"/>
          <w:sz w:val="24"/>
          <w:u w:val="none"/>
          <w14:textFill>
            <w14:solidFill>
              <w14:schemeClr w14:val="tx1"/>
            </w14:solidFill>
          </w14:textFill>
        </w:rPr>
      </w:pPr>
      <w:r>
        <w:rPr>
          <w:rFonts w:hint="eastAsia" w:ascii="宋体" w:hAnsi="宋体"/>
          <w:color w:val="000000" w:themeColor="text1"/>
          <w:sz w:val="24"/>
          <w:u w:val="none"/>
          <w14:textFill>
            <w14:solidFill>
              <w14:schemeClr w14:val="tx1"/>
            </w14:solidFill>
          </w14:textFill>
        </w:rPr>
        <w:t>甲、</w:t>
      </w:r>
      <w:r>
        <w:rPr>
          <w:rFonts w:hint="eastAsia" w:ascii="宋体" w:hAnsi="宋体"/>
          <w:color w:val="000000" w:themeColor="text1"/>
          <w:sz w:val="24"/>
          <w:u w:val="none"/>
          <w:lang w:val="zh-CN"/>
          <w14:textFill>
            <w14:solidFill>
              <w14:schemeClr w14:val="tx1"/>
            </w14:solidFill>
          </w14:textFill>
        </w:rPr>
        <w:t>乙</w:t>
      </w:r>
      <w:r>
        <w:rPr>
          <w:rFonts w:hint="eastAsia" w:ascii="宋体" w:hAnsi="宋体"/>
          <w:color w:val="000000" w:themeColor="text1"/>
          <w:sz w:val="24"/>
          <w:u w:val="none"/>
          <w14:textFill>
            <w14:solidFill>
              <w14:schemeClr w14:val="tx1"/>
            </w14:solidFill>
          </w14:textFill>
        </w:rPr>
        <w:t>双方在履行本合同中如有争议，双方应优先协商解决，协商不成的，任意一方均可向甲方所在地的人民法院提起诉讼。</w:t>
      </w:r>
      <w:r>
        <w:rPr>
          <w:rFonts w:hint="eastAsia" w:ascii="宋体" w:hAnsi="宋体" w:cs="仿宋_GB2312"/>
          <w:color w:val="000000" w:themeColor="text1"/>
          <w:sz w:val="24"/>
          <w:u w:val="none"/>
          <w14:textFill>
            <w14:solidFill>
              <w14:schemeClr w14:val="tx1"/>
            </w14:solidFill>
          </w14:textFill>
        </w:rPr>
        <w:t>因乙方违约导致甲方提起诉讼/仲裁或须参与到诉讼仲裁程序中的，乙方应承担甲方因此支出的所有费用，包括但不限于诉讼/仲裁费用、保全费用、保全保险或者担保费用、律师费用、公证费、差旅费、鉴定费、审查及评估费、执行费、公告费、拍卖费等 。</w:t>
      </w:r>
    </w:p>
    <w:p w14:paraId="31A6AFA8">
      <w:pPr>
        <w:numPr>
          <w:ilvl w:val="0"/>
          <w:numId w:val="3"/>
        </w:numPr>
        <w:spacing w:line="460" w:lineRule="exact"/>
        <w:ind w:firstLine="482" w:firstLineChars="200"/>
        <w:rPr>
          <w:rFonts w:hint="eastAsia" w:ascii="宋体" w:hAnsi="宋体"/>
          <w:b/>
          <w:color w:val="000000" w:themeColor="text1"/>
          <w:sz w:val="24"/>
          <w:u w:val="none"/>
          <w:lang w:val="zh-CN"/>
          <w14:textFill>
            <w14:solidFill>
              <w14:schemeClr w14:val="tx1"/>
            </w14:solidFill>
          </w14:textFill>
        </w:rPr>
      </w:pPr>
      <w:r>
        <w:rPr>
          <w:rFonts w:hint="eastAsia" w:ascii="宋体" w:hAnsi="宋体"/>
          <w:b/>
          <w:color w:val="000000" w:themeColor="text1"/>
          <w:sz w:val="24"/>
          <w:u w:val="none"/>
          <w:lang w:val="zh-CN"/>
          <w14:textFill>
            <w14:solidFill>
              <w14:schemeClr w14:val="tx1"/>
            </w14:solidFill>
          </w14:textFill>
        </w:rPr>
        <w:t>通知</w:t>
      </w:r>
    </w:p>
    <w:p w14:paraId="0D2E5AAD">
      <w:pPr>
        <w:spacing w:line="460" w:lineRule="exact"/>
        <w:ind w:firstLine="480" w:firstLineChars="200"/>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u w:val="none"/>
          <w:lang w:val="zh-CN"/>
          <w14:textFill>
            <w14:solidFill>
              <w14:schemeClr w14:val="tx1"/>
            </w14:solidFill>
          </w14:textFill>
        </w:rPr>
        <w:t>本合同正文首页抬头载明地址等联系方式为甲、乙双方的有效联系方式。任何一方如改变其联系方式，应及时书面通知另一方。否则，另一方按照本合同载明联系方式发出通知，视为该通知有效送达，变更方自行承担通知不能实际送达的后果。</w:t>
      </w:r>
    </w:p>
    <w:p w14:paraId="763BBB97">
      <w:pPr>
        <w:numPr>
          <w:ilvl w:val="0"/>
          <w:numId w:val="4"/>
        </w:numPr>
        <w:spacing w:line="460" w:lineRule="exact"/>
        <w:ind w:firstLine="482" w:firstLineChars="200"/>
        <w:rPr>
          <w:rFonts w:hint="eastAsia" w:ascii="宋体" w:hAnsi="宋体"/>
          <w:b/>
          <w:color w:val="000000" w:themeColor="text1"/>
          <w:sz w:val="24"/>
          <w:u w:val="none"/>
          <w14:textFill>
            <w14:solidFill>
              <w14:schemeClr w14:val="tx1"/>
            </w14:solidFill>
          </w14:textFill>
        </w:rPr>
      </w:pPr>
      <w:r>
        <w:rPr>
          <w:rFonts w:hint="eastAsia" w:ascii="宋体" w:hAnsi="宋体"/>
          <w:b/>
          <w:color w:val="000000" w:themeColor="text1"/>
          <w:sz w:val="24"/>
          <w:u w:val="none"/>
          <w14:textFill>
            <w14:solidFill>
              <w14:schemeClr w14:val="tx1"/>
            </w14:solidFill>
          </w14:textFill>
        </w:rPr>
        <w:t>其他</w:t>
      </w:r>
    </w:p>
    <w:p w14:paraId="4E4F535E">
      <w:pPr>
        <w:numPr>
          <w:ilvl w:val="0"/>
          <w:numId w:val="5"/>
        </w:numPr>
        <w:spacing w:line="460" w:lineRule="exact"/>
        <w:ind w:firstLine="480" w:firstLineChars="200"/>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u w:val="none"/>
          <w:lang w:val="zh-CN"/>
          <w14:textFill>
            <w14:solidFill>
              <w14:schemeClr w14:val="tx1"/>
            </w14:solidFill>
          </w14:textFill>
        </w:rPr>
        <w:t>除本合同另有约定外，乙方就本项目</w:t>
      </w:r>
      <w:r>
        <w:rPr>
          <w:rFonts w:hint="eastAsia" w:ascii="宋体" w:hAnsi="宋体"/>
          <w:color w:val="000000" w:themeColor="text1"/>
          <w:sz w:val="24"/>
          <w:u w:val="none"/>
          <w14:textFill>
            <w14:solidFill>
              <w14:schemeClr w14:val="tx1"/>
            </w14:solidFill>
          </w14:textFill>
        </w:rPr>
        <w:t>建筑</w:t>
      </w:r>
      <w:r>
        <w:rPr>
          <w:rFonts w:hint="eastAsia" w:ascii="宋体" w:hAnsi="宋体"/>
          <w:color w:val="000000" w:themeColor="text1"/>
          <w:sz w:val="24"/>
          <w:u w:val="none"/>
          <w:lang w:val="zh-CN"/>
          <w14:textFill>
            <w14:solidFill>
              <w14:schemeClr w14:val="tx1"/>
            </w14:solidFill>
          </w14:textFill>
        </w:rPr>
        <w:t>垃圾清运服务向甲方提供的全部文件资料，均应视为乙方向甲方做出的单方承诺。如若该等文件资料内容与本合同约定不一致，或旨在减轻或免除乙方合同责任时，应以本合同约定为准。</w:t>
      </w:r>
    </w:p>
    <w:p w14:paraId="01FA3420">
      <w:pPr>
        <w:numPr>
          <w:ilvl w:val="0"/>
          <w:numId w:val="6"/>
        </w:numPr>
        <w:spacing w:line="460" w:lineRule="exact"/>
        <w:ind w:firstLine="480" w:firstLineChars="200"/>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u w:val="none"/>
          <w:lang w:val="zh-CN"/>
          <w14:textFill>
            <w14:solidFill>
              <w14:schemeClr w14:val="tx1"/>
            </w14:solidFill>
          </w14:textFill>
        </w:rPr>
        <w:t>本合同的签署不产生甲、乙双方之间任何代理关系，乙方履行本合同过程中对第三方产生的任何责任均由乙方自行承担。</w:t>
      </w:r>
    </w:p>
    <w:p w14:paraId="0D51D04F">
      <w:pPr>
        <w:numPr>
          <w:ilvl w:val="0"/>
          <w:numId w:val="7"/>
        </w:numPr>
        <w:spacing w:line="460" w:lineRule="exact"/>
        <w:ind w:firstLine="480" w:firstLineChars="200"/>
        <w:rPr>
          <w:rFonts w:hint="eastAsia" w:ascii="宋体" w:hAnsi="宋体"/>
          <w:color w:val="000000" w:themeColor="text1"/>
          <w:sz w:val="24"/>
          <w:u w:val="none"/>
          <w:lang w:val="zh-CN"/>
          <w14:textFill>
            <w14:solidFill>
              <w14:schemeClr w14:val="tx1"/>
            </w14:solidFill>
          </w14:textFill>
        </w:rPr>
      </w:pPr>
      <w:r>
        <w:rPr>
          <w:rFonts w:hint="eastAsia" w:ascii="宋体" w:hAnsi="宋体"/>
          <w:color w:val="000000" w:themeColor="text1"/>
          <w:sz w:val="24"/>
          <w:u w:val="none"/>
          <w:lang w:val="zh-CN"/>
          <w14:textFill>
            <w14:solidFill>
              <w14:schemeClr w14:val="tx1"/>
            </w14:solidFill>
          </w14:textFill>
        </w:rPr>
        <w:t>本合同未尽事宜，经甲乙双方协商一致，可另行签订补充协议。补充协议经双方签章后生效，与本合同具同等法律效力。</w:t>
      </w:r>
    </w:p>
    <w:p w14:paraId="2F75AD8A">
      <w:pPr>
        <w:spacing w:line="460" w:lineRule="exact"/>
        <w:ind w:firstLine="480" w:firstLineChars="200"/>
        <w:rPr>
          <w:rFonts w:ascii="宋体" w:hAnsi="宋体"/>
          <w:color w:val="000000" w:themeColor="text1"/>
          <w:sz w:val="24"/>
          <w:u w:val="none"/>
          <w:lang w:val="zh-CN"/>
          <w14:textFill>
            <w14:solidFill>
              <w14:schemeClr w14:val="tx1"/>
            </w14:solidFill>
          </w14:textFill>
        </w:rPr>
      </w:pPr>
      <w:r>
        <w:rPr>
          <w:rFonts w:ascii="宋体" w:hAnsi="宋体"/>
          <w:color w:val="000000" w:themeColor="text1"/>
          <w:sz w:val="24"/>
          <w:u w:val="none"/>
          <w:lang w:val="zh-CN"/>
          <w14:textFill>
            <w14:solidFill>
              <w14:schemeClr w14:val="tx1"/>
            </w14:solidFill>
          </w14:textFill>
        </w:rPr>
        <w:t>4</w:t>
      </w:r>
      <w:r>
        <w:rPr>
          <w:rFonts w:hint="eastAsia" w:ascii="宋体" w:hAnsi="宋体"/>
          <w:color w:val="000000" w:themeColor="text1"/>
          <w:sz w:val="24"/>
          <w:u w:val="none"/>
          <w:lang w:val="zh-CN"/>
          <w14:textFill>
            <w14:solidFill>
              <w14:schemeClr w14:val="tx1"/>
            </w14:solidFill>
          </w14:textFill>
        </w:rPr>
        <w:t>、本合同经甲、乙双方签字盖章后生效；一式肆份，甲乙双方各执贰份，具有同等法律效力。</w:t>
      </w:r>
    </w:p>
    <w:p w14:paraId="1BB4AF07">
      <w:pPr>
        <w:spacing w:line="500" w:lineRule="exact"/>
        <w:rPr>
          <w:rFonts w:ascii="宋体" w:hAnsi="宋体"/>
          <w:b/>
          <w:color w:val="000000" w:themeColor="text1"/>
          <w:sz w:val="24"/>
          <w14:textFill>
            <w14:solidFill>
              <w14:schemeClr w14:val="tx1"/>
            </w14:solidFill>
          </w14:textFill>
        </w:rPr>
      </w:pPr>
    </w:p>
    <w:p w14:paraId="39DA9DCE">
      <w:pPr>
        <w:spacing w:line="5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                              乙方：</w:t>
      </w:r>
    </w:p>
    <w:p w14:paraId="0CFFFBDF">
      <w:pPr>
        <w:spacing w:line="5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联系人：                            联系人： </w:t>
      </w:r>
    </w:p>
    <w:p w14:paraId="779BD209">
      <w:pPr>
        <w:spacing w:line="5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联系方式：                          联系方式：  </w:t>
      </w:r>
    </w:p>
    <w:p w14:paraId="30C51950">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日期：                              日期：  </w:t>
      </w:r>
    </w:p>
    <w:p w14:paraId="51080907">
      <w:pPr>
        <w:spacing w:line="500" w:lineRule="exact"/>
        <w:rPr>
          <w:rFonts w:ascii="宋体" w:hAnsi="宋体"/>
          <w:b/>
          <w:color w:val="000000" w:themeColor="text1"/>
          <w:sz w:val="24"/>
          <w14:textFill>
            <w14:solidFill>
              <w14:schemeClr w14:val="tx1"/>
            </w14:solidFill>
          </w14:textFill>
        </w:rPr>
      </w:pPr>
    </w:p>
    <w:p w14:paraId="0F1390CF">
      <w:pPr>
        <w:spacing w:line="500" w:lineRule="exact"/>
        <w:rPr>
          <w:rFonts w:ascii="宋体" w:hAnsi="宋体"/>
          <w:b/>
          <w:color w:val="000000" w:themeColor="text1"/>
          <w:sz w:val="24"/>
          <w14:textFill>
            <w14:solidFill>
              <w14:schemeClr w14:val="tx1"/>
            </w14:solidFill>
          </w14:textFill>
        </w:rPr>
      </w:pPr>
    </w:p>
    <w:p w14:paraId="297C9B54">
      <w:pPr>
        <w:rPr>
          <w:rFonts w:ascii="宋体" w:hAnsi="宋体"/>
          <w:b/>
          <w:color w:val="000000" w:themeColor="text1"/>
          <w:sz w:val="28"/>
          <w:szCs w:val="28"/>
          <w14:textFill>
            <w14:solidFill>
              <w14:schemeClr w14:val="tx1"/>
            </w14:solidFill>
          </w14:textFill>
        </w:rPr>
      </w:pPr>
    </w:p>
    <w:p w14:paraId="3B13E0F5">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供应商廉洁诚信承诺书</w:t>
      </w:r>
    </w:p>
    <w:p w14:paraId="4F166455">
      <w:pPr>
        <w:jc w:val="center"/>
        <w:rPr>
          <w:rFonts w:ascii="宋体" w:hAnsi="宋体"/>
          <w:b/>
          <w:color w:val="000000" w:themeColor="text1"/>
          <w:sz w:val="28"/>
          <w:szCs w:val="28"/>
          <w14:textFill>
            <w14:solidFill>
              <w14:schemeClr w14:val="tx1"/>
            </w14:solidFill>
          </w14:textFill>
        </w:rPr>
      </w:pPr>
    </w:p>
    <w:p w14:paraId="33C526FA">
      <w:pPr>
        <w:spacing w:line="360" w:lineRule="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p>
    <w:p w14:paraId="1A8C507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承诺方系贵司的供应商、服务商或合作商，在相关业务活动(包括但不限于交易洽谈、供货、服务、承揽、技术合作交流、付款)中接触贵司相关人员和资讯，在廉洁义务和操守方面做出如下承诺：</w:t>
      </w:r>
    </w:p>
    <w:p w14:paraId="6E004AF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652875B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不向贵司的工作人员及其亲属馈赠礼金、礼品（含有价证券）；不向贵司的工作人员提供任何应由其个人支付报酬的劳务和其它服务；不为贵司的工作人员安排可能影响公正执行公务的任何活动；不为贵司的工作人员支付应由其个人支付的任何赞助费、宣传费、咨询费、劳务费等；不为贵司工作人员报销任何名义的个人消费凭证。</w:t>
      </w:r>
    </w:p>
    <w:p w14:paraId="425E077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0AEA500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承诺方在与贵司达成和交易履行过程中，提供的资质证明、证照、企业及个人资料、住所、产品名称、规格、品质、服务标准、票据、权证、权利限制均为真实，不存在虚假、期满、伪造、变造行为，如上述情况发生变更，承诺方需在5个工作日内通知贵司备案存档。</w:t>
      </w:r>
    </w:p>
    <w:p w14:paraId="5BE1730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五、承诺方禁止提供仿冒品（包括但不限于如贴牌、参杂参假，以次充好，以旧冒新、以不合格冒充合格）或不符合贵司所需规格之商品提供贵司使用。</w:t>
      </w:r>
    </w:p>
    <w:p w14:paraId="2137551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14:paraId="2D43F85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七、为净化采购相关秩序及环境，可发送电子邮件至贵司进行投诉或申报，须记载确实之内容或证据线索及联络方式。投诉将由贵司监察室处理及回复并保密，如属实，举报人（单位）将获得额外的现金奖励。</w:t>
      </w:r>
    </w:p>
    <w:p w14:paraId="4CFFC07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八、违约责任</w:t>
      </w:r>
    </w:p>
    <w:p w14:paraId="5455668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14:paraId="20E6E17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九、自觉接受监督。</w:t>
      </w:r>
    </w:p>
    <w:p w14:paraId="4EA189A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特此承诺。</w:t>
      </w:r>
    </w:p>
    <w:p w14:paraId="42133ADF">
      <w:pPr>
        <w:spacing w:line="360" w:lineRule="auto"/>
        <w:ind w:firstLine="480" w:firstLineChars="200"/>
        <w:rPr>
          <w:rFonts w:ascii="宋体" w:hAnsi="宋体"/>
          <w:color w:val="000000" w:themeColor="text1"/>
          <w:sz w:val="24"/>
          <w14:textFill>
            <w14:solidFill>
              <w14:schemeClr w14:val="tx1"/>
            </w14:solidFill>
          </w14:textFill>
        </w:rPr>
      </w:pPr>
    </w:p>
    <w:p w14:paraId="3AA2F6A0">
      <w:pPr>
        <w:spacing w:line="360" w:lineRule="auto"/>
        <w:ind w:firstLine="3240" w:firstLineChars="1350"/>
        <w:rPr>
          <w:rFonts w:ascii="宋体" w:hAnsi="宋体"/>
          <w:color w:val="000000" w:themeColor="text1"/>
          <w:sz w:val="24"/>
          <w14:textFill>
            <w14:solidFill>
              <w14:schemeClr w14:val="tx1"/>
            </w14:solidFill>
          </w14:textFill>
        </w:rPr>
      </w:pPr>
    </w:p>
    <w:p w14:paraId="096F6FF3">
      <w:pPr>
        <w:spacing w:line="360" w:lineRule="auto"/>
        <w:ind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承诺人名称（盖章）：</w:t>
      </w:r>
    </w:p>
    <w:p w14:paraId="5A9F2E3A">
      <w:pPr>
        <w:spacing w:line="360" w:lineRule="auto"/>
        <w:ind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p>
    <w:p w14:paraId="2CEE0192">
      <w:pPr>
        <w:spacing w:line="360" w:lineRule="auto"/>
        <w:ind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14:paraId="237557EF">
      <w:pPr>
        <w:spacing w:line="360" w:lineRule="auto"/>
        <w:ind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32DECE73">
      <w:pPr>
        <w:spacing w:line="360" w:lineRule="auto"/>
        <w:ind w:firstLine="3840" w:firstLineChars="1600"/>
        <w:rPr>
          <w:rFonts w:ascii="宋体" w:hAnsi="宋体"/>
          <w:color w:val="000000" w:themeColor="text1"/>
          <w:sz w:val="24"/>
          <w14:textFill>
            <w14:solidFill>
              <w14:schemeClr w14:val="tx1"/>
            </w14:solidFill>
          </w14:textFill>
        </w:rPr>
      </w:pPr>
    </w:p>
    <w:p w14:paraId="7AE49445">
      <w:pPr>
        <w:spacing w:line="360" w:lineRule="auto"/>
        <w:ind w:firstLine="3840" w:firstLineChars="1600"/>
        <w:rPr>
          <w:rFonts w:ascii="宋体" w:hAnsi="宋体"/>
          <w:color w:val="000000" w:themeColor="text1"/>
          <w:sz w:val="24"/>
          <w14:textFill>
            <w14:solidFill>
              <w14:schemeClr w14:val="tx1"/>
            </w14:solidFill>
          </w14:textFill>
        </w:rPr>
      </w:pPr>
    </w:p>
    <w:p w14:paraId="1BB53252">
      <w:pPr>
        <w:spacing w:line="360" w:lineRule="auto"/>
        <w:ind w:left="-141" w:leftChars="-67"/>
        <w:rPr>
          <w:rFonts w:ascii="宋体" w:hAnsi="宋体" w:cs="Arial"/>
          <w:color w:val="000000" w:themeColor="text1"/>
          <w:sz w:val="24"/>
          <w14:textFill>
            <w14:solidFill>
              <w14:schemeClr w14:val="tx1"/>
            </w14:solidFill>
          </w14:textFill>
        </w:rPr>
      </w:pPr>
    </w:p>
    <w:p w14:paraId="2699BCAB">
      <w:pPr>
        <w:spacing w:line="360" w:lineRule="auto"/>
        <w:ind w:left="-141" w:leftChars="-67"/>
        <w:rPr>
          <w:rFonts w:ascii="宋体" w:hAnsi="宋体" w:cs="Arial"/>
          <w:color w:val="000000" w:themeColor="text1"/>
          <w:sz w:val="24"/>
          <w14:textFill>
            <w14:solidFill>
              <w14:schemeClr w14:val="tx1"/>
            </w14:solidFill>
          </w14:textFill>
        </w:rPr>
      </w:pPr>
    </w:p>
    <w:p w14:paraId="0476BDB4">
      <w:pPr>
        <w:spacing w:line="360" w:lineRule="auto"/>
        <w:ind w:left="-141" w:leftChars="-67"/>
        <w:rPr>
          <w:rFonts w:ascii="宋体" w:hAnsi="宋体" w:cs="Arial"/>
          <w:color w:val="000000" w:themeColor="text1"/>
          <w:sz w:val="24"/>
          <w14:textFill>
            <w14:solidFill>
              <w14:schemeClr w14:val="tx1"/>
            </w14:solidFill>
          </w14:textFill>
        </w:rPr>
      </w:pPr>
    </w:p>
    <w:p w14:paraId="1F0567C8">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                                  乙方：</w:t>
      </w:r>
    </w:p>
    <w:p w14:paraId="40A96811">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授权代表：                              授权代表：</w:t>
      </w:r>
    </w:p>
    <w:p w14:paraId="738C36AE">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联系方式：                              联系方式：</w:t>
      </w:r>
    </w:p>
    <w:p w14:paraId="51836375">
      <w:pPr>
        <w:spacing w:line="360" w:lineRule="auto"/>
        <w:ind w:left="-141" w:leftChars="-67" w:firstLine="116" w:firstLineChars="48"/>
        <w:rPr>
          <w:rFonts w:ascii="宋体" w:hAnsi="宋体" w:cs="Arial"/>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日期：                                  日期：</w:t>
      </w:r>
    </w:p>
    <w:p w14:paraId="0567CB22">
      <w:pPr>
        <w:tabs>
          <w:tab w:val="left" w:pos="3645"/>
        </w:tabs>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ab/>
      </w:r>
    </w:p>
    <w:p w14:paraId="0805BFE9">
      <w:pPr>
        <w:tabs>
          <w:tab w:val="left" w:pos="3645"/>
        </w:tabs>
        <w:spacing w:line="360" w:lineRule="auto"/>
        <w:rPr>
          <w:rFonts w:ascii="宋体" w:hAnsi="宋体"/>
          <w:b/>
          <w:bCs/>
          <w:color w:val="000000" w:themeColor="text1"/>
          <w:sz w:val="24"/>
          <w14:textFill>
            <w14:solidFill>
              <w14:schemeClr w14:val="tx1"/>
            </w14:solidFill>
          </w14:textFill>
        </w:rPr>
      </w:pPr>
    </w:p>
    <w:p w14:paraId="4D71EA0C">
      <w:pPr>
        <w:spacing w:line="360" w:lineRule="auto"/>
        <w:rPr>
          <w:rFonts w:ascii="宋体" w:hAnsi="宋体"/>
          <w:color w:val="000000" w:themeColor="text1"/>
          <w:sz w:val="24"/>
          <w14:textFill>
            <w14:solidFill>
              <w14:schemeClr w14:val="tx1"/>
            </w14:solidFill>
          </w14:textFill>
        </w:rPr>
      </w:pPr>
    </w:p>
    <w:p w14:paraId="30B89426">
      <w:pPr>
        <w:spacing w:line="360" w:lineRule="auto"/>
        <w:rPr>
          <w:rFonts w:ascii="宋体" w:hAnsi="宋体"/>
          <w:color w:val="000000" w:themeColor="text1"/>
          <w:sz w:val="24"/>
          <w14:textFill>
            <w14:solidFill>
              <w14:schemeClr w14:val="tx1"/>
            </w14:solidFill>
          </w14:textFill>
        </w:rPr>
      </w:pPr>
    </w:p>
    <w:p w14:paraId="00B4D2DF">
      <w:pPr>
        <w:spacing w:line="360" w:lineRule="auto"/>
        <w:rPr>
          <w:rFonts w:ascii="宋体" w:hAnsi="宋体"/>
          <w:color w:val="000000" w:themeColor="text1"/>
          <w:sz w:val="24"/>
          <w14:textFill>
            <w14:solidFill>
              <w14:schemeClr w14:val="tx1"/>
            </w14:solidFill>
          </w14:textFill>
        </w:rPr>
      </w:pPr>
    </w:p>
    <w:p w14:paraId="4E3788A1">
      <w:pPr>
        <w:spacing w:line="360" w:lineRule="auto"/>
        <w:rPr>
          <w:rFonts w:ascii="宋体" w:hAnsi="宋体"/>
          <w:color w:val="000000" w:themeColor="text1"/>
          <w:sz w:val="24"/>
          <w14:textFill>
            <w14:solidFill>
              <w14:schemeClr w14:val="tx1"/>
            </w14:solidFill>
          </w14:textFill>
        </w:rPr>
      </w:pPr>
    </w:p>
    <w:p w14:paraId="0541D5BC">
      <w:pPr>
        <w:spacing w:line="360" w:lineRule="auto"/>
        <w:rPr>
          <w:rFonts w:ascii="宋体" w:hAnsi="宋体"/>
          <w:color w:val="000000" w:themeColor="text1"/>
          <w:sz w:val="24"/>
          <w14:textFill>
            <w14:solidFill>
              <w14:schemeClr w14:val="tx1"/>
            </w14:solidFill>
          </w14:textFill>
        </w:rPr>
      </w:pPr>
    </w:p>
    <w:p w14:paraId="00220240">
      <w:pPr>
        <w:spacing w:line="360" w:lineRule="auto"/>
        <w:rPr>
          <w:rFonts w:ascii="宋体" w:hAnsi="宋体"/>
          <w:color w:val="000000" w:themeColor="text1"/>
          <w:sz w:val="24"/>
          <w14:textFill>
            <w14:solidFill>
              <w14:schemeClr w14:val="tx1"/>
            </w14:solidFill>
          </w14:textFill>
        </w:rPr>
      </w:pPr>
    </w:p>
    <w:p w14:paraId="694F5A5A">
      <w:pPr>
        <w:spacing w:line="360" w:lineRule="auto"/>
        <w:rPr>
          <w:rFonts w:ascii="宋体" w:hAnsi="宋体"/>
          <w:color w:val="000000" w:themeColor="text1"/>
          <w:sz w:val="24"/>
          <w14:textFill>
            <w14:solidFill>
              <w14:schemeClr w14:val="tx1"/>
            </w14:solidFill>
          </w14:textFill>
        </w:rPr>
      </w:pPr>
    </w:p>
    <w:p w14:paraId="38FED9C1">
      <w:pPr>
        <w:spacing w:line="360" w:lineRule="auto"/>
        <w:rPr>
          <w:rFonts w:ascii="宋体" w:hAnsi="宋体"/>
          <w:color w:val="000000" w:themeColor="text1"/>
          <w:sz w:val="24"/>
          <w14:textFill>
            <w14:solidFill>
              <w14:schemeClr w14:val="tx1"/>
            </w14:solidFill>
          </w14:textFill>
        </w:rPr>
      </w:pPr>
    </w:p>
    <w:p w14:paraId="4298CC4F">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附件：施工安全责任书</w:t>
      </w:r>
    </w:p>
    <w:p w14:paraId="760D642B">
      <w:pPr>
        <w:spacing w:line="360" w:lineRule="auto"/>
        <w:jc w:val="center"/>
        <w:rPr>
          <w:rFonts w:ascii="宋体" w:hAnsi="宋体"/>
          <w:bCs/>
          <w:color w:val="000000" w:themeColor="text1"/>
          <w:sz w:val="24"/>
          <w14:textFill>
            <w14:solidFill>
              <w14:schemeClr w14:val="tx1"/>
            </w14:solidFill>
          </w14:textFill>
        </w:rPr>
      </w:pPr>
    </w:p>
    <w:p w14:paraId="37078D54">
      <w:pPr>
        <w:spacing w:line="360" w:lineRule="auto"/>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厦门国贸物业服务有限公司</w:t>
      </w:r>
    </w:p>
    <w:p w14:paraId="45317F42">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乙方：</w:t>
      </w:r>
    </w:p>
    <w:p w14:paraId="55068AA5">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为确保在建筑垃圾清运期间安全达标，并督促乙方负责人认真贯彻落实《建设工程安全生产管理条例》的要求，管理好建筑清运现场，顺利完成该工程，特签订本责任书：</w:t>
      </w:r>
    </w:p>
    <w:p w14:paraId="46857436">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、乙方必须严格执行甲方公司的各项规章制度，认真履行安全生产责任，配合甲方项目人员的工作安排，确保安全生产管理目标。</w:t>
      </w:r>
    </w:p>
    <w:p w14:paraId="7BB35E06">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、乙方须在清运包干区域内作业，在清运过程中应保护好现场环境，如有破坏本项目原有建筑物品，乙方应负责修复或赔偿；如果有破坏或损坏项目现有植物和道路，乙方应及时恢复原状。</w:t>
      </w:r>
    </w:p>
    <w:p w14:paraId="52657A06">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、乙方清运人员须持证上岗并遵守交通规则，驾驶车辆之前认真检查车辆的各项性能，严格按照规程操作，预防事故发生，清运</w:t>
      </w:r>
      <w:r>
        <w:rPr>
          <w:rFonts w:hint="eastAsia" w:ascii="宋体" w:hAnsi="宋体"/>
          <w:color w:val="000000" w:themeColor="text1"/>
          <w:sz w:val="24"/>
          <w14:textFill>
            <w14:solidFill>
              <w14:schemeClr w14:val="tx1"/>
            </w14:solidFill>
          </w14:textFill>
        </w:rPr>
        <w:t>过程中造成乙方操作人员及其他人员人身或财产损坏损害的，由乙方承担全部责任</w:t>
      </w:r>
      <w:r>
        <w:rPr>
          <w:rFonts w:hint="eastAsia" w:ascii="宋体" w:hAnsi="宋体"/>
          <w:bCs/>
          <w:color w:val="000000" w:themeColor="text1"/>
          <w:sz w:val="24"/>
          <w14:textFill>
            <w14:solidFill>
              <w14:schemeClr w14:val="tx1"/>
            </w14:solidFill>
          </w14:textFill>
        </w:rPr>
        <w:t>。</w:t>
      </w:r>
    </w:p>
    <w:p w14:paraId="25B93C28">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4、乙方须严格贯彻执行国家安全法规，确保工人人身安全及设备正常运转。</w:t>
      </w:r>
    </w:p>
    <w:p w14:paraId="6CA58148">
      <w:pPr>
        <w:spacing w:line="360" w:lineRule="auto"/>
        <w:rPr>
          <w:rFonts w:ascii="宋体" w:hAnsi="宋体"/>
          <w:bCs/>
          <w:color w:val="000000" w:themeColor="text1"/>
          <w:sz w:val="24"/>
          <w14:textFill>
            <w14:solidFill>
              <w14:schemeClr w14:val="tx1"/>
            </w14:solidFill>
          </w14:textFill>
        </w:rPr>
      </w:pPr>
    </w:p>
    <w:p w14:paraId="292F68AB">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以上各项如有违反，甲方将追究乙方责任，情节严重者要追究其法律责任。</w:t>
      </w:r>
    </w:p>
    <w:p w14:paraId="50092096">
      <w:pPr>
        <w:spacing w:line="360" w:lineRule="auto"/>
        <w:rPr>
          <w:rFonts w:ascii="宋体" w:hAnsi="宋体"/>
          <w:bCs/>
          <w:color w:val="000000" w:themeColor="text1"/>
          <w:sz w:val="24"/>
          <w14:textFill>
            <w14:solidFill>
              <w14:schemeClr w14:val="tx1"/>
            </w14:solidFill>
          </w14:textFill>
        </w:rPr>
      </w:pPr>
    </w:p>
    <w:p w14:paraId="572D7CBE">
      <w:pPr>
        <w:spacing w:line="360" w:lineRule="auto"/>
        <w:rPr>
          <w:rFonts w:ascii="宋体" w:hAnsi="宋体"/>
          <w:bCs/>
          <w:color w:val="000000" w:themeColor="text1"/>
          <w:sz w:val="24"/>
          <w14:textFill>
            <w14:solidFill>
              <w14:schemeClr w14:val="tx1"/>
            </w14:solidFill>
          </w14:textFill>
        </w:rPr>
      </w:pPr>
    </w:p>
    <w:p w14:paraId="0FBDD5FA">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甲方：</w:t>
      </w:r>
      <w:r>
        <w:rPr>
          <w:rFonts w:hint="eastAsia" w:ascii="宋体" w:hAnsi="宋体" w:eastAsia="宋体" w:cs="宋体"/>
          <w:b/>
          <w:bCs/>
          <w:color w:val="000000" w:themeColor="text1"/>
          <w:sz w:val="24"/>
          <w:szCs w:val="24"/>
          <w14:textFill>
            <w14:solidFill>
              <w14:schemeClr w14:val="tx1"/>
            </w14:solidFill>
          </w14:textFill>
        </w:rPr>
        <w:t xml:space="preserve">厦门国贸物业服务有限公司 </w:t>
      </w:r>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仿宋" w:hAnsi="仿宋" w:eastAsia="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b/>
          <w:bCs/>
          <w:color w:val="000000" w:themeColor="text1"/>
          <w:sz w:val="28"/>
          <w:szCs w:val="28"/>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乙方：</w:t>
      </w:r>
    </w:p>
    <w:p w14:paraId="4945BC22">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代表人：                                    代表人：</w:t>
      </w:r>
    </w:p>
    <w:p w14:paraId="65192FB3">
      <w:pPr>
        <w:tabs>
          <w:tab w:val="left" w:pos="3600"/>
          <w:tab w:val="left" w:pos="3780"/>
        </w:tabs>
        <w:spacing w:line="360" w:lineRule="auto"/>
        <w:ind w:left="-178" w:leftChars="-85" w:firstLine="177" w:firstLineChars="74"/>
        <w:rPr>
          <w:rFonts w:ascii="宋体" w:hAnsi="宋体" w:cs="Arial"/>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     年   月   日                     日期：      年   月   日</w:t>
      </w:r>
    </w:p>
    <w:p w14:paraId="2958F7E7">
      <w:pPr>
        <w:rPr>
          <w:color w:val="000000" w:themeColor="text1"/>
          <w14:textFill>
            <w14:solidFill>
              <w14:schemeClr w14:val="tx1"/>
            </w14:solidFill>
          </w14:textFill>
        </w:rPr>
      </w:pPr>
    </w:p>
    <w:p w14:paraId="0EB546CF">
      <w:pPr>
        <w:rPr>
          <w:color w:val="000000" w:themeColor="text1"/>
          <w14:textFill>
            <w14:solidFill>
              <w14:schemeClr w14:val="tx1"/>
            </w14:solidFill>
          </w14:textFill>
        </w:rPr>
      </w:pPr>
    </w:p>
    <w:p w14:paraId="6C96D442">
      <w:pPr>
        <w:rPr>
          <w:color w:val="000000" w:themeColor="text1"/>
          <w14:textFill>
            <w14:solidFill>
              <w14:schemeClr w14:val="tx1"/>
            </w14:solidFill>
          </w14:textFill>
        </w:rPr>
      </w:pPr>
    </w:p>
    <w:p w14:paraId="12D01D5D">
      <w:pPr>
        <w:tabs>
          <w:tab w:val="left" w:pos="5268"/>
        </w:tabs>
        <w:jc w:val="left"/>
        <w:rPr>
          <w:color w:val="000000" w:themeColor="text1"/>
          <w14:textFill>
            <w14:solidFill>
              <w14:schemeClr w14:val="tx1"/>
            </w14:solidFill>
          </w14:textFill>
        </w:rPr>
      </w:pPr>
    </w:p>
    <w:sectPr>
      <w:headerReference r:id="rId6" w:type="first"/>
      <w:headerReference r:id="rId5" w:type="default"/>
      <w:footerReference r:id="rId7" w:type="default"/>
      <w:pgSz w:w="11906" w:h="16838"/>
      <w:pgMar w:top="1418" w:right="1418" w:bottom="1276"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5"/>
    </w:sdtPr>
    <w:sdtContent>
      <w:p w14:paraId="13F6D543">
        <w:pPr>
          <w:pStyle w:val="11"/>
          <w:jc w:val="center"/>
        </w:pPr>
        <w:r>
          <w:fldChar w:fldCharType="begin"/>
        </w:r>
        <w:r>
          <w:instrText xml:space="preserve"> PAGE   \* MERGEFORMAT </w:instrText>
        </w:r>
        <w:r>
          <w:fldChar w:fldCharType="separate"/>
        </w:r>
        <w:r>
          <w:rPr>
            <w:lang w:val="zh-CN"/>
          </w:rPr>
          <w:t>26</w:t>
        </w:r>
        <w:r>
          <w:rPr>
            <w:lang w:val="zh-CN"/>
          </w:rPr>
          <w:fldChar w:fldCharType="end"/>
        </w:r>
      </w:p>
    </w:sdtContent>
  </w:sdt>
  <w:p w14:paraId="1D19ABE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0D836436">
        <w:pPr>
          <w:pStyle w:val="11"/>
          <w:jc w:val="center"/>
        </w:pPr>
        <w:r>
          <w:fldChar w:fldCharType="begin"/>
        </w:r>
        <w:r>
          <w:instrText xml:space="preserve"> PAGE   \* MERGEFORMAT </w:instrText>
        </w:r>
        <w:r>
          <w:fldChar w:fldCharType="separate"/>
        </w:r>
        <w:r>
          <w:rPr>
            <w:lang w:val="zh-CN"/>
          </w:rPr>
          <w:t>33</w:t>
        </w:r>
        <w:r>
          <w:rPr>
            <w:lang w:val="zh-CN"/>
          </w:rPr>
          <w:fldChar w:fldCharType="end"/>
        </w:r>
      </w:p>
    </w:sdtContent>
  </w:sdt>
  <w:p w14:paraId="2CC5DE4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E279">
    <w:pPr>
      <w:pStyle w:val="28"/>
    </w:pPr>
    <w:r>
      <w:rPr>
        <w:rFonts w:hint="eastAsia"/>
      </w:rPr>
      <w:t xml:space="preserve">                                    第</w:t>
    </w:r>
    <w:r>
      <w:fldChar w:fldCharType="begin"/>
    </w:r>
    <w:r>
      <w:rPr>
        <w:rStyle w:val="20"/>
      </w:rPr>
      <w:instrText xml:space="preserve"> PAGE </w:instrText>
    </w:r>
    <w:r>
      <w:fldChar w:fldCharType="separate"/>
    </w:r>
    <w:r>
      <w:rPr>
        <w:rStyle w:val="20"/>
      </w:rPr>
      <w:t>53</w:t>
    </w:r>
    <w:r>
      <w:fldChar w:fldCharType="end"/>
    </w:r>
    <w:r>
      <w:rPr>
        <w:rFonts w:hint="eastAsia"/>
      </w:rPr>
      <w:t>页，共</w:t>
    </w:r>
    <w:r>
      <w:fldChar w:fldCharType="begin"/>
    </w:r>
    <w:r>
      <w:rPr>
        <w:rStyle w:val="20"/>
      </w:rPr>
      <w:instrText xml:space="preserve"> NUMPAGES </w:instrText>
    </w:r>
    <w:r>
      <w:fldChar w:fldCharType="separate"/>
    </w:r>
    <w:r>
      <w:rPr>
        <w:rStyle w:val="20"/>
      </w:rPr>
      <w:t>53</w:t>
    </w:r>
    <w:r>
      <w:fldChar w:fldCharType="end"/>
    </w:r>
    <w:r>
      <w:rPr>
        <w:rFonts w:hint="eastAsia"/>
      </w:rPr>
      <w:t>页</w:t>
    </w:r>
  </w:p>
  <w:p w14:paraId="2D1CD4D5">
    <w:pPr>
      <w:rPr>
        <w:rFonts w:ascii="宋体" w:hAnsi="宋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EA7F">
    <w:pPr>
      <w:pStyle w:val="12"/>
      <w:jc w:val="right"/>
      <w:rPr>
        <w:rFonts w:ascii="宋体" w:hAnsi="宋体"/>
        <w:sz w:val="24"/>
        <w:szCs w:val="24"/>
      </w:rPr>
    </w:pPr>
    <w:r>
      <w:rPr>
        <w:rFonts w:ascii="宋体" w:hAnsi="宋体"/>
        <w:sz w:val="20"/>
        <w:szCs w:val="24"/>
      </w:rPr>
      <w:t>2019</w:t>
    </w:r>
    <w:r>
      <w:rPr>
        <w:rFonts w:hint="eastAsia" w:ascii="宋体" w:hAnsi="宋体"/>
        <w:sz w:val="20"/>
        <w:szCs w:val="24"/>
      </w:rPr>
      <w:t>年12月</w:t>
    </w:r>
    <w:r>
      <w:rPr>
        <w:rFonts w:ascii="宋体" w:hAnsi="宋体"/>
        <w:sz w:val="20"/>
        <w:szCs w:val="24"/>
      </w:rPr>
      <w:t>版</w:t>
    </w:r>
  </w:p>
  <w:p w14:paraId="25D0A3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7AD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9B80"/>
    <w:multiLevelType w:val="singleLevel"/>
    <w:tmpl w:val="9CAD9B80"/>
    <w:lvl w:ilvl="0" w:tentative="0">
      <w:start w:val="3"/>
      <w:numFmt w:val="decimal"/>
      <w:suff w:val="nothing"/>
      <w:lvlText w:val="%1、"/>
      <w:lvlJc w:val="left"/>
    </w:lvl>
  </w:abstractNum>
  <w:abstractNum w:abstractNumId="1">
    <w:nsid w:val="C164CAFD"/>
    <w:multiLevelType w:val="singleLevel"/>
    <w:tmpl w:val="C164CAFD"/>
    <w:lvl w:ilvl="0" w:tentative="0">
      <w:start w:val="4"/>
      <w:numFmt w:val="chineseCounting"/>
      <w:suff w:val="nothing"/>
      <w:lvlText w:val="%1、"/>
      <w:lvlJc w:val="left"/>
      <w:rPr>
        <w:rFonts w:hint="eastAsia"/>
      </w:rPr>
    </w:lvl>
  </w:abstractNum>
  <w:abstractNum w:abstractNumId="2">
    <w:nsid w:val="EBE548EF"/>
    <w:multiLevelType w:val="singleLevel"/>
    <w:tmpl w:val="EBE548EF"/>
    <w:lvl w:ilvl="0" w:tentative="0">
      <w:start w:val="13"/>
      <w:numFmt w:val="chineseCounting"/>
      <w:suff w:val="space"/>
      <w:lvlText w:val="第%1条"/>
      <w:lvlJc w:val="left"/>
      <w:rPr>
        <w:rFonts w:hint="eastAsia"/>
      </w:rPr>
    </w:lvl>
  </w:abstractNum>
  <w:abstractNum w:abstractNumId="3">
    <w:nsid w:val="326A1100"/>
    <w:multiLevelType w:val="singleLevel"/>
    <w:tmpl w:val="326A1100"/>
    <w:lvl w:ilvl="0" w:tentative="0">
      <w:start w:val="2"/>
      <w:numFmt w:val="decimal"/>
      <w:suff w:val="nothing"/>
      <w:lvlText w:val="%1、"/>
      <w:lvlJc w:val="left"/>
    </w:lvl>
  </w:abstractNum>
  <w:abstractNum w:abstractNumId="4">
    <w:nsid w:val="3C99A7DA"/>
    <w:multiLevelType w:val="singleLevel"/>
    <w:tmpl w:val="3C99A7DA"/>
    <w:lvl w:ilvl="0" w:tentative="0">
      <w:start w:val="1"/>
      <w:numFmt w:val="decimal"/>
      <w:suff w:val="nothing"/>
      <w:lvlText w:val="（%1）"/>
      <w:lvlJc w:val="left"/>
    </w:lvl>
  </w:abstractNum>
  <w:abstractNum w:abstractNumId="5">
    <w:nsid w:val="54F91E88"/>
    <w:multiLevelType w:val="singleLevel"/>
    <w:tmpl w:val="54F91E88"/>
    <w:lvl w:ilvl="0" w:tentative="0">
      <w:start w:val="12"/>
      <w:numFmt w:val="chineseCounting"/>
      <w:suff w:val="space"/>
      <w:lvlText w:val="第%1条"/>
      <w:lvlJc w:val="left"/>
      <w:rPr>
        <w:rFonts w:hint="eastAsia"/>
      </w:rPr>
    </w:lvl>
  </w:abstractNum>
  <w:abstractNum w:abstractNumId="6">
    <w:nsid w:val="7CCDB542"/>
    <w:multiLevelType w:val="singleLevel"/>
    <w:tmpl w:val="7CCDB542"/>
    <w:lvl w:ilvl="0" w:tentative="0">
      <w:start w:val="1"/>
      <w:numFmt w:val="decimal"/>
      <w:suff w:val="nothing"/>
      <w:lvlText w:val="%1、"/>
      <w:lvlJc w:val="left"/>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TQ2MGY2NzVkOGZmNWUxMjYyYzU0NDgzZGQ0ZDUifQ=="/>
  </w:docVars>
  <w:rsids>
    <w:rsidRoot w:val="5A9E4E10"/>
    <w:rsid w:val="00006ED0"/>
    <w:rsid w:val="000269DC"/>
    <w:rsid w:val="00067947"/>
    <w:rsid w:val="000722C4"/>
    <w:rsid w:val="0007691E"/>
    <w:rsid w:val="000A081C"/>
    <w:rsid w:val="000A1DFD"/>
    <w:rsid w:val="000C4905"/>
    <w:rsid w:val="000C51D2"/>
    <w:rsid w:val="000D1D4F"/>
    <w:rsid w:val="000D5633"/>
    <w:rsid w:val="000F0169"/>
    <w:rsid w:val="00125BDA"/>
    <w:rsid w:val="00134337"/>
    <w:rsid w:val="00147651"/>
    <w:rsid w:val="00156484"/>
    <w:rsid w:val="00164460"/>
    <w:rsid w:val="001730E5"/>
    <w:rsid w:val="00173918"/>
    <w:rsid w:val="00192AE5"/>
    <w:rsid w:val="001F2C44"/>
    <w:rsid w:val="00285735"/>
    <w:rsid w:val="002868F2"/>
    <w:rsid w:val="002D30A0"/>
    <w:rsid w:val="003073E5"/>
    <w:rsid w:val="00307A95"/>
    <w:rsid w:val="00321667"/>
    <w:rsid w:val="0035262A"/>
    <w:rsid w:val="0035267A"/>
    <w:rsid w:val="00372A2E"/>
    <w:rsid w:val="00381116"/>
    <w:rsid w:val="00384929"/>
    <w:rsid w:val="0039571C"/>
    <w:rsid w:val="003B5930"/>
    <w:rsid w:val="00426DB4"/>
    <w:rsid w:val="004420E8"/>
    <w:rsid w:val="0045070B"/>
    <w:rsid w:val="004D7D2D"/>
    <w:rsid w:val="00500657"/>
    <w:rsid w:val="005247AB"/>
    <w:rsid w:val="005373C7"/>
    <w:rsid w:val="00555F44"/>
    <w:rsid w:val="005668A0"/>
    <w:rsid w:val="00571798"/>
    <w:rsid w:val="00580ABD"/>
    <w:rsid w:val="005B5B9F"/>
    <w:rsid w:val="005B6662"/>
    <w:rsid w:val="005C4914"/>
    <w:rsid w:val="005D28A5"/>
    <w:rsid w:val="006323B2"/>
    <w:rsid w:val="006611C3"/>
    <w:rsid w:val="00665A76"/>
    <w:rsid w:val="006930A4"/>
    <w:rsid w:val="006B22A6"/>
    <w:rsid w:val="0071024F"/>
    <w:rsid w:val="007156CB"/>
    <w:rsid w:val="00731DAA"/>
    <w:rsid w:val="007431DA"/>
    <w:rsid w:val="00747F57"/>
    <w:rsid w:val="00773163"/>
    <w:rsid w:val="007734FB"/>
    <w:rsid w:val="00776E2B"/>
    <w:rsid w:val="00794A84"/>
    <w:rsid w:val="007A3956"/>
    <w:rsid w:val="007F6B4D"/>
    <w:rsid w:val="00820AC2"/>
    <w:rsid w:val="008379E7"/>
    <w:rsid w:val="00840755"/>
    <w:rsid w:val="008563B9"/>
    <w:rsid w:val="0086070F"/>
    <w:rsid w:val="00862A09"/>
    <w:rsid w:val="008633EE"/>
    <w:rsid w:val="008877FD"/>
    <w:rsid w:val="008A0FA8"/>
    <w:rsid w:val="008B7F18"/>
    <w:rsid w:val="008C1878"/>
    <w:rsid w:val="008E035C"/>
    <w:rsid w:val="0090029B"/>
    <w:rsid w:val="00902EA6"/>
    <w:rsid w:val="00903E08"/>
    <w:rsid w:val="00905ED4"/>
    <w:rsid w:val="00920291"/>
    <w:rsid w:val="009212E9"/>
    <w:rsid w:val="00934EFC"/>
    <w:rsid w:val="00945270"/>
    <w:rsid w:val="00951486"/>
    <w:rsid w:val="0099046A"/>
    <w:rsid w:val="009D5321"/>
    <w:rsid w:val="009D7D8F"/>
    <w:rsid w:val="00A05766"/>
    <w:rsid w:val="00A126F7"/>
    <w:rsid w:val="00A23A4C"/>
    <w:rsid w:val="00A27A1C"/>
    <w:rsid w:val="00A43C42"/>
    <w:rsid w:val="00A55097"/>
    <w:rsid w:val="00A741DC"/>
    <w:rsid w:val="00A76545"/>
    <w:rsid w:val="00A92F32"/>
    <w:rsid w:val="00A95EFE"/>
    <w:rsid w:val="00AA1152"/>
    <w:rsid w:val="00AC45B2"/>
    <w:rsid w:val="00AD0969"/>
    <w:rsid w:val="00B17484"/>
    <w:rsid w:val="00B43B9F"/>
    <w:rsid w:val="00B43C50"/>
    <w:rsid w:val="00B569C7"/>
    <w:rsid w:val="00B65A0A"/>
    <w:rsid w:val="00C02E7A"/>
    <w:rsid w:val="00C45161"/>
    <w:rsid w:val="00C5549D"/>
    <w:rsid w:val="00C77B40"/>
    <w:rsid w:val="00C81570"/>
    <w:rsid w:val="00CD3D14"/>
    <w:rsid w:val="00CE0861"/>
    <w:rsid w:val="00CF10A7"/>
    <w:rsid w:val="00CF2CEB"/>
    <w:rsid w:val="00CF68A9"/>
    <w:rsid w:val="00CF7EFB"/>
    <w:rsid w:val="00D02025"/>
    <w:rsid w:val="00D142A9"/>
    <w:rsid w:val="00D27B60"/>
    <w:rsid w:val="00D3062C"/>
    <w:rsid w:val="00D42842"/>
    <w:rsid w:val="00D47018"/>
    <w:rsid w:val="00D5527E"/>
    <w:rsid w:val="00D77AB2"/>
    <w:rsid w:val="00DA2196"/>
    <w:rsid w:val="00DA58EB"/>
    <w:rsid w:val="00DD3390"/>
    <w:rsid w:val="00DD5D79"/>
    <w:rsid w:val="00DE39D2"/>
    <w:rsid w:val="00DE78CB"/>
    <w:rsid w:val="00DF1020"/>
    <w:rsid w:val="00E47D8E"/>
    <w:rsid w:val="00E5041B"/>
    <w:rsid w:val="00E51591"/>
    <w:rsid w:val="00E5277E"/>
    <w:rsid w:val="00E5596B"/>
    <w:rsid w:val="00E721AB"/>
    <w:rsid w:val="00EA6231"/>
    <w:rsid w:val="00EA7525"/>
    <w:rsid w:val="00EA7544"/>
    <w:rsid w:val="00EB518C"/>
    <w:rsid w:val="00EC5F6A"/>
    <w:rsid w:val="00ED331A"/>
    <w:rsid w:val="00EF2E6B"/>
    <w:rsid w:val="00F37B3D"/>
    <w:rsid w:val="00F46AD6"/>
    <w:rsid w:val="00F61F10"/>
    <w:rsid w:val="00F668AA"/>
    <w:rsid w:val="00F80AFF"/>
    <w:rsid w:val="00F97650"/>
    <w:rsid w:val="00FB66CB"/>
    <w:rsid w:val="00FE5D17"/>
    <w:rsid w:val="00FF50AC"/>
    <w:rsid w:val="0108563F"/>
    <w:rsid w:val="016F46A3"/>
    <w:rsid w:val="01901AF8"/>
    <w:rsid w:val="01AC5842"/>
    <w:rsid w:val="01AF0FFE"/>
    <w:rsid w:val="0220198C"/>
    <w:rsid w:val="02311FB1"/>
    <w:rsid w:val="02921C15"/>
    <w:rsid w:val="029B60C9"/>
    <w:rsid w:val="02BE246F"/>
    <w:rsid w:val="02F01839"/>
    <w:rsid w:val="03377B47"/>
    <w:rsid w:val="03771E7F"/>
    <w:rsid w:val="03E3093B"/>
    <w:rsid w:val="03FB660C"/>
    <w:rsid w:val="04001E75"/>
    <w:rsid w:val="041D47D5"/>
    <w:rsid w:val="04B24457"/>
    <w:rsid w:val="04D2240A"/>
    <w:rsid w:val="060522E0"/>
    <w:rsid w:val="06061CE1"/>
    <w:rsid w:val="060E425E"/>
    <w:rsid w:val="06100C8A"/>
    <w:rsid w:val="063D0AC0"/>
    <w:rsid w:val="0640211D"/>
    <w:rsid w:val="06804355"/>
    <w:rsid w:val="08D06779"/>
    <w:rsid w:val="08EE635C"/>
    <w:rsid w:val="094225B3"/>
    <w:rsid w:val="0973382D"/>
    <w:rsid w:val="09860C2A"/>
    <w:rsid w:val="099042ED"/>
    <w:rsid w:val="0A60541B"/>
    <w:rsid w:val="0A694264"/>
    <w:rsid w:val="0AA572D2"/>
    <w:rsid w:val="0BA77C3D"/>
    <w:rsid w:val="0C7B03FD"/>
    <w:rsid w:val="0CA912FB"/>
    <w:rsid w:val="0CD21ED4"/>
    <w:rsid w:val="0D24377E"/>
    <w:rsid w:val="0E180CD0"/>
    <w:rsid w:val="0E1B7FD7"/>
    <w:rsid w:val="0E455347"/>
    <w:rsid w:val="0E5536F4"/>
    <w:rsid w:val="0E9A62D7"/>
    <w:rsid w:val="0EA92008"/>
    <w:rsid w:val="0F9831F9"/>
    <w:rsid w:val="10034348"/>
    <w:rsid w:val="10046849"/>
    <w:rsid w:val="105A46BB"/>
    <w:rsid w:val="10BA0C23"/>
    <w:rsid w:val="1107081D"/>
    <w:rsid w:val="11183EA5"/>
    <w:rsid w:val="11511927"/>
    <w:rsid w:val="119B5DEE"/>
    <w:rsid w:val="11DF30C9"/>
    <w:rsid w:val="11F34710"/>
    <w:rsid w:val="12574721"/>
    <w:rsid w:val="12613F1F"/>
    <w:rsid w:val="12E85F57"/>
    <w:rsid w:val="13241410"/>
    <w:rsid w:val="1342463D"/>
    <w:rsid w:val="137776CA"/>
    <w:rsid w:val="140674A9"/>
    <w:rsid w:val="14151024"/>
    <w:rsid w:val="142F7A55"/>
    <w:rsid w:val="14483686"/>
    <w:rsid w:val="14BA5965"/>
    <w:rsid w:val="151246AA"/>
    <w:rsid w:val="15922045"/>
    <w:rsid w:val="16850F59"/>
    <w:rsid w:val="169326D4"/>
    <w:rsid w:val="16DB518D"/>
    <w:rsid w:val="172F63F8"/>
    <w:rsid w:val="1763654B"/>
    <w:rsid w:val="17AA01A4"/>
    <w:rsid w:val="17B46DA6"/>
    <w:rsid w:val="17D52411"/>
    <w:rsid w:val="19A277FE"/>
    <w:rsid w:val="1A8770D7"/>
    <w:rsid w:val="1AA650CC"/>
    <w:rsid w:val="1AD03EF7"/>
    <w:rsid w:val="1B633B7D"/>
    <w:rsid w:val="1BC12009"/>
    <w:rsid w:val="1C892D31"/>
    <w:rsid w:val="1CEA3737"/>
    <w:rsid w:val="1D61352C"/>
    <w:rsid w:val="1E4F7829"/>
    <w:rsid w:val="1E5170FD"/>
    <w:rsid w:val="1EBB6C6C"/>
    <w:rsid w:val="1F56363B"/>
    <w:rsid w:val="202E7AA4"/>
    <w:rsid w:val="20FB4647"/>
    <w:rsid w:val="214C62A1"/>
    <w:rsid w:val="21607597"/>
    <w:rsid w:val="216A24B1"/>
    <w:rsid w:val="21B52099"/>
    <w:rsid w:val="21C11AD4"/>
    <w:rsid w:val="2221772E"/>
    <w:rsid w:val="228351DE"/>
    <w:rsid w:val="22B6058D"/>
    <w:rsid w:val="22E93FC0"/>
    <w:rsid w:val="236C21A8"/>
    <w:rsid w:val="23A931DE"/>
    <w:rsid w:val="24285550"/>
    <w:rsid w:val="244D325D"/>
    <w:rsid w:val="26926505"/>
    <w:rsid w:val="269D52BC"/>
    <w:rsid w:val="27055676"/>
    <w:rsid w:val="27106038"/>
    <w:rsid w:val="280B656E"/>
    <w:rsid w:val="282F4953"/>
    <w:rsid w:val="283C5022"/>
    <w:rsid w:val="28814EFD"/>
    <w:rsid w:val="28FA6586"/>
    <w:rsid w:val="29883376"/>
    <w:rsid w:val="2A625DED"/>
    <w:rsid w:val="2A6A596D"/>
    <w:rsid w:val="2A790107"/>
    <w:rsid w:val="2A831D7B"/>
    <w:rsid w:val="2AF7061B"/>
    <w:rsid w:val="2B204A27"/>
    <w:rsid w:val="2B6A3EF4"/>
    <w:rsid w:val="2BDB6BA0"/>
    <w:rsid w:val="2BE43C9B"/>
    <w:rsid w:val="2BE60D87"/>
    <w:rsid w:val="2C2661CB"/>
    <w:rsid w:val="2CF61AA4"/>
    <w:rsid w:val="2D081C69"/>
    <w:rsid w:val="2E8004EB"/>
    <w:rsid w:val="2EC64B2F"/>
    <w:rsid w:val="2ED973C6"/>
    <w:rsid w:val="2F6B0D8A"/>
    <w:rsid w:val="2F754550"/>
    <w:rsid w:val="2FC8648C"/>
    <w:rsid w:val="30B579BF"/>
    <w:rsid w:val="30C23E8A"/>
    <w:rsid w:val="30CC096E"/>
    <w:rsid w:val="312A72A4"/>
    <w:rsid w:val="313751DD"/>
    <w:rsid w:val="317604F9"/>
    <w:rsid w:val="318B6A9E"/>
    <w:rsid w:val="31CF2D03"/>
    <w:rsid w:val="321D581C"/>
    <w:rsid w:val="32655415"/>
    <w:rsid w:val="329046CD"/>
    <w:rsid w:val="329B2BE5"/>
    <w:rsid w:val="32DD31FD"/>
    <w:rsid w:val="33467419"/>
    <w:rsid w:val="33484CBE"/>
    <w:rsid w:val="33744EEC"/>
    <w:rsid w:val="337E7BF7"/>
    <w:rsid w:val="33C82E1F"/>
    <w:rsid w:val="344057F2"/>
    <w:rsid w:val="34CB0AD9"/>
    <w:rsid w:val="35D850E1"/>
    <w:rsid w:val="363C215E"/>
    <w:rsid w:val="368876BA"/>
    <w:rsid w:val="370945C1"/>
    <w:rsid w:val="37B87D95"/>
    <w:rsid w:val="382976F4"/>
    <w:rsid w:val="382F7AF7"/>
    <w:rsid w:val="38456C7E"/>
    <w:rsid w:val="388E38AC"/>
    <w:rsid w:val="38C0567C"/>
    <w:rsid w:val="38D30B68"/>
    <w:rsid w:val="3A041FFC"/>
    <w:rsid w:val="3B0C1A3A"/>
    <w:rsid w:val="3B722FCC"/>
    <w:rsid w:val="3BA90120"/>
    <w:rsid w:val="3C2209DE"/>
    <w:rsid w:val="3C6329C5"/>
    <w:rsid w:val="3C814BF9"/>
    <w:rsid w:val="3D2F43B1"/>
    <w:rsid w:val="3D54230E"/>
    <w:rsid w:val="3D995F73"/>
    <w:rsid w:val="3DF2319B"/>
    <w:rsid w:val="3E012496"/>
    <w:rsid w:val="3E175815"/>
    <w:rsid w:val="3E2F0080"/>
    <w:rsid w:val="400420F0"/>
    <w:rsid w:val="401D5B35"/>
    <w:rsid w:val="410C52E4"/>
    <w:rsid w:val="41295F60"/>
    <w:rsid w:val="41306564"/>
    <w:rsid w:val="416B7C26"/>
    <w:rsid w:val="41744D2D"/>
    <w:rsid w:val="41CC6917"/>
    <w:rsid w:val="421E7386"/>
    <w:rsid w:val="42674891"/>
    <w:rsid w:val="429A6A15"/>
    <w:rsid w:val="42B577AE"/>
    <w:rsid w:val="4326474D"/>
    <w:rsid w:val="433B303D"/>
    <w:rsid w:val="435420A9"/>
    <w:rsid w:val="43F21A19"/>
    <w:rsid w:val="44131322"/>
    <w:rsid w:val="44635FD1"/>
    <w:rsid w:val="44902472"/>
    <w:rsid w:val="44FF0DB1"/>
    <w:rsid w:val="44FF3C0C"/>
    <w:rsid w:val="458254C2"/>
    <w:rsid w:val="461B7E6D"/>
    <w:rsid w:val="46C66AC8"/>
    <w:rsid w:val="473059B7"/>
    <w:rsid w:val="480C64C1"/>
    <w:rsid w:val="48C322BD"/>
    <w:rsid w:val="491D5CAA"/>
    <w:rsid w:val="494F15B9"/>
    <w:rsid w:val="49ED2641"/>
    <w:rsid w:val="4A116F4C"/>
    <w:rsid w:val="4AF40C8C"/>
    <w:rsid w:val="4AF65591"/>
    <w:rsid w:val="4AF84C20"/>
    <w:rsid w:val="4B7F49FA"/>
    <w:rsid w:val="4BC4790A"/>
    <w:rsid w:val="4BCD689E"/>
    <w:rsid w:val="4C3F297F"/>
    <w:rsid w:val="4C881B8F"/>
    <w:rsid w:val="4D0F1DAD"/>
    <w:rsid w:val="4D335E3E"/>
    <w:rsid w:val="4D50664E"/>
    <w:rsid w:val="4DA35314"/>
    <w:rsid w:val="4DB150DA"/>
    <w:rsid w:val="4DDA74A5"/>
    <w:rsid w:val="4DF416CF"/>
    <w:rsid w:val="4E162E45"/>
    <w:rsid w:val="4E307B29"/>
    <w:rsid w:val="4E597784"/>
    <w:rsid w:val="4ECC66F7"/>
    <w:rsid w:val="4F0516BA"/>
    <w:rsid w:val="4F740341"/>
    <w:rsid w:val="4FA113E3"/>
    <w:rsid w:val="4FA709C3"/>
    <w:rsid w:val="50395ABF"/>
    <w:rsid w:val="5055041F"/>
    <w:rsid w:val="50707007"/>
    <w:rsid w:val="50A52E83"/>
    <w:rsid w:val="50C64B1D"/>
    <w:rsid w:val="50FD71AE"/>
    <w:rsid w:val="51355CD6"/>
    <w:rsid w:val="5184720E"/>
    <w:rsid w:val="51A2208A"/>
    <w:rsid w:val="51AF5FE6"/>
    <w:rsid w:val="51F46E3D"/>
    <w:rsid w:val="5223678D"/>
    <w:rsid w:val="52642DBB"/>
    <w:rsid w:val="5282350E"/>
    <w:rsid w:val="52EB172B"/>
    <w:rsid w:val="5346487B"/>
    <w:rsid w:val="53AF22A4"/>
    <w:rsid w:val="54015E71"/>
    <w:rsid w:val="54256BC5"/>
    <w:rsid w:val="54501350"/>
    <w:rsid w:val="545836AA"/>
    <w:rsid w:val="547F1F0F"/>
    <w:rsid w:val="548C7568"/>
    <w:rsid w:val="55D43B94"/>
    <w:rsid w:val="56203258"/>
    <w:rsid w:val="564B432E"/>
    <w:rsid w:val="56D525E1"/>
    <w:rsid w:val="57296E56"/>
    <w:rsid w:val="572E6EEC"/>
    <w:rsid w:val="57430FD4"/>
    <w:rsid w:val="57BD5228"/>
    <w:rsid w:val="57C27A4A"/>
    <w:rsid w:val="580A21FF"/>
    <w:rsid w:val="58726012"/>
    <w:rsid w:val="58752412"/>
    <w:rsid w:val="58867311"/>
    <w:rsid w:val="58CD4FF7"/>
    <w:rsid w:val="590B5B1F"/>
    <w:rsid w:val="59303932"/>
    <w:rsid w:val="59736B7E"/>
    <w:rsid w:val="59AE1A09"/>
    <w:rsid w:val="5A03440C"/>
    <w:rsid w:val="5A2C24C6"/>
    <w:rsid w:val="5A9E4E10"/>
    <w:rsid w:val="5AC82371"/>
    <w:rsid w:val="5B1C6DFA"/>
    <w:rsid w:val="5B1D730F"/>
    <w:rsid w:val="5BEF2193"/>
    <w:rsid w:val="5BF34294"/>
    <w:rsid w:val="5C0244DB"/>
    <w:rsid w:val="5C83637D"/>
    <w:rsid w:val="5E451AD3"/>
    <w:rsid w:val="5E5D6E1D"/>
    <w:rsid w:val="5EE13CC4"/>
    <w:rsid w:val="5F10533B"/>
    <w:rsid w:val="5F2F20E9"/>
    <w:rsid w:val="5F3C4566"/>
    <w:rsid w:val="5F5A15AE"/>
    <w:rsid w:val="5FFD464A"/>
    <w:rsid w:val="60F872D1"/>
    <w:rsid w:val="60FB46CB"/>
    <w:rsid w:val="618940DF"/>
    <w:rsid w:val="62EB0199"/>
    <w:rsid w:val="63A20F31"/>
    <w:rsid w:val="63AE60D5"/>
    <w:rsid w:val="63BC769D"/>
    <w:rsid w:val="63D97984"/>
    <w:rsid w:val="64340620"/>
    <w:rsid w:val="64586496"/>
    <w:rsid w:val="64AB72EA"/>
    <w:rsid w:val="65076790"/>
    <w:rsid w:val="65284DF0"/>
    <w:rsid w:val="65AA4F63"/>
    <w:rsid w:val="65B3370B"/>
    <w:rsid w:val="65E6594A"/>
    <w:rsid w:val="65EA16D1"/>
    <w:rsid w:val="660415AB"/>
    <w:rsid w:val="66417DCF"/>
    <w:rsid w:val="66680A54"/>
    <w:rsid w:val="667C005C"/>
    <w:rsid w:val="66B52E3A"/>
    <w:rsid w:val="66BE0674"/>
    <w:rsid w:val="67647DA2"/>
    <w:rsid w:val="67C038AA"/>
    <w:rsid w:val="67ED7463"/>
    <w:rsid w:val="68B431C5"/>
    <w:rsid w:val="691D5B26"/>
    <w:rsid w:val="69F71A14"/>
    <w:rsid w:val="6A464D1D"/>
    <w:rsid w:val="6B771F7C"/>
    <w:rsid w:val="6BFE0558"/>
    <w:rsid w:val="6C384A25"/>
    <w:rsid w:val="6C553E42"/>
    <w:rsid w:val="6C7F5EB7"/>
    <w:rsid w:val="6CC75D41"/>
    <w:rsid w:val="6D814F49"/>
    <w:rsid w:val="6DCF6FD0"/>
    <w:rsid w:val="6DFB3F5C"/>
    <w:rsid w:val="6E095813"/>
    <w:rsid w:val="6E1D2942"/>
    <w:rsid w:val="6E475A5B"/>
    <w:rsid w:val="6E79720E"/>
    <w:rsid w:val="6F0A567D"/>
    <w:rsid w:val="707D67E2"/>
    <w:rsid w:val="714F4CEB"/>
    <w:rsid w:val="715147A9"/>
    <w:rsid w:val="71FB5360"/>
    <w:rsid w:val="733C2E6B"/>
    <w:rsid w:val="736B4E23"/>
    <w:rsid w:val="73734B1F"/>
    <w:rsid w:val="73A24C66"/>
    <w:rsid w:val="740C15B0"/>
    <w:rsid w:val="74315BCE"/>
    <w:rsid w:val="749A26CC"/>
    <w:rsid w:val="74AC63DE"/>
    <w:rsid w:val="756D3991"/>
    <w:rsid w:val="76136FBE"/>
    <w:rsid w:val="77615B70"/>
    <w:rsid w:val="77820934"/>
    <w:rsid w:val="77B0775C"/>
    <w:rsid w:val="79404C23"/>
    <w:rsid w:val="797F3C93"/>
    <w:rsid w:val="79B60BF1"/>
    <w:rsid w:val="79CC5889"/>
    <w:rsid w:val="7A2D744C"/>
    <w:rsid w:val="7B0703E4"/>
    <w:rsid w:val="7B1B4A21"/>
    <w:rsid w:val="7B7E5268"/>
    <w:rsid w:val="7B9C6D7F"/>
    <w:rsid w:val="7BEC1388"/>
    <w:rsid w:val="7BFC6F19"/>
    <w:rsid w:val="7C366A8D"/>
    <w:rsid w:val="7DC54034"/>
    <w:rsid w:val="7E216DFF"/>
    <w:rsid w:val="7E2206FA"/>
    <w:rsid w:val="7E6802F1"/>
    <w:rsid w:val="7E6F3E87"/>
    <w:rsid w:val="7EFE6D04"/>
    <w:rsid w:val="7FA51F7A"/>
    <w:rsid w:val="7FF32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left="425"/>
      <w:jc w:val="left"/>
    </w:pPr>
    <w:rPr>
      <w:kern w:val="0"/>
      <w:sz w:val="20"/>
      <w:szCs w:val="20"/>
      <w:lang w:eastAsia="en-US"/>
    </w:rPr>
  </w:style>
  <w:style w:type="paragraph" w:styleId="6">
    <w:name w:val="annotation text"/>
    <w:basedOn w:val="1"/>
    <w:qFormat/>
    <w:uiPriority w:val="0"/>
    <w:pPr>
      <w:jc w:val="left"/>
    </w:pPr>
  </w:style>
  <w:style w:type="paragraph" w:styleId="7">
    <w:name w:val="Body Text"/>
    <w:basedOn w:val="1"/>
    <w:qFormat/>
    <w:uiPriority w:val="0"/>
    <w:rPr>
      <w:color w:val="FF0000"/>
    </w:rPr>
  </w:style>
  <w:style w:type="paragraph" w:styleId="8">
    <w:name w:val="toc 3"/>
    <w:basedOn w:val="1"/>
    <w:next w:val="1"/>
    <w:qFormat/>
    <w:uiPriority w:val="39"/>
    <w:pPr>
      <w:spacing w:line="360" w:lineRule="auto"/>
      <w:ind w:left="420"/>
      <w:jc w:val="left"/>
    </w:pPr>
    <w:rPr>
      <w:iCs/>
      <w:sz w:val="24"/>
      <w:szCs w:val="20"/>
    </w:rPr>
  </w:style>
  <w:style w:type="paragraph" w:styleId="9">
    <w:name w:val="Plain Text"/>
    <w:basedOn w:val="1"/>
    <w:qFormat/>
    <w:uiPriority w:val="0"/>
    <w:rPr>
      <w:rFonts w:ascii="宋体" w:hAnsi="Courier New" w:cs="Courier New"/>
      <w:szCs w:val="21"/>
    </w:rPr>
  </w:style>
  <w:style w:type="paragraph" w:styleId="10">
    <w:name w:val="Balloon Text"/>
    <w:basedOn w:val="1"/>
    <w:link w:val="29"/>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line="360" w:lineRule="auto"/>
      <w:jc w:val="left"/>
    </w:pPr>
    <w:rPr>
      <w:b/>
      <w:bCs/>
      <w:caps/>
      <w:sz w:val="24"/>
      <w:szCs w:val="20"/>
    </w:rPr>
  </w:style>
  <w:style w:type="paragraph" w:styleId="14">
    <w:name w:val="toc 2"/>
    <w:basedOn w:val="1"/>
    <w:next w:val="1"/>
    <w:qFormat/>
    <w:uiPriority w:val="39"/>
    <w:pPr>
      <w:spacing w:line="360" w:lineRule="auto"/>
      <w:ind w:left="210"/>
      <w:jc w:val="left"/>
    </w:pPr>
    <w:rPr>
      <w:smallCaps/>
      <w:sz w:val="24"/>
      <w:szCs w:val="20"/>
    </w:rPr>
  </w:style>
  <w:style w:type="paragraph" w:styleId="15">
    <w:name w:val="Normal (Web)"/>
    <w:basedOn w:val="1"/>
    <w:qFormat/>
    <w:uiPriority w:val="99"/>
    <w:pPr>
      <w:spacing w:line="300" w:lineRule="auto"/>
    </w:pPr>
    <w:rPr>
      <w:sz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styleId="23">
    <w:name w:val="List Paragraph"/>
    <w:basedOn w:val="1"/>
    <w:qFormat/>
    <w:uiPriority w:val="99"/>
    <w:pPr>
      <w:ind w:firstLine="420" w:firstLineChars="200"/>
    </w:pPr>
  </w:style>
  <w:style w:type="paragraph" w:customStyle="1" w:styleId="24">
    <w:name w:val="表头文本"/>
    <w:basedOn w:val="1"/>
    <w:qFormat/>
    <w:uiPriority w:val="0"/>
    <w:pPr>
      <w:autoSpaceDE w:val="0"/>
      <w:autoSpaceDN w:val="0"/>
      <w:adjustRightInd w:val="0"/>
      <w:jc w:val="center"/>
    </w:pPr>
    <w:rPr>
      <w:b/>
      <w:kern w:val="0"/>
      <w:sz w:val="24"/>
      <w:szCs w:val="20"/>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样式3"/>
    <w:basedOn w:val="9"/>
    <w:qFormat/>
    <w:uiPriority w:val="0"/>
    <w:pPr>
      <w:spacing w:line="0" w:lineRule="atLeast"/>
      <w:outlineLvl w:val="0"/>
    </w:pPr>
    <w:rPr>
      <w:rFonts w:cs="Times New Roman"/>
      <w:sz w:val="28"/>
      <w:szCs w:val="20"/>
    </w:rPr>
  </w:style>
  <w:style w:type="paragraph" w:customStyle="1" w:styleId="27">
    <w:name w:val="Table Paragraph"/>
    <w:basedOn w:val="1"/>
    <w:qFormat/>
    <w:uiPriority w:val="1"/>
    <w:pPr>
      <w:jc w:val="left"/>
    </w:pPr>
    <w:rPr>
      <w:rFonts w:ascii="Calibri" w:hAnsi="Calibri"/>
      <w:kern w:val="0"/>
      <w:sz w:val="22"/>
      <w:szCs w:val="22"/>
      <w:lang w:eastAsia="en-US"/>
    </w:rPr>
  </w:style>
  <w:style w:type="paragraph" w:customStyle="1" w:styleId="28">
    <w:name w:val="样式2"/>
    <w:basedOn w:val="11"/>
    <w:qFormat/>
    <w:uiPriority w:val="0"/>
    <w:pPr>
      <w:ind w:right="360"/>
    </w:pPr>
    <w:rPr>
      <w:rFonts w:ascii="宋体" w:hAnsi="宋体"/>
      <w:sz w:val="21"/>
      <w:szCs w:val="21"/>
    </w:rPr>
  </w:style>
  <w:style w:type="character" w:customStyle="1" w:styleId="29">
    <w:name w:val="批注框文本 Char"/>
    <w:basedOn w:val="18"/>
    <w:link w:val="10"/>
    <w:qFormat/>
    <w:uiPriority w:val="0"/>
    <w:rPr>
      <w:rFonts w:ascii="Times New Roman" w:hAnsi="Times New Roman"/>
      <w:kern w:val="2"/>
      <w:sz w:val="18"/>
      <w:szCs w:val="18"/>
    </w:rPr>
  </w:style>
  <w:style w:type="character" w:customStyle="1" w:styleId="30">
    <w:name w:val="页眉 Char"/>
    <w:basedOn w:val="18"/>
    <w:link w:val="12"/>
    <w:qFormat/>
    <w:uiPriority w:val="0"/>
    <w:rPr>
      <w:rFonts w:ascii="Times New Roman" w:hAnsi="Times New Roman"/>
      <w:kern w:val="2"/>
      <w:sz w:val="18"/>
      <w:szCs w:val="18"/>
    </w:rPr>
  </w:style>
  <w:style w:type="paragraph" w:customStyle="1" w:styleId="3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262FF-2EC5-42EE-B7BB-AFDB2C627C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23486</Words>
  <Characters>24373</Characters>
  <Lines>204</Lines>
  <Paragraphs>57</Paragraphs>
  <TotalTime>11</TotalTime>
  <ScaleCrop>false</ScaleCrop>
  <LinksUpToDate>false</LinksUpToDate>
  <CharactersWithSpaces>25796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2025-08-30T13:15:00Z</dcterms:created>
  <dc:creator>国贸物业招标办</dc:creator>
  <cp:lastModifiedBy>慢動作小姐</cp:lastModifiedBy>
  <dcterms:modified xsi:type="dcterms:W3CDTF">2025-10-24T00:53:22Z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AB748F77ADFF40BD9E67A08529A77818_13</vt:lpwstr>
  </property>
  <property fmtid="{D5CDD505-2E9C-101B-9397-08002B2CF9AE}" pid="4" name="KSOTemplateDocerSaveRecord">
    <vt:lpwstr>eyJoZGlkIjoiZjZmMmVkZTQ1Y2E5NmFjNDhjNjQ4YmNiMzlmNjM3MTgiLCJ1c2VySWQiOiI0NjA1NzEyMzUifQ==</vt:lpwstr>
  </property>
</Properties>
</file>