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557"/>
      <w:bookmarkStart w:id="1" w:name="_Toc165385343"/>
      <w:bookmarkStart w:id="2" w:name="_Toc178674763"/>
      <w:bookmarkStart w:id="3" w:name="_Toc163364646"/>
      <w:bookmarkStart w:id="4" w:name="_Toc157418350"/>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ascii="仿宋" w:hAnsi="仿宋" w:eastAsia="仿宋"/>
          <w:b/>
          <w:bCs/>
          <w:color w:val="3366FF"/>
          <w:sz w:val="36"/>
          <w:szCs w:val="36"/>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cs="仿宋"/>
          <w:b/>
          <w:bCs/>
          <w:color w:val="000000" w:themeColor="text1"/>
          <w:sz w:val="36"/>
          <w:szCs w:val="36"/>
          <w14:textFill>
            <w14:solidFill>
              <w14:schemeClr w14:val="tx1"/>
            </w14:solidFill>
          </w14:textFill>
        </w:rPr>
        <w:t>福州国贸学原</w:t>
      </w:r>
      <w:r>
        <w:rPr>
          <w:rFonts w:hint="eastAsia" w:ascii="仿宋" w:hAnsi="仿宋" w:eastAsia="仿宋" w:cs="仿宋"/>
          <w:b/>
          <w:bCs/>
          <w:color w:val="000000" w:themeColor="text1"/>
          <w:sz w:val="36"/>
          <w:szCs w:val="36"/>
          <w:lang w:eastAsia="zh-CN"/>
          <w14:textFill>
            <w14:solidFill>
              <w14:schemeClr w14:val="tx1"/>
            </w14:solidFill>
          </w14:textFill>
        </w:rPr>
        <w:t>二期</w:t>
      </w:r>
      <w:r>
        <w:rPr>
          <w:rFonts w:hint="eastAsia" w:ascii="仿宋" w:hAnsi="仿宋" w:eastAsia="仿宋" w:cs="仿宋"/>
          <w:b/>
          <w:bCs/>
          <w:color w:val="000000" w:themeColor="text1"/>
          <w:sz w:val="36"/>
          <w:szCs w:val="36"/>
          <w14:textFill>
            <w14:solidFill>
              <w14:schemeClr w14:val="tx1"/>
            </w14:solidFill>
          </w14:textFill>
        </w:rPr>
        <w:t>建筑垃圾清运服务</w:t>
      </w:r>
    </w:p>
    <w:p>
      <w:pPr>
        <w:pStyle w:val="9"/>
        <w:spacing w:line="360" w:lineRule="auto"/>
        <w:rPr>
          <w:rFonts w:ascii="仿宋" w:hAnsi="仿宋" w:eastAsia="仿宋" w:cs="Times New Roman"/>
          <w:b/>
          <w:bCs/>
          <w:sz w:val="36"/>
          <w:szCs w:val="36"/>
        </w:rPr>
      </w:pPr>
    </w:p>
    <w:p>
      <w:pPr>
        <w:spacing w:line="276" w:lineRule="auto"/>
        <w:ind w:firstLine="708" w:firstLineChars="196"/>
        <w:rPr>
          <w:rFonts w:hint="default" w:ascii="仿宋" w:hAnsi="仿宋" w:eastAsia="仿宋" w:cs="宋体"/>
          <w:b/>
          <w:bCs/>
          <w:color w:val="00B0F0"/>
          <w:sz w:val="36"/>
          <w:szCs w:val="36"/>
          <w:lang w:val="en-US" w:eastAsia="zh-CN"/>
        </w:rPr>
      </w:pPr>
      <w:r>
        <w:rPr>
          <w:rFonts w:hint="eastAsia" w:ascii="仿宋" w:hAnsi="仿宋" w:eastAsia="仿宋" w:cs="仿宋"/>
          <w:b/>
          <w:bCs/>
          <w:color w:val="000000" w:themeColor="text1"/>
          <w:sz w:val="36"/>
          <w:szCs w:val="36"/>
          <w:lang w:val="zh-CN"/>
          <w14:textFill>
            <w14:solidFill>
              <w14:schemeClr w14:val="tx1"/>
            </w14:solidFill>
          </w14:textFill>
        </w:rPr>
        <w:t>项目编号：</w:t>
      </w:r>
      <w:r>
        <w:rPr>
          <w:rFonts w:hint="eastAsia" w:ascii="仿宋" w:hAnsi="仿宋" w:eastAsia="仿宋" w:cs="仿宋"/>
          <w:b/>
          <w:bCs/>
          <w:color w:val="000000" w:themeColor="text1"/>
          <w:sz w:val="36"/>
          <w:szCs w:val="36"/>
          <w14:textFill>
            <w14:solidFill>
              <w14:schemeClr w14:val="tx1"/>
            </w14:solidFill>
          </w14:textFill>
        </w:rPr>
        <w:t>GMFW-2023-</w:t>
      </w:r>
      <w:r>
        <w:rPr>
          <w:rFonts w:hint="eastAsia" w:ascii="仿宋" w:hAnsi="仿宋" w:eastAsia="仿宋" w:cs="仿宋"/>
          <w:b/>
          <w:bCs/>
          <w:color w:val="000000" w:themeColor="text1"/>
          <w:sz w:val="36"/>
          <w:szCs w:val="36"/>
          <w:lang w:val="en-US" w:eastAsia="zh-CN"/>
          <w14:textFill>
            <w14:solidFill>
              <w14:schemeClr w14:val="tx1"/>
            </w14:solidFill>
          </w14:textFill>
        </w:rPr>
        <w:t>07</w:t>
      </w:r>
    </w:p>
    <w:p>
      <w:pPr>
        <w:pStyle w:val="9"/>
        <w:spacing w:line="360" w:lineRule="auto"/>
        <w:ind w:firstLine="708" w:firstLineChars="196"/>
        <w:rPr>
          <w:rFonts w:ascii="仿宋" w:hAnsi="仿宋" w:eastAsia="仿宋" w:cs="仿宋"/>
          <w:b/>
          <w:bCs/>
          <w:sz w:val="36"/>
          <w:szCs w:val="36"/>
          <w:lang w:val="zh-CN"/>
        </w:rPr>
      </w:pPr>
    </w:p>
    <w:p>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rPr>
          <w:rFonts w:ascii="宋体"/>
          <w:sz w:val="36"/>
          <w:szCs w:val="36"/>
        </w:rPr>
      </w:pPr>
    </w:p>
    <w:p>
      <w:pPr>
        <w:spacing w:line="276" w:lineRule="auto"/>
        <w:jc w:val="center"/>
        <w:rPr>
          <w:rFonts w:ascii="宋体"/>
          <w:sz w:val="36"/>
          <w:szCs w:val="36"/>
        </w:rPr>
      </w:pPr>
    </w:p>
    <w:p>
      <w:pPr>
        <w:pStyle w:val="9"/>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厦门国贸城市服务集团股份有限公司</w:t>
      </w:r>
    </w:p>
    <w:p>
      <w:pPr>
        <w:spacing w:line="276" w:lineRule="auto"/>
        <w:ind w:firstLine="3596" w:firstLineChars="995"/>
        <w:rPr>
          <w:rFonts w:ascii="仿宋" w:hAnsi="仿宋" w:eastAsia="仿宋" w:cs="宋体"/>
          <w:b/>
          <w:bCs/>
          <w:color w:val="00B0F0"/>
          <w:sz w:val="36"/>
          <w:szCs w:val="36"/>
        </w:rPr>
      </w:pPr>
      <w:r>
        <w:rPr>
          <w:rFonts w:hint="eastAsia" w:ascii="仿宋" w:hAnsi="仿宋" w:eastAsia="仿宋"/>
          <w:b/>
          <w:sz w:val="36"/>
          <w:szCs w:val="36"/>
        </w:rPr>
        <w:t>202</w:t>
      </w:r>
      <w:r>
        <w:rPr>
          <w:rFonts w:ascii="仿宋" w:hAnsi="仿宋" w:eastAsia="仿宋"/>
          <w:b/>
          <w:sz w:val="36"/>
          <w:szCs w:val="36"/>
        </w:rPr>
        <w:t>3</w:t>
      </w:r>
      <w:r>
        <w:rPr>
          <w:rFonts w:hint="eastAsia" w:ascii="仿宋" w:hAnsi="仿宋" w:eastAsia="仿宋"/>
          <w:b/>
          <w:sz w:val="36"/>
          <w:szCs w:val="36"/>
        </w:rPr>
        <w:t>年</w:t>
      </w:r>
      <w:r>
        <w:rPr>
          <w:rFonts w:hint="eastAsia" w:ascii="仿宋" w:hAnsi="仿宋" w:eastAsia="仿宋"/>
          <w:b/>
          <w:sz w:val="36"/>
          <w:szCs w:val="36"/>
          <w:lang w:val="en-US" w:eastAsia="zh-CN"/>
        </w:rPr>
        <w:t>6</w:t>
      </w:r>
      <w:r>
        <w:rPr>
          <w:rFonts w:hint="eastAsia" w:ascii="仿宋" w:hAnsi="仿宋" w:eastAsia="仿宋"/>
          <w:b/>
          <w:sz w:val="36"/>
          <w:szCs w:val="36"/>
        </w:rPr>
        <w:t>月</w:t>
      </w: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rPr>
          <w:rFonts w:ascii="仿宋" w:hAnsi="仿宋" w:eastAsia="仿宋"/>
          <w:sz w:val="36"/>
          <w:szCs w:val="36"/>
        </w:rPr>
      </w:pPr>
    </w:p>
    <w:p>
      <w:pPr>
        <w:pStyle w:val="9"/>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3"/>
        <w:tabs>
          <w:tab w:val="right" w:leader="dot" w:pos="9071"/>
        </w:tabs>
        <w:rPr>
          <w:sz w:val="28"/>
          <w:szCs w:val="21"/>
        </w:rPr>
      </w:pPr>
      <w:r>
        <w:rPr>
          <w:rFonts w:ascii="宋体" w:hAnsi="宋体"/>
          <w:sz w:val="36"/>
          <w:szCs w:val="36"/>
        </w:rPr>
        <w:fldChar w:fldCharType="begin"/>
      </w:r>
      <w:r>
        <w:rPr>
          <w:rFonts w:ascii="宋体" w:hAnsi="宋体"/>
          <w:sz w:val="36"/>
          <w:szCs w:val="36"/>
        </w:rPr>
        <w:instrText xml:space="preserve"> TOC \o "1-3" \h \z \u </w:instrText>
      </w:r>
      <w:r>
        <w:rPr>
          <w:rFonts w:ascii="宋体" w:hAnsi="宋体"/>
          <w:sz w:val="36"/>
          <w:szCs w:val="36"/>
        </w:rPr>
        <w:fldChar w:fldCharType="separate"/>
      </w:r>
      <w:r>
        <w:rPr>
          <w:rFonts w:ascii="宋体" w:hAnsi="宋体"/>
          <w:sz w:val="28"/>
          <w:szCs w:val="36"/>
        </w:rPr>
        <w:fldChar w:fldCharType="begin"/>
      </w:r>
      <w:r>
        <w:rPr>
          <w:rFonts w:ascii="宋体" w:hAnsi="宋体"/>
          <w:sz w:val="28"/>
          <w:szCs w:val="36"/>
        </w:rPr>
        <w:instrText xml:space="preserve"> HYPERLINK \l _Toc9961 </w:instrText>
      </w:r>
      <w:r>
        <w:rPr>
          <w:rFonts w:ascii="宋体" w:hAnsi="宋体"/>
          <w:sz w:val="28"/>
          <w:szCs w:val="36"/>
        </w:rPr>
        <w:fldChar w:fldCharType="separate"/>
      </w:r>
      <w:r>
        <w:rPr>
          <w:rFonts w:hint="eastAsia" w:ascii="仿宋" w:hAnsi="仿宋" w:eastAsia="仿宋" w:cs="仿宋"/>
          <w:bCs w:val="0"/>
          <w:kern w:val="0"/>
          <w:sz w:val="28"/>
          <w:szCs w:val="36"/>
        </w:rPr>
        <w:t>第一章　招标公告</w:t>
      </w:r>
      <w:r>
        <w:rPr>
          <w:sz w:val="28"/>
          <w:szCs w:val="21"/>
        </w:rPr>
        <w:tab/>
      </w:r>
      <w:r>
        <w:rPr>
          <w:sz w:val="28"/>
          <w:szCs w:val="21"/>
        </w:rPr>
        <w:fldChar w:fldCharType="begin"/>
      </w:r>
      <w:r>
        <w:rPr>
          <w:sz w:val="28"/>
          <w:szCs w:val="21"/>
        </w:rPr>
        <w:instrText xml:space="preserve"> PAGEREF _Toc9961 \h </w:instrText>
      </w:r>
      <w:r>
        <w:rPr>
          <w:sz w:val="28"/>
          <w:szCs w:val="21"/>
        </w:rPr>
        <w:fldChar w:fldCharType="separate"/>
      </w:r>
      <w:r>
        <w:rPr>
          <w:sz w:val="28"/>
          <w:szCs w:val="21"/>
        </w:rPr>
        <w:t>4</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_Toc5752 </w:instrText>
      </w:r>
      <w:r>
        <w:rPr>
          <w:rFonts w:ascii="宋体" w:hAnsi="宋体"/>
          <w:sz w:val="28"/>
          <w:szCs w:val="36"/>
        </w:rP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_Toc5752 \h </w:instrText>
      </w:r>
      <w:r>
        <w:rPr>
          <w:sz w:val="28"/>
          <w:szCs w:val="21"/>
        </w:rPr>
        <w:fldChar w:fldCharType="separate"/>
      </w:r>
      <w:r>
        <w:rPr>
          <w:sz w:val="28"/>
          <w:szCs w:val="21"/>
        </w:rPr>
        <w:t>5</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_Toc17173 </w:instrText>
      </w:r>
      <w:r>
        <w:rPr>
          <w:rFonts w:ascii="宋体" w:hAnsi="宋体"/>
          <w:sz w:val="28"/>
          <w:szCs w:val="36"/>
        </w:rPr>
        <w:fldChar w:fldCharType="separate"/>
      </w:r>
      <w:r>
        <w:rPr>
          <w:rFonts w:hint="eastAsia" w:ascii="仿宋" w:hAnsi="仿宋" w:eastAsia="仿宋" w:cs="仿宋"/>
          <w:kern w:val="0"/>
          <w:sz w:val="28"/>
          <w:szCs w:val="36"/>
        </w:rPr>
        <w:t>第二章　投标人须知</w:t>
      </w:r>
      <w:r>
        <w:rPr>
          <w:sz w:val="28"/>
          <w:szCs w:val="21"/>
        </w:rPr>
        <w:tab/>
      </w:r>
      <w:r>
        <w:rPr>
          <w:sz w:val="28"/>
          <w:szCs w:val="21"/>
        </w:rPr>
        <w:fldChar w:fldCharType="begin"/>
      </w:r>
      <w:r>
        <w:rPr>
          <w:sz w:val="28"/>
          <w:szCs w:val="21"/>
        </w:rPr>
        <w:instrText xml:space="preserve"> PAGEREF _Toc17173 \h </w:instrText>
      </w:r>
      <w:r>
        <w:rPr>
          <w:sz w:val="28"/>
          <w:szCs w:val="21"/>
        </w:rPr>
        <w:fldChar w:fldCharType="separate"/>
      </w:r>
      <w:r>
        <w:rPr>
          <w:sz w:val="28"/>
          <w:szCs w:val="21"/>
        </w:rPr>
        <w:t>6</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_Toc20818 </w:instrText>
      </w:r>
      <w:r>
        <w:rPr>
          <w:rFonts w:ascii="宋体" w:hAnsi="宋体"/>
          <w:sz w:val="28"/>
          <w:szCs w:val="36"/>
        </w:rPr>
        <w:fldChar w:fldCharType="separate"/>
      </w:r>
      <w:r>
        <w:rPr>
          <w:rFonts w:hint="eastAsia" w:ascii="仿宋" w:hAnsi="仿宋" w:eastAsia="仿宋"/>
          <w:sz w:val="28"/>
          <w:szCs w:val="21"/>
        </w:rPr>
        <w:t>第一节  说  明</w:t>
      </w:r>
      <w:r>
        <w:rPr>
          <w:sz w:val="28"/>
          <w:szCs w:val="21"/>
        </w:rPr>
        <w:tab/>
      </w:r>
      <w:r>
        <w:rPr>
          <w:sz w:val="28"/>
          <w:szCs w:val="21"/>
        </w:rPr>
        <w:fldChar w:fldCharType="begin"/>
      </w:r>
      <w:r>
        <w:rPr>
          <w:sz w:val="28"/>
          <w:szCs w:val="21"/>
        </w:rPr>
        <w:instrText xml:space="preserve"> PAGEREF _Toc20818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_Toc6282 </w:instrText>
      </w:r>
      <w:r>
        <w:rPr>
          <w:rFonts w:ascii="宋体" w:hAnsi="宋体"/>
          <w:sz w:val="28"/>
          <w:szCs w:val="36"/>
        </w:rP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_Toc6282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_Toc8840 </w:instrText>
      </w:r>
      <w:r>
        <w:rPr>
          <w:rFonts w:ascii="宋体" w:hAnsi="宋体"/>
          <w:sz w:val="28"/>
          <w:szCs w:val="36"/>
        </w:rP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_Toc8840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_Toc1361 </w:instrText>
      </w:r>
      <w:r>
        <w:rPr>
          <w:rFonts w:ascii="宋体" w:hAnsi="宋体"/>
          <w:sz w:val="28"/>
          <w:szCs w:val="36"/>
        </w:rP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_Toc1361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_Toc15258 </w:instrText>
      </w:r>
      <w:r>
        <w:rPr>
          <w:rFonts w:ascii="宋体" w:hAnsi="宋体"/>
          <w:sz w:val="28"/>
          <w:szCs w:val="36"/>
        </w:rPr>
        <w:fldChar w:fldCharType="separate"/>
      </w:r>
      <w:r>
        <w:rPr>
          <w:rFonts w:hint="eastAsia" w:ascii="仿宋" w:hAnsi="仿宋" w:eastAsia="仿宋"/>
          <w:sz w:val="28"/>
          <w:szCs w:val="21"/>
        </w:rPr>
        <w:t>4</w:t>
      </w:r>
      <w:r>
        <w:rPr>
          <w:rFonts w:ascii="仿宋" w:hAnsi="仿宋" w:eastAsia="仿宋"/>
          <w:sz w:val="28"/>
          <w:szCs w:val="21"/>
        </w:rPr>
        <w:t>.</w:t>
      </w:r>
      <w:r>
        <w:rPr>
          <w:rFonts w:hint="eastAsia" w:ascii="仿宋" w:hAnsi="仿宋" w:eastAsia="仿宋"/>
          <w:sz w:val="28"/>
          <w:szCs w:val="21"/>
        </w:rPr>
        <w:t xml:space="preserve"> 投标费用</w:t>
      </w:r>
      <w:r>
        <w:rPr>
          <w:sz w:val="28"/>
          <w:szCs w:val="21"/>
        </w:rPr>
        <w:tab/>
      </w:r>
      <w:r>
        <w:rPr>
          <w:sz w:val="28"/>
          <w:szCs w:val="21"/>
        </w:rPr>
        <w:fldChar w:fldCharType="begin"/>
      </w:r>
      <w:r>
        <w:rPr>
          <w:sz w:val="28"/>
          <w:szCs w:val="21"/>
        </w:rPr>
        <w:instrText xml:space="preserve"> PAGEREF _Toc15258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_Toc6654 </w:instrText>
      </w:r>
      <w:r>
        <w:rPr>
          <w:rFonts w:ascii="宋体" w:hAnsi="宋体"/>
          <w:sz w:val="28"/>
          <w:szCs w:val="36"/>
        </w:rPr>
        <w:fldChar w:fldCharType="separate"/>
      </w:r>
      <w:r>
        <w:rPr>
          <w:rFonts w:hint="eastAsia" w:ascii="仿宋" w:hAnsi="仿宋" w:eastAsia="仿宋"/>
          <w:sz w:val="28"/>
          <w:szCs w:val="21"/>
        </w:rPr>
        <w:t>第二节  招标文件说明</w:t>
      </w:r>
      <w:r>
        <w:rPr>
          <w:sz w:val="28"/>
          <w:szCs w:val="21"/>
        </w:rPr>
        <w:tab/>
      </w:r>
      <w:r>
        <w:rPr>
          <w:sz w:val="28"/>
          <w:szCs w:val="21"/>
        </w:rPr>
        <w:fldChar w:fldCharType="begin"/>
      </w:r>
      <w:r>
        <w:rPr>
          <w:sz w:val="28"/>
          <w:szCs w:val="21"/>
        </w:rPr>
        <w:instrText xml:space="preserve"> PAGEREF _Toc6654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_Toc25477 </w:instrText>
      </w:r>
      <w:r>
        <w:rPr>
          <w:rFonts w:ascii="宋体" w:hAnsi="宋体"/>
          <w:sz w:val="28"/>
          <w:szCs w:val="36"/>
        </w:rPr>
        <w:fldChar w:fldCharType="separate"/>
      </w:r>
      <w:r>
        <w:rPr>
          <w:rFonts w:hint="eastAsia" w:ascii="仿宋" w:hAnsi="仿宋" w:eastAsia="仿宋"/>
          <w:sz w:val="28"/>
          <w:szCs w:val="21"/>
        </w:rPr>
        <w:t>5</w:t>
      </w:r>
      <w:r>
        <w:rPr>
          <w:rFonts w:ascii="仿宋" w:hAnsi="仿宋" w:eastAsia="仿宋"/>
          <w:sz w:val="28"/>
          <w:szCs w:val="21"/>
        </w:rPr>
        <w:t xml:space="preserve">.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_Toc25477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_Toc24459 </w:instrText>
      </w:r>
      <w:r>
        <w:rPr>
          <w:rFonts w:ascii="宋体" w:hAnsi="宋体"/>
          <w:sz w:val="28"/>
          <w:szCs w:val="36"/>
        </w:rP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_Toc24459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_Toc3481 </w:instrText>
      </w:r>
      <w:r>
        <w:rPr>
          <w:rFonts w:ascii="宋体" w:hAnsi="宋体"/>
          <w:sz w:val="28"/>
          <w:szCs w:val="36"/>
        </w:rP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_Toc3481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_Toc22845 </w:instrText>
      </w:r>
      <w:r>
        <w:rPr>
          <w:rFonts w:ascii="宋体" w:hAnsi="宋体"/>
          <w:sz w:val="28"/>
          <w:szCs w:val="36"/>
        </w:rPr>
        <w:fldChar w:fldCharType="separate"/>
      </w:r>
      <w:r>
        <w:rPr>
          <w:rFonts w:hint="eastAsia" w:ascii="仿宋" w:hAnsi="仿宋" w:eastAsia="仿宋"/>
          <w:sz w:val="28"/>
          <w:szCs w:val="21"/>
        </w:rPr>
        <w:t>第三节  投标文件的编写</w:t>
      </w:r>
      <w:r>
        <w:rPr>
          <w:sz w:val="28"/>
          <w:szCs w:val="21"/>
        </w:rPr>
        <w:tab/>
      </w:r>
      <w:r>
        <w:rPr>
          <w:sz w:val="28"/>
          <w:szCs w:val="21"/>
        </w:rPr>
        <w:fldChar w:fldCharType="begin"/>
      </w:r>
      <w:r>
        <w:rPr>
          <w:sz w:val="28"/>
          <w:szCs w:val="21"/>
        </w:rPr>
        <w:instrText xml:space="preserve"> PAGEREF _Toc22845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_Toc93 </w:instrText>
      </w:r>
      <w:r>
        <w:rPr>
          <w:rFonts w:ascii="宋体" w:hAnsi="宋体"/>
          <w:sz w:val="28"/>
          <w:szCs w:val="36"/>
        </w:rPr>
        <w:fldChar w:fldCharType="separate"/>
      </w:r>
      <w:r>
        <w:rPr>
          <w:rFonts w:hint="eastAsia" w:ascii="仿宋" w:hAnsi="仿宋" w:eastAsia="仿宋"/>
          <w:sz w:val="28"/>
          <w:szCs w:val="21"/>
        </w:rPr>
        <w:t>8</w:t>
      </w:r>
      <w:r>
        <w:rPr>
          <w:rFonts w:ascii="仿宋" w:hAnsi="仿宋" w:eastAsia="仿宋"/>
          <w:sz w:val="28"/>
          <w:szCs w:val="21"/>
        </w:rPr>
        <w:t xml:space="preserve">.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_Toc93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_Toc2697 </w:instrText>
      </w:r>
      <w:r>
        <w:rPr>
          <w:rFonts w:ascii="宋体" w:hAnsi="宋体"/>
          <w:sz w:val="28"/>
          <w:szCs w:val="36"/>
        </w:rPr>
        <w:fldChar w:fldCharType="separate"/>
      </w:r>
      <w:r>
        <w:rPr>
          <w:rFonts w:hint="eastAsia" w:ascii="仿宋" w:hAnsi="仿宋" w:eastAsia="仿宋"/>
          <w:sz w:val="28"/>
          <w:szCs w:val="21"/>
        </w:rPr>
        <w:t>9</w:t>
      </w:r>
      <w:r>
        <w:rPr>
          <w:rFonts w:ascii="仿宋" w:hAnsi="仿宋" w:eastAsia="仿宋"/>
          <w:sz w:val="28"/>
          <w:szCs w:val="21"/>
        </w:rPr>
        <w:t xml:space="preserve">.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_Toc2697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_Toc21581 </w:instrText>
      </w:r>
      <w:r>
        <w:rPr>
          <w:rFonts w:ascii="宋体" w:hAnsi="宋体"/>
          <w:sz w:val="28"/>
          <w:szCs w:val="36"/>
        </w:rPr>
        <w:fldChar w:fldCharType="separate"/>
      </w:r>
      <w:r>
        <w:rPr>
          <w:rFonts w:hint="eastAsia" w:ascii="仿宋" w:hAnsi="仿宋" w:eastAsia="仿宋"/>
          <w:sz w:val="28"/>
          <w:szCs w:val="21"/>
        </w:rPr>
        <w:t>10</w:t>
      </w:r>
      <w:r>
        <w:rPr>
          <w:rFonts w:ascii="仿宋" w:hAnsi="仿宋" w:eastAsia="仿宋"/>
          <w:sz w:val="28"/>
          <w:szCs w:val="21"/>
        </w:rPr>
        <w:t xml:space="preserve">.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_Toc21581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_Toc18775 </w:instrText>
      </w:r>
      <w:r>
        <w:rPr>
          <w:rFonts w:ascii="宋体" w:hAnsi="宋体"/>
          <w:sz w:val="28"/>
          <w:szCs w:val="36"/>
        </w:rPr>
        <w:fldChar w:fldCharType="separate"/>
      </w:r>
      <w:r>
        <w:rPr>
          <w:rFonts w:hint="eastAsia" w:ascii="仿宋" w:hAnsi="仿宋" w:eastAsia="仿宋"/>
          <w:sz w:val="28"/>
          <w:szCs w:val="21"/>
        </w:rPr>
        <w:t>11</w:t>
      </w:r>
      <w:r>
        <w:rPr>
          <w:rFonts w:ascii="仿宋" w:hAnsi="仿宋" w:eastAsia="仿宋"/>
          <w:sz w:val="28"/>
          <w:szCs w:val="21"/>
        </w:rPr>
        <w:t xml:space="preserve">.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_Toc18775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_Toc4521 </w:instrText>
      </w:r>
      <w:r>
        <w:rPr>
          <w:rFonts w:ascii="宋体" w:hAnsi="宋体"/>
          <w:sz w:val="28"/>
          <w:szCs w:val="36"/>
        </w:rPr>
        <w:fldChar w:fldCharType="separate"/>
      </w:r>
      <w:r>
        <w:rPr>
          <w:rFonts w:hint="eastAsia" w:ascii="仿宋" w:hAnsi="仿宋" w:eastAsia="仿宋"/>
          <w:sz w:val="28"/>
          <w:szCs w:val="21"/>
        </w:rPr>
        <w:t>12. 投标保证金</w:t>
      </w:r>
      <w:r>
        <w:rPr>
          <w:sz w:val="28"/>
          <w:szCs w:val="21"/>
        </w:rPr>
        <w:tab/>
      </w:r>
      <w:r>
        <w:rPr>
          <w:sz w:val="28"/>
          <w:szCs w:val="21"/>
        </w:rPr>
        <w:fldChar w:fldCharType="begin"/>
      </w:r>
      <w:r>
        <w:rPr>
          <w:sz w:val="28"/>
          <w:szCs w:val="21"/>
        </w:rPr>
        <w:instrText xml:space="preserve"> PAGEREF _Toc4521 \h </w:instrText>
      </w:r>
      <w:r>
        <w:rPr>
          <w:sz w:val="28"/>
          <w:szCs w:val="21"/>
        </w:rPr>
        <w:fldChar w:fldCharType="separate"/>
      </w:r>
      <w:r>
        <w:rPr>
          <w:sz w:val="28"/>
          <w:szCs w:val="21"/>
        </w:rPr>
        <w:t>11</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_Toc9999 </w:instrText>
      </w:r>
      <w:r>
        <w:rPr>
          <w:rFonts w:ascii="宋体" w:hAnsi="宋体"/>
          <w:sz w:val="28"/>
          <w:szCs w:val="36"/>
        </w:rPr>
        <w:fldChar w:fldCharType="separate"/>
      </w:r>
      <w:r>
        <w:rPr>
          <w:rFonts w:hint="eastAsia" w:ascii="仿宋" w:hAnsi="仿宋" w:eastAsia="仿宋"/>
          <w:sz w:val="28"/>
          <w:szCs w:val="21"/>
        </w:rPr>
        <w:t>13</w:t>
      </w:r>
      <w:r>
        <w:rPr>
          <w:rFonts w:ascii="仿宋" w:hAnsi="仿宋" w:eastAsia="仿宋"/>
          <w:sz w:val="28"/>
          <w:szCs w:val="21"/>
        </w:rPr>
        <w:t xml:space="preserve">.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_Toc9999 \h </w:instrText>
      </w:r>
      <w:r>
        <w:rPr>
          <w:sz w:val="28"/>
          <w:szCs w:val="21"/>
        </w:rPr>
        <w:fldChar w:fldCharType="separate"/>
      </w:r>
      <w:r>
        <w:rPr>
          <w:sz w:val="28"/>
          <w:szCs w:val="21"/>
        </w:rPr>
        <w:t>11</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_Toc11707 </w:instrText>
      </w:r>
      <w:r>
        <w:rPr>
          <w:rFonts w:ascii="宋体" w:hAnsi="宋体"/>
          <w:sz w:val="28"/>
          <w:szCs w:val="36"/>
        </w:rPr>
        <w:fldChar w:fldCharType="separate"/>
      </w:r>
      <w:r>
        <w:rPr>
          <w:rFonts w:hint="eastAsia" w:ascii="仿宋" w:hAnsi="仿宋" w:eastAsia="仿宋"/>
          <w:sz w:val="28"/>
          <w:szCs w:val="21"/>
        </w:rPr>
        <w:t>第四节  投标文件的提交</w:t>
      </w:r>
      <w:r>
        <w:rPr>
          <w:sz w:val="28"/>
          <w:szCs w:val="21"/>
        </w:rPr>
        <w:tab/>
      </w:r>
      <w:r>
        <w:rPr>
          <w:sz w:val="28"/>
          <w:szCs w:val="21"/>
        </w:rPr>
        <w:fldChar w:fldCharType="begin"/>
      </w:r>
      <w:r>
        <w:rPr>
          <w:sz w:val="28"/>
          <w:szCs w:val="21"/>
        </w:rPr>
        <w:instrText xml:space="preserve"> PAGEREF _Toc11707 \h </w:instrText>
      </w:r>
      <w:r>
        <w:rPr>
          <w:sz w:val="28"/>
          <w:szCs w:val="21"/>
        </w:rPr>
        <w:fldChar w:fldCharType="separate"/>
      </w:r>
      <w:r>
        <w:rPr>
          <w:sz w:val="28"/>
          <w:szCs w:val="21"/>
        </w:rPr>
        <w:t>12</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_Toc20304 </w:instrText>
      </w:r>
      <w:r>
        <w:rPr>
          <w:rFonts w:ascii="宋体" w:hAnsi="宋体"/>
          <w:sz w:val="28"/>
          <w:szCs w:val="36"/>
        </w:rPr>
        <w:fldChar w:fldCharType="separate"/>
      </w:r>
      <w:r>
        <w:rPr>
          <w:rFonts w:hint="eastAsia" w:ascii="仿宋" w:hAnsi="仿宋" w:eastAsia="仿宋"/>
          <w:sz w:val="28"/>
          <w:szCs w:val="21"/>
        </w:rPr>
        <w:t>14. 投标文件的密封、标记和递交</w:t>
      </w:r>
      <w:r>
        <w:rPr>
          <w:sz w:val="28"/>
          <w:szCs w:val="21"/>
        </w:rPr>
        <w:tab/>
      </w:r>
      <w:r>
        <w:rPr>
          <w:sz w:val="28"/>
          <w:szCs w:val="21"/>
        </w:rPr>
        <w:fldChar w:fldCharType="begin"/>
      </w:r>
      <w:r>
        <w:rPr>
          <w:sz w:val="28"/>
          <w:szCs w:val="21"/>
        </w:rPr>
        <w:instrText xml:space="preserve"> PAGEREF _Toc20304 \h </w:instrText>
      </w:r>
      <w:r>
        <w:rPr>
          <w:sz w:val="28"/>
          <w:szCs w:val="21"/>
        </w:rPr>
        <w:fldChar w:fldCharType="separate"/>
      </w:r>
      <w:r>
        <w:rPr>
          <w:sz w:val="28"/>
          <w:szCs w:val="21"/>
        </w:rPr>
        <w:t>12</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_Toc27443 </w:instrText>
      </w:r>
      <w:r>
        <w:rPr>
          <w:rFonts w:ascii="宋体" w:hAnsi="宋体"/>
          <w:sz w:val="28"/>
          <w:szCs w:val="36"/>
        </w:rPr>
        <w:fldChar w:fldCharType="separate"/>
      </w:r>
      <w:r>
        <w:rPr>
          <w:rFonts w:hint="eastAsia" w:ascii="仿宋" w:hAnsi="仿宋" w:eastAsia="仿宋"/>
          <w:sz w:val="28"/>
          <w:szCs w:val="21"/>
        </w:rPr>
        <w:t>第五节</w:t>
      </w:r>
      <w:r>
        <w:rPr>
          <w:rFonts w:hint="eastAsia" w:ascii="仿宋" w:hAnsi="仿宋" w:eastAsia="仿宋"/>
          <w:sz w:val="28"/>
          <w:szCs w:val="21"/>
          <w:lang w:val="en-US" w:eastAsia="zh-CN"/>
        </w:rPr>
        <w:t xml:space="preserve">  </w:t>
      </w:r>
      <w:r>
        <w:rPr>
          <w:rFonts w:hint="eastAsia" w:ascii="仿宋" w:hAnsi="仿宋" w:eastAsia="仿宋"/>
          <w:sz w:val="28"/>
          <w:szCs w:val="21"/>
        </w:rPr>
        <w:t>投标文件的评估和比较</w:t>
      </w:r>
      <w:r>
        <w:rPr>
          <w:sz w:val="28"/>
          <w:szCs w:val="21"/>
        </w:rPr>
        <w:tab/>
      </w:r>
      <w:r>
        <w:rPr>
          <w:sz w:val="28"/>
          <w:szCs w:val="21"/>
        </w:rPr>
        <w:fldChar w:fldCharType="begin"/>
      </w:r>
      <w:r>
        <w:rPr>
          <w:sz w:val="28"/>
          <w:szCs w:val="21"/>
        </w:rPr>
        <w:instrText xml:space="preserve"> PAGEREF _Toc27443 \h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_Toc29010 </w:instrText>
      </w:r>
      <w:r>
        <w:rPr>
          <w:rFonts w:ascii="宋体" w:hAnsi="宋体"/>
          <w:sz w:val="28"/>
          <w:szCs w:val="36"/>
        </w:rPr>
        <w:fldChar w:fldCharType="separate"/>
      </w:r>
      <w:r>
        <w:rPr>
          <w:rFonts w:hint="eastAsia" w:ascii="仿宋" w:hAnsi="仿宋" w:eastAsia="仿宋"/>
          <w:sz w:val="28"/>
          <w:szCs w:val="21"/>
        </w:rPr>
        <w:t>15．开标、评标时间</w:t>
      </w:r>
      <w:r>
        <w:rPr>
          <w:sz w:val="28"/>
          <w:szCs w:val="21"/>
        </w:rPr>
        <w:tab/>
      </w:r>
      <w:r>
        <w:rPr>
          <w:sz w:val="28"/>
          <w:szCs w:val="21"/>
        </w:rPr>
        <w:fldChar w:fldCharType="begin"/>
      </w:r>
      <w:r>
        <w:rPr>
          <w:sz w:val="28"/>
          <w:szCs w:val="21"/>
        </w:rPr>
        <w:instrText xml:space="preserve"> PAGEREF _Toc29010 \h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_Toc32401 </w:instrText>
      </w:r>
      <w:r>
        <w:rPr>
          <w:rFonts w:ascii="宋体" w:hAnsi="宋体"/>
          <w:sz w:val="28"/>
          <w:szCs w:val="36"/>
        </w:rPr>
        <w:fldChar w:fldCharType="separate"/>
      </w:r>
      <w:r>
        <w:rPr>
          <w:rFonts w:hint="eastAsia" w:ascii="仿宋" w:hAnsi="仿宋" w:eastAsia="仿宋"/>
          <w:sz w:val="28"/>
          <w:szCs w:val="21"/>
        </w:rPr>
        <w:t>16．评标委员会</w:t>
      </w:r>
      <w:r>
        <w:rPr>
          <w:sz w:val="28"/>
          <w:szCs w:val="21"/>
        </w:rPr>
        <w:tab/>
      </w:r>
      <w:r>
        <w:rPr>
          <w:sz w:val="28"/>
          <w:szCs w:val="21"/>
        </w:rPr>
        <w:fldChar w:fldCharType="begin"/>
      </w:r>
      <w:r>
        <w:rPr>
          <w:sz w:val="28"/>
          <w:szCs w:val="21"/>
        </w:rPr>
        <w:instrText xml:space="preserve"> PAGEREF _Toc32401 \h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_Toc12591 </w:instrText>
      </w:r>
      <w:r>
        <w:rPr>
          <w:rFonts w:ascii="宋体" w:hAnsi="宋体"/>
          <w:sz w:val="28"/>
          <w:szCs w:val="36"/>
        </w:rPr>
        <w:fldChar w:fldCharType="separate"/>
      </w:r>
      <w:r>
        <w:rPr>
          <w:rFonts w:hint="eastAsia" w:ascii="仿宋" w:hAnsi="仿宋" w:eastAsia="仿宋"/>
          <w:sz w:val="28"/>
          <w:szCs w:val="21"/>
        </w:rPr>
        <w:t>17</w:t>
      </w:r>
      <w:r>
        <w:rPr>
          <w:rFonts w:ascii="仿宋" w:hAnsi="仿宋" w:eastAsia="仿宋"/>
          <w:sz w:val="28"/>
          <w:szCs w:val="21"/>
        </w:rPr>
        <w:t xml:space="preserve">. </w:t>
      </w:r>
      <w:r>
        <w:rPr>
          <w:rFonts w:hint="eastAsia" w:ascii="仿宋" w:hAnsi="仿宋" w:eastAsia="仿宋"/>
          <w:sz w:val="28"/>
          <w:szCs w:val="21"/>
        </w:rPr>
        <w:t>投标文件的初审</w:t>
      </w:r>
      <w:r>
        <w:rPr>
          <w:sz w:val="28"/>
          <w:szCs w:val="21"/>
        </w:rPr>
        <w:tab/>
      </w:r>
      <w:r>
        <w:rPr>
          <w:sz w:val="28"/>
          <w:szCs w:val="21"/>
        </w:rPr>
        <w:fldChar w:fldCharType="begin"/>
      </w:r>
      <w:r>
        <w:rPr>
          <w:sz w:val="28"/>
          <w:szCs w:val="21"/>
        </w:rPr>
        <w:instrText xml:space="preserve"> PAGEREF _Toc12591 \h </w:instrText>
      </w:r>
      <w:r>
        <w:rPr>
          <w:sz w:val="28"/>
          <w:szCs w:val="21"/>
        </w:rPr>
        <w:fldChar w:fldCharType="separate"/>
      </w:r>
      <w:r>
        <w:rPr>
          <w:sz w:val="28"/>
          <w:szCs w:val="21"/>
        </w:rPr>
        <w:t>14</w:t>
      </w:r>
      <w:r>
        <w:rPr>
          <w:sz w:val="28"/>
          <w:szCs w:val="21"/>
        </w:rPr>
        <w:fldChar w:fldCharType="end"/>
      </w:r>
      <w:r>
        <w:rPr>
          <w:rFonts w:ascii="宋体" w:hAnsi="宋体"/>
          <w:sz w:val="28"/>
          <w:szCs w:val="36"/>
        </w:rPr>
        <w:fldChar w:fldCharType="end"/>
      </w:r>
    </w:p>
    <w:p>
      <w:pPr>
        <w:pStyle w:val="14"/>
        <w:tabs>
          <w:tab w:val="right" w:leader="dot" w:pos="9071"/>
        </w:tabs>
        <w:ind w:left="0" w:firstLine="420" w:firstLineChars="150"/>
        <w:rPr>
          <w:sz w:val="28"/>
          <w:szCs w:val="21"/>
        </w:rPr>
      </w:pPr>
      <w:r>
        <w:rPr>
          <w:rFonts w:ascii="宋体" w:hAnsi="宋体"/>
          <w:sz w:val="28"/>
          <w:szCs w:val="36"/>
        </w:rPr>
        <w:fldChar w:fldCharType="begin"/>
      </w:r>
      <w:r>
        <w:rPr>
          <w:rFonts w:ascii="宋体" w:hAnsi="宋体"/>
          <w:sz w:val="28"/>
          <w:szCs w:val="36"/>
        </w:rPr>
        <w:instrText xml:space="preserve"> HYPERLINK \l _Toc7861 </w:instrText>
      </w:r>
      <w:r>
        <w:rPr>
          <w:rFonts w:ascii="宋体" w:hAnsi="宋体"/>
          <w:sz w:val="28"/>
          <w:szCs w:val="36"/>
        </w:rPr>
        <w:fldChar w:fldCharType="separate"/>
      </w:r>
      <w:r>
        <w:rPr>
          <w:rFonts w:hint="eastAsia" w:ascii="仿宋" w:hAnsi="仿宋" w:eastAsia="仿宋"/>
          <w:sz w:val="28"/>
          <w:szCs w:val="21"/>
        </w:rPr>
        <w:t>18.评标办法</w:t>
      </w:r>
      <w:r>
        <w:rPr>
          <w:sz w:val="28"/>
          <w:szCs w:val="21"/>
        </w:rPr>
        <w:tab/>
      </w:r>
      <w:r>
        <w:rPr>
          <w:sz w:val="28"/>
          <w:szCs w:val="21"/>
        </w:rPr>
        <w:fldChar w:fldCharType="begin"/>
      </w:r>
      <w:r>
        <w:rPr>
          <w:sz w:val="28"/>
          <w:szCs w:val="21"/>
        </w:rPr>
        <w:instrText xml:space="preserve"> PAGEREF _Toc7861 \h </w:instrText>
      </w:r>
      <w:r>
        <w:rPr>
          <w:sz w:val="28"/>
          <w:szCs w:val="21"/>
        </w:rPr>
        <w:fldChar w:fldCharType="separate"/>
      </w:r>
      <w:r>
        <w:rPr>
          <w:sz w:val="28"/>
          <w:szCs w:val="21"/>
        </w:rPr>
        <w:t>16</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_Toc18607 </w:instrText>
      </w:r>
      <w:r>
        <w:rPr>
          <w:rFonts w:ascii="宋体" w:hAnsi="宋体"/>
          <w:sz w:val="28"/>
          <w:szCs w:val="36"/>
        </w:rPr>
        <w:fldChar w:fldCharType="separate"/>
      </w:r>
      <w:r>
        <w:rPr>
          <w:rFonts w:hint="eastAsia" w:ascii="仿宋" w:hAnsi="仿宋" w:eastAsia="仿宋"/>
          <w:sz w:val="28"/>
          <w:szCs w:val="21"/>
        </w:rPr>
        <w:t>19. 投标文件的澄清</w:t>
      </w:r>
      <w:r>
        <w:rPr>
          <w:sz w:val="28"/>
          <w:szCs w:val="21"/>
        </w:rPr>
        <w:tab/>
      </w:r>
      <w:r>
        <w:rPr>
          <w:sz w:val="28"/>
          <w:szCs w:val="21"/>
        </w:rPr>
        <w:fldChar w:fldCharType="begin"/>
      </w:r>
      <w:r>
        <w:rPr>
          <w:sz w:val="28"/>
          <w:szCs w:val="21"/>
        </w:rPr>
        <w:instrText xml:space="preserve"> PAGEREF _Toc18607 \h </w:instrText>
      </w:r>
      <w:r>
        <w:rPr>
          <w:sz w:val="28"/>
          <w:szCs w:val="21"/>
        </w:rPr>
        <w:fldChar w:fldCharType="separate"/>
      </w:r>
      <w:r>
        <w:rPr>
          <w:sz w:val="28"/>
          <w:szCs w:val="21"/>
        </w:rPr>
        <w:t>17</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_Toc11018 </w:instrText>
      </w:r>
      <w:r>
        <w:rPr>
          <w:rFonts w:ascii="宋体" w:hAnsi="宋体"/>
          <w:sz w:val="28"/>
          <w:szCs w:val="36"/>
        </w:rPr>
        <w:fldChar w:fldCharType="separate"/>
      </w:r>
      <w:r>
        <w:rPr>
          <w:rFonts w:hint="eastAsia" w:ascii="仿宋" w:hAnsi="仿宋" w:eastAsia="仿宋"/>
          <w:sz w:val="28"/>
          <w:szCs w:val="21"/>
        </w:rPr>
        <w:t>20. 比较与评价</w:t>
      </w:r>
      <w:r>
        <w:rPr>
          <w:sz w:val="28"/>
          <w:szCs w:val="21"/>
        </w:rPr>
        <w:tab/>
      </w:r>
      <w:r>
        <w:rPr>
          <w:sz w:val="28"/>
          <w:szCs w:val="21"/>
        </w:rPr>
        <w:fldChar w:fldCharType="begin"/>
      </w:r>
      <w:r>
        <w:rPr>
          <w:sz w:val="28"/>
          <w:szCs w:val="21"/>
        </w:rPr>
        <w:instrText xml:space="preserve"> PAGEREF _Toc11018 \h </w:instrText>
      </w:r>
      <w:r>
        <w:rPr>
          <w:sz w:val="28"/>
          <w:szCs w:val="21"/>
        </w:rPr>
        <w:fldChar w:fldCharType="separate"/>
      </w:r>
      <w:r>
        <w:rPr>
          <w:sz w:val="28"/>
          <w:szCs w:val="21"/>
        </w:rPr>
        <w:t>18</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_Toc31570 </w:instrText>
      </w:r>
      <w:r>
        <w:rPr>
          <w:rFonts w:ascii="宋体" w:hAnsi="宋体"/>
          <w:sz w:val="28"/>
          <w:szCs w:val="36"/>
        </w:rPr>
        <w:fldChar w:fldCharType="separate"/>
      </w:r>
      <w:r>
        <w:rPr>
          <w:rFonts w:hint="eastAsia" w:ascii="仿宋" w:hAnsi="仿宋" w:eastAsia="仿宋"/>
          <w:sz w:val="28"/>
          <w:szCs w:val="21"/>
        </w:rPr>
        <w:t>第六节 定标与签订合同</w:t>
      </w:r>
      <w:r>
        <w:rPr>
          <w:sz w:val="28"/>
          <w:szCs w:val="21"/>
        </w:rPr>
        <w:tab/>
      </w:r>
      <w:r>
        <w:rPr>
          <w:sz w:val="28"/>
          <w:szCs w:val="21"/>
        </w:rPr>
        <w:fldChar w:fldCharType="begin"/>
      </w:r>
      <w:r>
        <w:rPr>
          <w:sz w:val="28"/>
          <w:szCs w:val="21"/>
        </w:rPr>
        <w:instrText xml:space="preserve"> PAGEREF _Toc31570 \h </w:instrText>
      </w:r>
      <w:r>
        <w:rPr>
          <w:sz w:val="28"/>
          <w:szCs w:val="21"/>
        </w:rPr>
        <w:fldChar w:fldCharType="separate"/>
      </w:r>
      <w:r>
        <w:rPr>
          <w:sz w:val="28"/>
          <w:szCs w:val="21"/>
        </w:rPr>
        <w:t>18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_Toc7140 </w:instrText>
      </w:r>
      <w:r>
        <w:rPr>
          <w:rFonts w:ascii="宋体" w:hAnsi="宋体"/>
          <w:sz w:val="28"/>
          <w:szCs w:val="36"/>
        </w:rPr>
        <w:fldChar w:fldCharType="separate"/>
      </w:r>
      <w:r>
        <w:rPr>
          <w:rFonts w:hint="eastAsia" w:ascii="仿宋" w:hAnsi="仿宋" w:eastAsia="仿宋"/>
          <w:sz w:val="28"/>
          <w:szCs w:val="21"/>
        </w:rPr>
        <w:t>21</w:t>
      </w:r>
      <w:r>
        <w:rPr>
          <w:rFonts w:ascii="仿宋" w:hAnsi="仿宋" w:eastAsia="仿宋"/>
          <w:sz w:val="28"/>
          <w:szCs w:val="21"/>
        </w:rPr>
        <w:t>.</w:t>
      </w:r>
      <w:r>
        <w:rPr>
          <w:rFonts w:hint="eastAsia" w:ascii="仿宋" w:hAnsi="仿宋" w:eastAsia="仿宋"/>
          <w:sz w:val="28"/>
          <w:szCs w:val="21"/>
        </w:rPr>
        <w:t xml:space="preserve"> 定标准则</w:t>
      </w:r>
      <w:r>
        <w:rPr>
          <w:sz w:val="28"/>
          <w:szCs w:val="21"/>
        </w:rPr>
        <w:tab/>
      </w:r>
      <w:r>
        <w:rPr>
          <w:sz w:val="28"/>
          <w:szCs w:val="21"/>
        </w:rPr>
        <w:fldChar w:fldCharType="begin"/>
      </w:r>
      <w:r>
        <w:rPr>
          <w:sz w:val="28"/>
          <w:szCs w:val="21"/>
        </w:rPr>
        <w:instrText xml:space="preserve"> PAGEREF _Toc7140 \h </w:instrText>
      </w:r>
      <w:r>
        <w:rPr>
          <w:sz w:val="28"/>
          <w:szCs w:val="21"/>
        </w:rPr>
        <w:fldChar w:fldCharType="separate"/>
      </w:r>
      <w:r>
        <w:rPr>
          <w:sz w:val="28"/>
          <w:szCs w:val="21"/>
        </w:rPr>
        <w:t>18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_Toc24477 </w:instrText>
      </w:r>
      <w:r>
        <w:rPr>
          <w:rFonts w:ascii="宋体" w:hAnsi="宋体"/>
          <w:sz w:val="28"/>
          <w:szCs w:val="36"/>
        </w:rPr>
        <w:fldChar w:fldCharType="separate"/>
      </w:r>
      <w:r>
        <w:rPr>
          <w:rFonts w:hint="eastAsia" w:ascii="仿宋" w:hAnsi="仿宋" w:eastAsia="仿宋"/>
          <w:sz w:val="28"/>
          <w:szCs w:val="21"/>
        </w:rPr>
        <w:t>22</w:t>
      </w:r>
      <w:r>
        <w:rPr>
          <w:rFonts w:ascii="仿宋" w:hAnsi="仿宋" w:eastAsia="仿宋"/>
          <w:sz w:val="28"/>
          <w:szCs w:val="21"/>
        </w:rPr>
        <w:t xml:space="preserve">.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_Toc24477 \h </w:instrText>
      </w:r>
      <w:r>
        <w:rPr>
          <w:sz w:val="28"/>
          <w:szCs w:val="21"/>
        </w:rPr>
        <w:fldChar w:fldCharType="separate"/>
      </w:r>
      <w:r>
        <w:rPr>
          <w:sz w:val="28"/>
          <w:szCs w:val="21"/>
        </w:rPr>
        <w:t>19</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_Toc22290 </w:instrText>
      </w:r>
      <w:r>
        <w:rPr>
          <w:rFonts w:ascii="宋体" w:hAnsi="宋体"/>
          <w:sz w:val="28"/>
          <w:szCs w:val="36"/>
        </w:rPr>
        <w:fldChar w:fldCharType="separate"/>
      </w:r>
      <w:r>
        <w:rPr>
          <w:rFonts w:hint="eastAsia" w:ascii="仿宋" w:hAnsi="仿宋" w:eastAsia="仿宋"/>
          <w:sz w:val="28"/>
          <w:szCs w:val="21"/>
        </w:rPr>
        <w:t>23. 签订合同</w:t>
      </w:r>
      <w:r>
        <w:rPr>
          <w:sz w:val="28"/>
          <w:szCs w:val="21"/>
        </w:rPr>
        <w:tab/>
      </w:r>
      <w:r>
        <w:rPr>
          <w:sz w:val="28"/>
          <w:szCs w:val="21"/>
        </w:rPr>
        <w:fldChar w:fldCharType="begin"/>
      </w:r>
      <w:r>
        <w:rPr>
          <w:sz w:val="28"/>
          <w:szCs w:val="21"/>
        </w:rPr>
        <w:instrText xml:space="preserve"> PAGEREF _Toc22290 \h </w:instrText>
      </w:r>
      <w:r>
        <w:rPr>
          <w:sz w:val="28"/>
          <w:szCs w:val="21"/>
        </w:rPr>
        <w:fldChar w:fldCharType="separate"/>
      </w:r>
      <w:r>
        <w:rPr>
          <w:sz w:val="28"/>
          <w:szCs w:val="21"/>
        </w:rPr>
        <w:t>19</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_Toc20484 </w:instrText>
      </w:r>
      <w:r>
        <w:rPr>
          <w:rFonts w:ascii="宋体" w:hAnsi="宋体"/>
          <w:sz w:val="28"/>
          <w:szCs w:val="36"/>
        </w:rP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_Toc20484 \h </w:instrText>
      </w:r>
      <w:r>
        <w:rPr>
          <w:sz w:val="28"/>
          <w:szCs w:val="21"/>
        </w:rPr>
        <w:fldChar w:fldCharType="separate"/>
      </w:r>
      <w:r>
        <w:rPr>
          <w:sz w:val="28"/>
          <w:szCs w:val="21"/>
        </w:rPr>
        <w:t>20</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_Toc4525 </w:instrText>
      </w:r>
      <w:r>
        <w:rPr>
          <w:rFonts w:ascii="宋体" w:hAnsi="宋体"/>
          <w:sz w:val="28"/>
          <w:szCs w:val="36"/>
        </w:rPr>
        <w:fldChar w:fldCharType="separate"/>
      </w:r>
      <w:r>
        <w:rPr>
          <w:rFonts w:hint="eastAsia" w:ascii="仿宋" w:hAnsi="仿宋" w:eastAsia="仿宋"/>
          <w:sz w:val="28"/>
          <w:szCs w:val="21"/>
        </w:rPr>
        <w:t>第一节 项目需求</w:t>
      </w:r>
      <w:r>
        <w:rPr>
          <w:sz w:val="28"/>
          <w:szCs w:val="21"/>
        </w:rPr>
        <w:tab/>
      </w:r>
      <w:r>
        <w:rPr>
          <w:sz w:val="28"/>
          <w:szCs w:val="21"/>
        </w:rPr>
        <w:fldChar w:fldCharType="begin"/>
      </w:r>
      <w:r>
        <w:rPr>
          <w:sz w:val="28"/>
          <w:szCs w:val="21"/>
        </w:rPr>
        <w:instrText xml:space="preserve"> PAGEREF _Toc4525 \h </w:instrText>
      </w:r>
      <w:r>
        <w:rPr>
          <w:sz w:val="28"/>
          <w:szCs w:val="21"/>
        </w:rPr>
        <w:fldChar w:fldCharType="separate"/>
      </w:r>
      <w:r>
        <w:rPr>
          <w:sz w:val="28"/>
          <w:szCs w:val="21"/>
        </w:rPr>
        <w:t>20</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_Toc10209 </w:instrText>
      </w:r>
      <w:r>
        <w:rPr>
          <w:rFonts w:ascii="宋体" w:hAnsi="宋体"/>
          <w:sz w:val="28"/>
          <w:szCs w:val="36"/>
        </w:rPr>
        <w:fldChar w:fldCharType="separate"/>
      </w:r>
      <w:r>
        <w:rPr>
          <w:rFonts w:hint="eastAsia" w:ascii="仿宋" w:hAnsi="仿宋" w:eastAsia="仿宋"/>
          <w:sz w:val="28"/>
          <w:szCs w:val="21"/>
        </w:rPr>
        <w:t>第二节 商务技术响应要求</w:t>
      </w:r>
      <w:r>
        <w:rPr>
          <w:sz w:val="28"/>
          <w:szCs w:val="21"/>
        </w:rPr>
        <w:tab/>
      </w:r>
      <w:r>
        <w:rPr>
          <w:sz w:val="28"/>
          <w:szCs w:val="21"/>
        </w:rPr>
        <w:fldChar w:fldCharType="begin"/>
      </w:r>
      <w:r>
        <w:rPr>
          <w:sz w:val="28"/>
          <w:szCs w:val="21"/>
        </w:rPr>
        <w:instrText xml:space="preserve"> PAGEREF _Toc10209 \h </w:instrText>
      </w:r>
      <w:r>
        <w:rPr>
          <w:sz w:val="28"/>
          <w:szCs w:val="21"/>
        </w:rPr>
        <w:fldChar w:fldCharType="separate"/>
      </w:r>
      <w:r>
        <w:rPr>
          <w:sz w:val="28"/>
          <w:szCs w:val="21"/>
        </w:rPr>
        <w:t>23</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_Toc29099 </w:instrText>
      </w:r>
      <w:r>
        <w:rPr>
          <w:rFonts w:ascii="宋体" w:hAnsi="宋体"/>
          <w:sz w:val="28"/>
          <w:szCs w:val="36"/>
        </w:rPr>
        <w:fldChar w:fldCharType="separate"/>
      </w:r>
      <w:r>
        <w:rPr>
          <w:rFonts w:hint="eastAsia" w:ascii="仿宋" w:hAnsi="仿宋" w:eastAsia="仿宋"/>
          <w:sz w:val="28"/>
          <w:szCs w:val="21"/>
        </w:rPr>
        <w:t>第三节 报价要求</w:t>
      </w:r>
      <w:r>
        <w:rPr>
          <w:sz w:val="28"/>
          <w:szCs w:val="21"/>
        </w:rPr>
        <w:tab/>
      </w:r>
      <w:r>
        <w:rPr>
          <w:sz w:val="28"/>
          <w:szCs w:val="21"/>
        </w:rPr>
        <w:fldChar w:fldCharType="begin"/>
      </w:r>
      <w:r>
        <w:rPr>
          <w:sz w:val="28"/>
          <w:szCs w:val="21"/>
        </w:rPr>
        <w:instrText xml:space="preserve"> PAGEREF _Toc29099 \h </w:instrText>
      </w:r>
      <w:r>
        <w:rPr>
          <w:sz w:val="28"/>
          <w:szCs w:val="21"/>
        </w:rPr>
        <w:fldChar w:fldCharType="separate"/>
      </w:r>
      <w:r>
        <w:rPr>
          <w:sz w:val="28"/>
          <w:szCs w:val="21"/>
        </w:rPr>
        <w:t>24</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_Toc21842 </w:instrText>
      </w:r>
      <w:r>
        <w:rPr>
          <w:rFonts w:ascii="宋体" w:hAnsi="宋体"/>
          <w:sz w:val="28"/>
          <w:szCs w:val="36"/>
        </w:rPr>
        <w:fldChar w:fldCharType="separate"/>
      </w:r>
      <w:r>
        <w:rPr>
          <w:rFonts w:hint="eastAsia" w:ascii="仿宋" w:hAnsi="仿宋" w:eastAsia="仿宋"/>
          <w:sz w:val="28"/>
          <w:szCs w:val="21"/>
        </w:rPr>
        <w:t>第四章  投标文件格式</w:t>
      </w:r>
      <w:r>
        <w:rPr>
          <w:sz w:val="28"/>
          <w:szCs w:val="21"/>
        </w:rPr>
        <w:tab/>
      </w:r>
      <w:r>
        <w:rPr>
          <w:sz w:val="28"/>
          <w:szCs w:val="21"/>
        </w:rPr>
        <w:fldChar w:fldCharType="begin"/>
      </w:r>
      <w:r>
        <w:rPr>
          <w:sz w:val="28"/>
          <w:szCs w:val="21"/>
        </w:rPr>
        <w:instrText xml:space="preserve"> PAGEREF _Toc21842 \h </w:instrText>
      </w:r>
      <w:r>
        <w:rPr>
          <w:sz w:val="28"/>
          <w:szCs w:val="21"/>
        </w:rPr>
        <w:fldChar w:fldCharType="separate"/>
      </w:r>
      <w:r>
        <w:rPr>
          <w:sz w:val="28"/>
          <w:szCs w:val="21"/>
        </w:rPr>
        <w:t>25</w:t>
      </w:r>
      <w:r>
        <w:rPr>
          <w:sz w:val="28"/>
          <w:szCs w:val="21"/>
        </w:rPr>
        <w:fldChar w:fldCharType="end"/>
      </w:r>
      <w:r>
        <w:rPr>
          <w:rFonts w:ascii="宋体" w:hAnsi="宋体"/>
          <w:sz w:val="28"/>
          <w:szCs w:val="36"/>
        </w:rPr>
        <w:fldChar w:fldCharType="end"/>
      </w:r>
    </w:p>
    <w:p>
      <w:pPr>
        <w:pStyle w:val="13"/>
        <w:tabs>
          <w:tab w:val="right" w:leader="dot" w:pos="9061"/>
        </w:tabs>
        <w:spacing w:before="0" w:after="0" w:line="400" w:lineRule="exact"/>
        <w:rPr>
          <w:rFonts w:ascii="宋体" w:hAnsi="宋体"/>
          <w:color w:val="FF0000"/>
          <w:sz w:val="44"/>
        </w:rPr>
      </w:pPr>
      <w:r>
        <w:rPr>
          <w:rFonts w:ascii="宋体" w:hAnsi="宋体"/>
          <w:sz w:val="28"/>
          <w:szCs w:val="36"/>
        </w:rPr>
        <w:fldChar w:fldCharType="end"/>
      </w:r>
      <w:bookmarkStart w:id="8" w:name="_Toc51489303"/>
    </w:p>
    <w:p>
      <w:pPr>
        <w:rPr>
          <w:sz w:val="48"/>
          <w:szCs w:val="48"/>
        </w:rPr>
      </w:pPr>
    </w:p>
    <w:p>
      <w:pPr>
        <w:pStyle w:val="2"/>
        <w:keepNext w:val="0"/>
        <w:keepLines w:val="0"/>
        <w:spacing w:before="120" w:beforeLines="50" w:after="240" w:afterLines="100" w:line="580" w:lineRule="exact"/>
        <w:jc w:val="center"/>
        <w:rPr>
          <w:szCs w:val="32"/>
        </w:rPr>
      </w:pPr>
      <w:r>
        <w:rPr>
          <w:color w:val="FF0000"/>
          <w:sz w:val="52"/>
          <w:szCs w:val="52"/>
        </w:rPr>
        <w:br w:type="page"/>
      </w:r>
      <w:bookmarkStart w:id="9" w:name="_Toc16183"/>
      <w:bookmarkStart w:id="10" w:name="_Toc9961"/>
      <w:r>
        <w:rPr>
          <w:rFonts w:hint="eastAsia" w:ascii="仿宋" w:hAnsi="仿宋" w:eastAsia="仿宋" w:cs="仿宋"/>
          <w:bCs w:val="0"/>
          <w:kern w:val="0"/>
          <w:szCs w:val="32"/>
        </w:rPr>
        <w:t>第一章　招标公告</w:t>
      </w:r>
      <w:bookmarkEnd w:id="9"/>
      <w:bookmarkEnd w:id="10"/>
    </w:p>
    <w:p>
      <w:pPr>
        <w:pStyle w:val="15"/>
        <w:shd w:val="clear" w:color="auto" w:fill="FFFFFF"/>
        <w:spacing w:line="500" w:lineRule="exact"/>
        <w:ind w:firstLine="640" w:firstLineChars="200"/>
        <w:rPr>
          <w:rFonts w:ascii="仿宋" w:hAnsi="仿宋" w:eastAsia="仿宋" w:cs="Arial"/>
          <w:color w:val="000000" w:themeColor="text1"/>
          <w:sz w:val="32"/>
          <w:szCs w:val="32"/>
          <w:u w:val="none"/>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厦门国贸城市服务集团股份有限公司为保证管辖项目国贸学原</w:t>
      </w:r>
      <w:r>
        <w:rPr>
          <w:rFonts w:hint="eastAsia" w:ascii="仿宋" w:hAnsi="仿宋" w:eastAsia="仿宋" w:cs="仿宋"/>
          <w:color w:val="000000" w:themeColor="text1"/>
          <w:kern w:val="0"/>
          <w:sz w:val="32"/>
          <w:szCs w:val="32"/>
          <w:lang w:eastAsia="zh-CN"/>
          <w14:textFill>
            <w14:solidFill>
              <w14:schemeClr w14:val="tx1"/>
            </w14:solidFill>
          </w14:textFill>
        </w:rPr>
        <w:t>二期</w:t>
      </w:r>
      <w:r>
        <w:rPr>
          <w:rFonts w:hint="eastAsia" w:ascii="仿宋" w:hAnsi="仿宋" w:eastAsia="仿宋" w:cs="仿宋"/>
          <w:color w:val="000000" w:themeColor="text1"/>
          <w:kern w:val="0"/>
          <w:sz w:val="32"/>
          <w:szCs w:val="32"/>
          <w14:textFill>
            <w14:solidFill>
              <w14:schemeClr w14:val="tx1"/>
            </w14:solidFill>
          </w14:textFill>
        </w:rPr>
        <w:t>的整体形象，进一步做好</w:t>
      </w:r>
      <w:bookmarkStart w:id="173" w:name="_GoBack"/>
      <w:bookmarkEnd w:id="173"/>
      <w:r>
        <w:rPr>
          <w:rFonts w:hint="eastAsia" w:ascii="仿宋" w:hAnsi="仿宋" w:eastAsia="仿宋" w:cs="仿宋"/>
          <w:color w:val="000000" w:themeColor="text1"/>
          <w:kern w:val="0"/>
          <w:sz w:val="32"/>
          <w:szCs w:val="32"/>
          <w14:textFill>
            <w14:solidFill>
              <w14:schemeClr w14:val="tx1"/>
            </w14:solidFill>
          </w14:textFill>
        </w:rPr>
        <w:t>项目环境品质工作，</w:t>
      </w:r>
      <w:r>
        <w:rPr>
          <w:rFonts w:hint="eastAsia" w:ascii="仿宋" w:hAnsi="仿宋" w:eastAsia="仿宋" w:cs="仿宋"/>
          <w:color w:val="000000" w:themeColor="text1"/>
          <w:kern w:val="0"/>
          <w:sz w:val="32"/>
          <w:szCs w:val="32"/>
          <w:u w:val="none"/>
          <w14:textFill>
            <w14:solidFill>
              <w14:schemeClr w14:val="tx1"/>
            </w14:solidFill>
          </w14:textFill>
        </w:rPr>
        <w:t>现采用公开招标的方式选择</w:t>
      </w:r>
      <w:r>
        <w:rPr>
          <w:rFonts w:hint="eastAsia" w:ascii="仿宋" w:hAnsi="仿宋" w:eastAsia="仿宋"/>
          <w:color w:val="000000" w:themeColor="text1"/>
          <w:sz w:val="32"/>
          <w:szCs w:val="32"/>
          <w:u w:val="none"/>
          <w14:textFill>
            <w14:solidFill>
              <w14:schemeClr w14:val="tx1"/>
            </w14:solidFill>
          </w14:textFill>
        </w:rPr>
        <w:t>相关建筑垃圾清运服务</w:t>
      </w:r>
      <w:r>
        <w:rPr>
          <w:rFonts w:hint="eastAsia" w:ascii="仿宋" w:hAnsi="仿宋" w:eastAsia="仿宋" w:cs="仿宋"/>
          <w:color w:val="000000" w:themeColor="text1"/>
          <w:kern w:val="0"/>
          <w:sz w:val="32"/>
          <w:szCs w:val="32"/>
          <w:u w:val="none"/>
          <w14:textFill>
            <w14:solidFill>
              <w14:schemeClr w14:val="tx1"/>
            </w14:solidFill>
          </w14:textFill>
        </w:rPr>
        <w:t>单位</w:t>
      </w:r>
      <w:r>
        <w:rPr>
          <w:rFonts w:hint="eastAsia" w:ascii="仿宋" w:hAnsi="仿宋" w:eastAsia="仿宋"/>
          <w:bCs/>
          <w:color w:val="000000" w:themeColor="text1"/>
          <w:sz w:val="32"/>
          <w:szCs w:val="32"/>
          <w:u w:val="none"/>
          <w:lang w:val="zh-CN"/>
          <w14:textFill>
            <w14:solidFill>
              <w14:schemeClr w14:val="tx1"/>
            </w14:solidFill>
          </w14:textFill>
        </w:rPr>
        <w:t>。</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招标文件，此次招标的截标时间为2023</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val="en-US" w:eastAsia="zh-CN"/>
          <w14:textFill>
            <w14:solidFill>
              <w14:schemeClr w14:val="tx1"/>
            </w14:solidFill>
          </w14:textFill>
        </w:rPr>
        <w:t>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lang w:val="en-US" w:eastAsia="zh-CN"/>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kern w:val="0"/>
          <w:sz w:val="32"/>
          <w:szCs w:val="32"/>
        </w:rPr>
        <w:t>2023</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val="en-US" w:eastAsia="zh-CN"/>
          <w14:textFill>
            <w14:solidFill>
              <w14:schemeClr w14:val="tx1"/>
            </w14:solidFill>
          </w14:textFill>
        </w:rPr>
        <w:t>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lang w:val="en-US" w:eastAsia="zh-CN"/>
          <w14:textFill>
            <w14:solidFill>
              <w14:schemeClr w14:val="tx1"/>
            </w14:solidFill>
          </w14:textFill>
        </w:rPr>
        <w:t>30分</w:t>
      </w:r>
      <w:r>
        <w:rPr>
          <w:rFonts w:hint="eastAsia" w:ascii="仿宋" w:hAnsi="仿宋" w:eastAsia="仿宋" w:cs="仿宋"/>
          <w:color w:val="000000" w:themeColor="text1"/>
          <w:kern w:val="0"/>
          <w:sz w:val="32"/>
          <w:szCs w:val="32"/>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招标人：厦门国贸城市服务集团股份有限公司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联系人：蔡女士</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auto"/>
          <w:kern w:val="0"/>
          <w:sz w:val="32"/>
          <w:szCs w:val="32"/>
          <w:highlight w:val="none"/>
        </w:rPr>
        <w:t>联系电话：0592-2990930</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厦门国贸城市服务集团股份有限公司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2023</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14</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rPr>
          <w:rFonts w:ascii="仿宋" w:hAnsi="仿宋" w:eastAsia="仿宋"/>
        </w:rPr>
      </w:pPr>
    </w:p>
    <w:p>
      <w:pPr>
        <w:rPr>
          <w:rFonts w:ascii="仿宋" w:hAnsi="仿宋" w:eastAsia="仿宋"/>
        </w:rPr>
      </w:pPr>
    </w:p>
    <w:p/>
    <w:p/>
    <w:p/>
    <w:p>
      <w:pPr>
        <w:pStyle w:val="2"/>
        <w:keepNext w:val="0"/>
        <w:keepLines w:val="0"/>
        <w:tabs>
          <w:tab w:val="center" w:pos="4535"/>
        </w:tabs>
        <w:spacing w:before="0" w:after="0" w:line="360" w:lineRule="auto"/>
        <w:jc w:val="left"/>
        <w:rPr>
          <w:rFonts w:ascii="仿宋" w:hAnsi="仿宋" w:eastAsia="仿宋"/>
        </w:rPr>
      </w:pPr>
      <w:bookmarkStart w:id="11" w:name="_Toc5752"/>
      <w:bookmarkStart w:id="12" w:name="_Toc82"/>
      <w:r>
        <w:rPr>
          <w:rFonts w:hint="eastAsia" w:ascii="仿宋" w:hAnsi="仿宋" w:eastAsia="仿宋"/>
        </w:rPr>
        <w:t>附：招标项目一览表</w:t>
      </w:r>
      <w:bookmarkEnd w:id="11"/>
      <w:bookmarkEnd w:id="12"/>
    </w:p>
    <w:tbl>
      <w:tblPr>
        <w:tblStyle w:val="16"/>
        <w:tblW w:w="9071" w:type="dxa"/>
        <w:tblInd w:w="4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8"/>
        <w:gridCol w:w="1880"/>
        <w:gridCol w:w="1066"/>
        <w:gridCol w:w="1187"/>
        <w:gridCol w:w="973"/>
        <w:gridCol w:w="1427"/>
        <w:gridCol w:w="208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458" w:type="dxa"/>
            <w:vAlign w:val="center"/>
          </w:tcPr>
          <w:p>
            <w:pPr>
              <w:widowControl/>
              <w:spacing w:line="240" w:lineRule="atLeast"/>
              <w:jc w:val="center"/>
              <w:rPr>
                <w:rFonts w:ascii="宋体" w:hAnsi="宋体" w:cs="宋体"/>
                <w:b/>
                <w:kern w:val="0"/>
                <w:sz w:val="24"/>
              </w:rPr>
            </w:pPr>
            <w:r>
              <w:rPr>
                <w:rFonts w:hint="eastAsia" w:ascii="宋体" w:hAnsi="宋体" w:cs="宋体"/>
                <w:b/>
                <w:kern w:val="0"/>
                <w:sz w:val="24"/>
              </w:rPr>
              <w:t>序</w:t>
            </w:r>
          </w:p>
          <w:p>
            <w:pPr>
              <w:widowControl/>
              <w:spacing w:line="240" w:lineRule="atLeast"/>
              <w:jc w:val="center"/>
              <w:rPr>
                <w:rFonts w:ascii="宋体" w:hAnsi="宋体" w:cs="宋体"/>
                <w:b/>
                <w:kern w:val="0"/>
                <w:sz w:val="24"/>
              </w:rPr>
            </w:pPr>
            <w:r>
              <w:rPr>
                <w:rFonts w:hint="eastAsia" w:ascii="宋体" w:hAnsi="宋体" w:cs="宋体"/>
                <w:b/>
                <w:kern w:val="0"/>
                <w:sz w:val="24"/>
              </w:rPr>
              <w:t>号</w:t>
            </w:r>
          </w:p>
        </w:tc>
        <w:tc>
          <w:tcPr>
            <w:tcW w:w="1880"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06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187"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97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1427" w:type="dxa"/>
            <w:vAlign w:val="center"/>
          </w:tcPr>
          <w:p>
            <w:pPr>
              <w:widowControl/>
              <w:spacing w:line="240" w:lineRule="atLeast"/>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w:t>
            </w:r>
          </w:p>
          <w:p>
            <w:pPr>
              <w:widowControl/>
              <w:spacing w:line="240" w:lineRule="atLeast"/>
              <w:jc w:val="center"/>
              <w:rPr>
                <w:rFonts w:ascii="宋体" w:hAnsi="宋体" w:cs="宋体"/>
                <w:b/>
                <w:kern w:val="0"/>
                <w:sz w:val="24"/>
              </w:rPr>
            </w:pPr>
            <w:r>
              <w:rPr>
                <w:rFonts w:hint="eastAsia" w:ascii="宋体" w:hAnsi="宋体" w:cs="宋体"/>
                <w:b/>
                <w:kern w:val="0"/>
                <w:sz w:val="24"/>
              </w:rPr>
              <w:t>控制总价</w:t>
            </w:r>
          </w:p>
        </w:tc>
        <w:tc>
          <w:tcPr>
            <w:tcW w:w="2080" w:type="dxa"/>
            <w:vAlign w:val="center"/>
          </w:tcPr>
          <w:p>
            <w:pPr>
              <w:widowControl/>
              <w:spacing w:line="240" w:lineRule="atLeast"/>
              <w:jc w:val="center"/>
              <w:rPr>
                <w:rFonts w:ascii="宋体" w:hAnsi="宋体" w:cs="宋体"/>
                <w:b/>
                <w:color w:val="000000" w:themeColor="text1"/>
                <w:kern w:val="0"/>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最高</w:t>
            </w:r>
          </w:p>
          <w:p>
            <w:pPr>
              <w:widowControl/>
              <w:spacing w:line="240" w:lineRule="atLeast"/>
              <w:jc w:val="center"/>
              <w:rPr>
                <w:rFonts w:ascii="仿宋" w:hAnsi="仿宋"/>
                <w:color w:val="000000" w:themeColor="text1"/>
                <w:sz w:val="28"/>
                <w:szCs w:val="28"/>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控制单价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458" w:type="dxa"/>
            <w:vAlign w:val="center"/>
          </w:tcPr>
          <w:p>
            <w:pPr>
              <w:spacing w:line="360" w:lineRule="auto"/>
              <w:jc w:val="center"/>
              <w:rPr>
                <w:rFonts w:ascii="宋体" w:hAnsi="宋体"/>
                <w:kern w:val="0"/>
                <w:sz w:val="24"/>
              </w:rPr>
            </w:pPr>
            <w:r>
              <w:rPr>
                <w:rFonts w:hint="eastAsia" w:ascii="宋体" w:hAnsi="宋体"/>
                <w:kern w:val="0"/>
                <w:sz w:val="24"/>
              </w:rPr>
              <w:t>一</w:t>
            </w:r>
          </w:p>
        </w:tc>
        <w:tc>
          <w:tcPr>
            <w:tcW w:w="1880" w:type="dxa"/>
            <w:vAlign w:val="center"/>
          </w:tcPr>
          <w:p>
            <w:pPr>
              <w:adjustRightInd w:val="0"/>
              <w:snapToGrid w:val="0"/>
              <w:jc w:val="center"/>
              <w:rPr>
                <w:rFonts w:ascii="仿宋" w:hAnsi="仿宋" w:eastAsia="仿宋"/>
                <w:color w:val="0066FF"/>
                <w:sz w:val="28"/>
                <w:szCs w:val="28"/>
              </w:rPr>
            </w:pPr>
            <w:r>
              <w:rPr>
                <w:rFonts w:hint="eastAsia" w:ascii="仿宋" w:hAnsi="仿宋" w:eastAsia="仿宋"/>
                <w:sz w:val="28"/>
                <w:szCs w:val="28"/>
              </w:rPr>
              <w:t>福州国贸学原</w:t>
            </w:r>
            <w:r>
              <w:rPr>
                <w:rFonts w:hint="eastAsia" w:ascii="仿宋" w:hAnsi="仿宋" w:eastAsia="仿宋"/>
                <w:sz w:val="28"/>
                <w:szCs w:val="28"/>
                <w:lang w:eastAsia="zh-CN"/>
              </w:rPr>
              <w:t>二期</w:t>
            </w:r>
            <w:r>
              <w:rPr>
                <w:rFonts w:hint="eastAsia" w:ascii="仿宋" w:hAnsi="仿宋" w:eastAsia="仿宋"/>
                <w:sz w:val="28"/>
                <w:szCs w:val="28"/>
              </w:rPr>
              <w:t>土头垃圾清运</w:t>
            </w:r>
          </w:p>
        </w:tc>
        <w:tc>
          <w:tcPr>
            <w:tcW w:w="1066" w:type="dxa"/>
            <w:vAlign w:val="center"/>
          </w:tcPr>
          <w:p>
            <w:pPr>
              <w:jc w:val="center"/>
              <w:rPr>
                <w:rFonts w:ascii="宋体" w:hAnsi="宋体"/>
                <w:kern w:val="0"/>
                <w:sz w:val="24"/>
              </w:rPr>
            </w:pPr>
            <w:r>
              <w:rPr>
                <w:rFonts w:hint="eastAsia" w:ascii="宋体" w:hAnsi="宋体"/>
                <w:kern w:val="0"/>
                <w:sz w:val="24"/>
              </w:rPr>
              <w:t>详见</w:t>
            </w:r>
          </w:p>
          <w:p>
            <w:pPr>
              <w:jc w:val="center"/>
              <w:rPr>
                <w:rFonts w:ascii="宋体" w:hAnsi="宋体"/>
                <w:kern w:val="0"/>
                <w:sz w:val="24"/>
              </w:rPr>
            </w:pPr>
            <w:r>
              <w:rPr>
                <w:rFonts w:hint="eastAsia" w:ascii="宋体" w:hAnsi="宋体"/>
                <w:kern w:val="0"/>
                <w:sz w:val="24"/>
              </w:rPr>
              <w:t>第三章</w:t>
            </w:r>
          </w:p>
        </w:tc>
        <w:tc>
          <w:tcPr>
            <w:tcW w:w="1187" w:type="dxa"/>
            <w:vAlign w:val="center"/>
          </w:tcPr>
          <w:p>
            <w:pPr>
              <w:jc w:val="center"/>
              <w:rPr>
                <w:rFonts w:ascii="宋体" w:hAnsi="宋体"/>
                <w:kern w:val="0"/>
                <w:sz w:val="24"/>
              </w:rPr>
            </w:pPr>
            <w:r>
              <w:rPr>
                <w:rFonts w:hint="eastAsia" w:ascii="宋体" w:hAnsi="宋体"/>
                <w:kern w:val="0"/>
                <w:sz w:val="24"/>
              </w:rPr>
              <w:t>福州市</w:t>
            </w:r>
          </w:p>
          <w:p>
            <w:pPr>
              <w:jc w:val="center"/>
              <w:rPr>
                <w:rFonts w:ascii="宋体" w:hAnsi="宋体"/>
                <w:kern w:val="0"/>
                <w:sz w:val="24"/>
              </w:rPr>
            </w:pPr>
            <w:r>
              <w:rPr>
                <w:rFonts w:hint="eastAsia" w:ascii="宋体" w:hAnsi="宋体"/>
                <w:kern w:val="0"/>
                <w:sz w:val="24"/>
              </w:rPr>
              <w:t>闽侯县</w:t>
            </w:r>
          </w:p>
        </w:tc>
        <w:tc>
          <w:tcPr>
            <w:tcW w:w="973" w:type="dxa"/>
            <w:vAlign w:val="center"/>
          </w:tcPr>
          <w:p>
            <w:pPr>
              <w:spacing w:line="360" w:lineRule="auto"/>
              <w:jc w:val="center"/>
              <w:rPr>
                <w:rFonts w:ascii="宋体" w:hAnsi="宋体"/>
                <w:kern w:val="0"/>
                <w:sz w:val="24"/>
              </w:rPr>
            </w:pPr>
            <w:r>
              <w:rPr>
                <w:rFonts w:hint="eastAsia" w:ascii="宋体" w:hAnsi="宋体"/>
                <w:kern w:val="0"/>
                <w:sz w:val="24"/>
              </w:rPr>
              <w:t>3年</w:t>
            </w:r>
          </w:p>
        </w:tc>
        <w:tc>
          <w:tcPr>
            <w:tcW w:w="1427" w:type="dxa"/>
            <w:vAlign w:val="center"/>
          </w:tcPr>
          <w:p>
            <w:pPr>
              <w:spacing w:line="360" w:lineRule="auto"/>
              <w:jc w:val="center"/>
              <w:rPr>
                <w:rFonts w:ascii="宋体" w:hAnsi="宋体"/>
                <w:kern w:val="0"/>
                <w:sz w:val="24"/>
              </w:rPr>
            </w:pPr>
            <w:r>
              <w:rPr>
                <w:rFonts w:hint="eastAsia" w:ascii="宋体" w:hAnsi="宋体"/>
                <w:color w:val="auto"/>
                <w:kern w:val="0"/>
                <w:sz w:val="24"/>
                <w:lang w:val="en-US" w:eastAsia="zh-CN"/>
              </w:rPr>
              <w:t>176</w:t>
            </w:r>
            <w:r>
              <w:rPr>
                <w:rFonts w:hint="eastAsia" w:ascii="宋体" w:hAnsi="宋体"/>
                <w:color w:val="auto"/>
                <w:kern w:val="0"/>
                <w:sz w:val="24"/>
                <w:lang w:eastAsia="zh-CN"/>
              </w:rPr>
              <w:t>.</w:t>
            </w:r>
            <w:r>
              <w:rPr>
                <w:rFonts w:hint="eastAsia" w:ascii="宋体" w:hAnsi="宋体"/>
                <w:color w:val="auto"/>
                <w:kern w:val="0"/>
                <w:sz w:val="24"/>
                <w:lang w:val="en-US" w:eastAsia="zh-CN"/>
              </w:rPr>
              <w:t>3</w:t>
            </w:r>
            <w:r>
              <w:rPr>
                <w:rFonts w:hint="eastAsia" w:ascii="宋体" w:hAnsi="宋体"/>
                <w:color w:val="auto"/>
                <w:kern w:val="0"/>
                <w:sz w:val="24"/>
              </w:rPr>
              <w:t>万元</w:t>
            </w:r>
          </w:p>
        </w:tc>
        <w:tc>
          <w:tcPr>
            <w:tcW w:w="2080"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住宅：</w:t>
            </w:r>
            <w:r>
              <w:rPr>
                <w:rFonts w:ascii="宋体" w:hAnsi="宋体"/>
                <w:color w:val="000000" w:themeColor="text1"/>
                <w:kern w:val="0"/>
                <w:sz w:val="24"/>
                <w14:textFill>
                  <w14:solidFill>
                    <w14:schemeClr w14:val="tx1"/>
                  </w14:solidFill>
                </w14:textFill>
              </w:rPr>
              <w:t>17</w:t>
            </w:r>
            <w:r>
              <w:rPr>
                <w:rFonts w:hint="eastAsia" w:ascii="宋体" w:hAnsi="宋体"/>
                <w:color w:val="000000" w:themeColor="text1"/>
                <w:kern w:val="0"/>
                <w:sz w:val="24"/>
                <w14:textFill>
                  <w14:solidFill>
                    <w14:schemeClr w14:val="tx1"/>
                  </w14:solidFill>
                </w14:textFill>
              </w:rPr>
              <w:t>元/㎡</w:t>
            </w:r>
          </w:p>
          <w:p>
            <w:pPr>
              <w:jc w:val="center"/>
              <w:rPr>
                <w:rFonts w:ascii="宋体" w:hAnsi="宋体"/>
                <w:color w:val="000000" w:themeColor="text1"/>
                <w:kern w:val="0"/>
                <w:sz w:val="24"/>
                <w14:textFill>
                  <w14:solidFill>
                    <w14:schemeClr w14:val="tx1"/>
                  </w14:solidFill>
                </w14:textFill>
              </w:rPr>
            </w:pP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1、服务</w:t>
      </w:r>
      <w:r>
        <w:rPr>
          <w:rFonts w:hint="eastAsia" w:ascii="仿宋" w:hAnsi="仿宋" w:eastAsia="仿宋" w:cs="仿宋"/>
          <w:color w:val="000000" w:themeColor="text1"/>
          <w:kern w:val="0"/>
          <w:sz w:val="32"/>
          <w:szCs w:val="32"/>
          <w14:textFill>
            <w14:solidFill>
              <w14:schemeClr w14:val="tx1"/>
            </w14:solidFill>
          </w14:textFill>
        </w:rPr>
        <w:t>期：</w:t>
      </w:r>
      <w:r>
        <w:rPr>
          <w:rFonts w:hint="eastAsia" w:ascii="仿宋" w:hAnsi="仿宋" w:eastAsia="仿宋" w:cs="仿宋"/>
          <w:kern w:val="0"/>
          <w:sz w:val="32"/>
          <w:szCs w:val="32"/>
        </w:rPr>
        <w:t>限拟定为三年，202</w:t>
      </w:r>
      <w:r>
        <w:rPr>
          <w:rFonts w:ascii="仿宋" w:hAnsi="仿宋" w:eastAsia="仿宋" w:cs="仿宋"/>
          <w:kern w:val="0"/>
          <w:sz w:val="32"/>
          <w:szCs w:val="32"/>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月1日至 202</w:t>
      </w:r>
      <w:r>
        <w:rPr>
          <w:rFonts w:ascii="仿宋" w:hAnsi="仿宋" w:eastAsia="仿宋" w:cs="仿宋"/>
          <w:kern w:val="0"/>
          <w:sz w:val="32"/>
          <w:szCs w:val="32"/>
        </w:rPr>
        <w:t>6</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ascii="仿宋" w:hAnsi="仿宋" w:eastAsia="仿宋" w:cs="仿宋"/>
          <w:kern w:val="0"/>
          <w:sz w:val="32"/>
          <w:szCs w:val="32"/>
        </w:rPr>
        <w:t>3</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日（暂定，具体服务时间以签订合同约定时间为准），各投标人应对此作出承诺。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2"/>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3" w:name="_Toc17173"/>
      <w:bookmarkStart w:id="14" w:name="_Toc14010"/>
      <w:r>
        <w:rPr>
          <w:rFonts w:hint="eastAsia" w:ascii="仿宋" w:hAnsi="仿宋" w:eastAsia="仿宋" w:cs="仿宋"/>
          <w:kern w:val="0"/>
          <w:szCs w:val="32"/>
        </w:rPr>
        <w:t>第二章　投标人须知</w:t>
      </w:r>
      <w:bookmarkEnd w:id="13"/>
      <w:bookmarkEnd w:id="14"/>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cs="仿宋"/>
                <w:bCs/>
                <w:sz w:val="28"/>
                <w:szCs w:val="28"/>
              </w:rPr>
            </w:pPr>
            <w:r>
              <w:rPr>
                <w:rFonts w:hint="eastAsia" w:ascii="仿宋" w:hAnsi="仿宋" w:eastAsia="仿宋"/>
                <w:sz w:val="28"/>
                <w:szCs w:val="28"/>
              </w:rPr>
              <w:t>项目名称：福州国贸学原</w:t>
            </w:r>
            <w:r>
              <w:rPr>
                <w:rFonts w:hint="eastAsia" w:ascii="仿宋" w:hAnsi="仿宋" w:eastAsia="仿宋"/>
                <w:sz w:val="28"/>
                <w:szCs w:val="28"/>
                <w:lang w:eastAsia="zh-CN"/>
              </w:rPr>
              <w:t>二期</w:t>
            </w:r>
            <w:r>
              <w:rPr>
                <w:rFonts w:hint="eastAsia" w:ascii="仿宋" w:hAnsi="仿宋" w:eastAsia="仿宋"/>
                <w:sz w:val="28"/>
                <w:szCs w:val="28"/>
              </w:rPr>
              <w:t>建筑垃圾清运服务</w:t>
            </w:r>
          </w:p>
          <w:p>
            <w:pPr>
              <w:spacing w:line="400" w:lineRule="exact"/>
              <w:rPr>
                <w:rFonts w:ascii="仿宋" w:hAnsi="仿宋" w:eastAsia="仿宋"/>
                <w:sz w:val="28"/>
                <w:szCs w:val="28"/>
              </w:rPr>
            </w:pPr>
            <w:r>
              <w:rPr>
                <w:rFonts w:hint="eastAsia" w:ascii="仿宋" w:hAnsi="仿宋" w:eastAsia="仿宋"/>
                <w:sz w:val="28"/>
                <w:szCs w:val="28"/>
              </w:rPr>
              <w:t>招标人：厦门国贸城市服务集团股份有限公司</w:t>
            </w:r>
          </w:p>
          <w:p>
            <w:pPr>
              <w:spacing w:line="400" w:lineRule="exact"/>
              <w:rPr>
                <w:rFonts w:hint="eastAsia"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eastAsia" w:ascii="仿宋" w:hAnsi="仿宋" w:eastAsia="仿宋"/>
                <w:sz w:val="28"/>
                <w:szCs w:val="28"/>
                <w:lang w:val="en-US" w:eastAsia="zh-CN"/>
              </w:rPr>
            </w:pPr>
            <w:r>
              <w:rPr>
                <w:rFonts w:hint="eastAsia" w:ascii="仿宋" w:hAnsi="仿宋" w:eastAsia="仿宋"/>
                <w:sz w:val="28"/>
                <w:szCs w:val="28"/>
              </w:rPr>
              <w:t>项目编号：GMFW-2023-0</w:t>
            </w:r>
            <w:r>
              <w:rPr>
                <w:rFonts w:hint="eastAsia" w:ascii="仿宋" w:hAnsi="仿宋" w:eastAsia="仿宋"/>
                <w:sz w:val="28"/>
                <w:szCs w:val="28"/>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color w:val="0070C0"/>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b/>
                <w:sz w:val="28"/>
                <w:szCs w:val="28"/>
              </w:rPr>
              <w:t>人民币3</w:t>
            </w:r>
            <w:r>
              <w:rPr>
                <w:rFonts w:hint="eastAsia" w:ascii="仿宋" w:hAnsi="仿宋" w:eastAsia="仿宋"/>
                <w:b/>
                <w:sz w:val="28"/>
                <w:szCs w:val="28"/>
                <w:lang w:val="en-US" w:eastAsia="zh-CN"/>
              </w:rPr>
              <w:t>5</w:t>
            </w:r>
            <w:r>
              <w:rPr>
                <w:rFonts w:hint="eastAsia" w:ascii="仿宋" w:hAnsi="仿宋" w:eastAsia="仿宋"/>
                <w:b/>
                <w:sz w:val="28"/>
                <w:szCs w:val="28"/>
              </w:rPr>
              <w:t>000元整。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 xml:space="preserve">中标供应商在签订合同前，应向招标人缴纳 </w:t>
            </w:r>
            <w:r>
              <w:rPr>
                <w:rFonts w:ascii="仿宋" w:hAnsi="仿宋" w:eastAsia="仿宋"/>
                <w:b/>
                <w:sz w:val="28"/>
                <w:szCs w:val="28"/>
              </w:rPr>
              <w:t>1</w:t>
            </w:r>
            <w:r>
              <w:rPr>
                <w:rFonts w:hint="eastAsia" w:ascii="仿宋" w:hAnsi="仿宋" w:eastAsia="仿宋"/>
                <w:b/>
                <w:sz w:val="28"/>
                <w:szCs w:val="28"/>
              </w:rPr>
              <w:t>0</w:t>
            </w:r>
            <w:r>
              <w:rPr>
                <w:rFonts w:ascii="仿宋" w:hAnsi="仿宋" w:eastAsia="仿宋"/>
                <w:b/>
                <w:sz w:val="28"/>
                <w:szCs w:val="28"/>
              </w:rPr>
              <w:t>0000</w:t>
            </w:r>
            <w:r>
              <w:rPr>
                <w:rFonts w:hint="eastAsia" w:ascii="仿宋" w:hAnsi="仿宋" w:eastAsia="仿宋"/>
                <w:b/>
                <w:sz w:val="28"/>
                <w:szCs w:val="28"/>
              </w:rPr>
              <w:t>元</w:t>
            </w:r>
            <w:r>
              <w:rPr>
                <w:rFonts w:hint="eastAsia" w:ascii="仿宋" w:hAnsi="仿宋" w:eastAsia="仿宋"/>
                <w:sz w:val="28"/>
                <w:szCs w:val="28"/>
              </w:rPr>
              <w:t>履约保证金。</w:t>
            </w:r>
          </w:p>
          <w:p>
            <w:pPr>
              <w:spacing w:line="400" w:lineRule="exact"/>
              <w:rPr>
                <w:rFonts w:ascii="仿宋" w:hAnsi="仿宋" w:eastAsia="仿宋"/>
                <w:sz w:val="28"/>
                <w:szCs w:val="28"/>
              </w:rPr>
            </w:pPr>
            <w:r>
              <w:rPr>
                <w:rFonts w:ascii="仿宋" w:hAnsi="仿宋" w:eastAsia="仿宋"/>
                <w:sz w:val="28"/>
                <w:szCs w:val="28"/>
              </w:rPr>
              <w:t>1.履约保证金数额：</w:t>
            </w:r>
            <w:r>
              <w:rPr>
                <w:rFonts w:ascii="仿宋" w:hAnsi="仿宋" w:eastAsia="仿宋"/>
                <w:b/>
                <w:sz w:val="28"/>
                <w:szCs w:val="28"/>
              </w:rPr>
              <w:t>1</w:t>
            </w:r>
            <w:r>
              <w:rPr>
                <w:rFonts w:hint="eastAsia" w:ascii="仿宋" w:hAnsi="仿宋" w:eastAsia="仿宋"/>
                <w:b/>
                <w:sz w:val="28"/>
                <w:szCs w:val="28"/>
              </w:rPr>
              <w:t>0</w:t>
            </w:r>
            <w:r>
              <w:rPr>
                <w:rFonts w:ascii="仿宋" w:hAnsi="仿宋" w:eastAsia="仿宋"/>
                <w:b/>
                <w:sz w:val="28"/>
                <w:szCs w:val="28"/>
              </w:rPr>
              <w:t>0000</w:t>
            </w:r>
            <w:r>
              <w:rPr>
                <w:rFonts w:hint="eastAsia" w:ascii="仿宋" w:hAnsi="仿宋" w:eastAsia="仿宋"/>
                <w:b/>
                <w:sz w:val="28"/>
                <w:szCs w:val="28"/>
              </w:rPr>
              <w:t>元</w:t>
            </w:r>
            <w:r>
              <w:rPr>
                <w:rFonts w:hint="eastAsia" w:ascii="仿宋" w:hAnsi="仿宋" w:eastAsia="仿宋"/>
                <w:sz w:val="28"/>
                <w:szCs w:val="28"/>
              </w:rPr>
              <w:t>（指人民币，下同）。</w:t>
            </w:r>
          </w:p>
          <w:p>
            <w:pPr>
              <w:spacing w:line="400" w:lineRule="exact"/>
              <w:rPr>
                <w:rFonts w:ascii="仿宋" w:hAnsi="仿宋" w:eastAsia="仿宋"/>
                <w:sz w:val="28"/>
                <w:szCs w:val="28"/>
              </w:rPr>
            </w:pPr>
            <w:r>
              <w:rPr>
                <w:rFonts w:hint="eastAsia" w:ascii="仿宋" w:hAnsi="仿宋" w:eastAsia="仿宋"/>
                <w:sz w:val="28"/>
                <w:szCs w:val="28"/>
              </w:rPr>
              <w:t>2.履约保证金形式：转账。</w:t>
            </w:r>
          </w:p>
          <w:p>
            <w:pPr>
              <w:spacing w:line="400" w:lineRule="exact"/>
              <w:rPr>
                <w:rFonts w:ascii="仿宋" w:hAnsi="仿宋" w:eastAsia="仿宋"/>
                <w:sz w:val="28"/>
                <w:szCs w:val="28"/>
              </w:rPr>
            </w:pPr>
            <w:r>
              <w:rPr>
                <w:rFonts w:hint="eastAsia" w:ascii="仿宋" w:hAnsi="仿宋" w:eastAsia="仿宋"/>
                <w:sz w:val="28"/>
                <w:szCs w:val="28"/>
              </w:rPr>
              <w:t>3.中标人在收到中标通知书后签订采购合同，原投标保证金直接作为合同履约保证金。履约保证金在双方合同终止、交接清楚、质保期（或保修期）结束和债权债务等关系理顺后30日历天内无息返还。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招标预算价（即最高控制价）为：</w:t>
            </w:r>
            <w:r>
              <w:rPr>
                <w:rFonts w:hint="eastAsia" w:ascii="仿宋" w:hAnsi="仿宋" w:eastAsia="仿宋"/>
                <w:b/>
                <w:bCs/>
                <w:color w:val="auto"/>
                <w:sz w:val="28"/>
                <w:szCs w:val="28"/>
              </w:rPr>
              <w:t>176.3万</w:t>
            </w:r>
            <w:r>
              <w:rPr>
                <w:rFonts w:hint="eastAsia" w:ascii="仿宋" w:hAnsi="仿宋" w:eastAsia="仿宋" w:cs="宋体"/>
                <w:b/>
                <w:bCs/>
                <w:color w:val="auto"/>
                <w:kern w:val="0"/>
                <w:sz w:val="28"/>
                <w:szCs w:val="28"/>
              </w:rPr>
              <w:t>元</w:t>
            </w:r>
            <w:r>
              <w:rPr>
                <w:rFonts w:hint="eastAsia" w:ascii="仿宋" w:hAnsi="仿宋" w:eastAsia="仿宋" w:cs="宋体"/>
                <w:b/>
                <w:kern w:val="0"/>
                <w:sz w:val="28"/>
                <w:szCs w:val="28"/>
              </w:rPr>
              <w:t>。</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本次招标采用最低投标价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pPr>
              <w:numPr>
                <w:ilvl w:val="0"/>
                <w:numId w:val="1"/>
              </w:numPr>
              <w:spacing w:line="400" w:lineRule="exact"/>
              <w:ind w:left="-9" w:firstLine="0"/>
              <w:rPr>
                <w:rFonts w:ascii="仿宋" w:hAnsi="仿宋" w:eastAsia="仿宋"/>
                <w:b/>
                <w:sz w:val="28"/>
                <w:szCs w:val="28"/>
              </w:rPr>
            </w:pPr>
            <w:r>
              <w:rPr>
                <w:rFonts w:hint="eastAsia" w:ascii="仿宋" w:hAnsi="仿宋" w:eastAsia="仿宋"/>
                <w:sz w:val="28"/>
                <w:szCs w:val="28"/>
              </w:rPr>
              <w:t>★</w:t>
            </w:r>
            <w:r>
              <w:rPr>
                <w:rFonts w:hint="eastAsia" w:ascii="仿宋" w:hAnsi="仿宋" w:eastAsia="仿宋"/>
                <w:b/>
                <w:sz w:val="28"/>
                <w:szCs w:val="28"/>
              </w:rPr>
              <w:t>投标人具有独立承担民事责任的能力，并具备参加招投标、政府采购活动的合法条件。投标人必须提供经年检合格的企业法人营业执照（副本）的有效复印件。</w:t>
            </w:r>
          </w:p>
          <w:p>
            <w:pPr>
              <w:numPr>
                <w:ilvl w:val="0"/>
                <w:numId w:val="1"/>
              </w:numPr>
              <w:spacing w:line="400" w:lineRule="exact"/>
              <w:ind w:left="-9" w:firstLine="0"/>
              <w:rPr>
                <w:rFonts w:ascii="仿宋" w:hAnsi="仿宋" w:eastAsia="仿宋"/>
                <w:b/>
                <w:sz w:val="28"/>
                <w:szCs w:val="28"/>
              </w:rPr>
            </w:pPr>
            <w:r>
              <w:rPr>
                <w:rFonts w:hint="eastAsia" w:ascii="仿宋" w:hAnsi="仿宋" w:eastAsia="仿宋"/>
                <w:b/>
                <w:sz w:val="28"/>
                <w:szCs w:val="28"/>
              </w:rPr>
              <w:t>投标人代表不是法定代表人的，应提供法定代表人授权书原件，以及投标人代表的身份证复印件。</w:t>
            </w:r>
          </w:p>
          <w:p>
            <w:pPr>
              <w:spacing w:line="400" w:lineRule="exact"/>
              <w:rPr>
                <w:rFonts w:ascii="仿宋" w:hAnsi="仿宋" w:eastAsia="仿宋"/>
                <w:b/>
                <w:sz w:val="28"/>
                <w:szCs w:val="28"/>
              </w:rPr>
            </w:pPr>
            <w:r>
              <w:rPr>
                <w:rFonts w:hint="eastAsia" w:ascii="仿宋" w:hAnsi="仿宋" w:eastAsia="仿宋"/>
                <w:b/>
                <w:sz w:val="28"/>
                <w:szCs w:val="28"/>
              </w:rPr>
              <w:t>3、运输资质（需要有福州市城市管理委员会颁发的</w:t>
            </w:r>
            <w:r>
              <w:rPr>
                <w:rFonts w:hint="eastAsia" w:ascii="仿宋" w:hAnsi="仿宋" w:eastAsia="仿宋"/>
                <w:b/>
                <w:sz w:val="28"/>
                <w:szCs w:val="28"/>
                <w:lang w:val="en-US" w:eastAsia="zh-CN"/>
              </w:rPr>
              <w:t>有效期内建筑垃圾</w:t>
            </w:r>
            <w:r>
              <w:rPr>
                <w:rFonts w:hint="eastAsia" w:ascii="仿宋" w:hAnsi="仿宋" w:eastAsia="仿宋"/>
                <w:b/>
                <w:sz w:val="28"/>
                <w:szCs w:val="28"/>
              </w:rPr>
              <w:t>准运证）</w:t>
            </w:r>
          </w:p>
          <w:p>
            <w:pPr>
              <w:spacing w:line="400" w:lineRule="exact"/>
              <w:rPr>
                <w:rFonts w:ascii="仿宋" w:hAnsi="仿宋" w:eastAsia="仿宋"/>
                <w:b/>
                <w:sz w:val="28"/>
                <w:szCs w:val="28"/>
              </w:rPr>
            </w:pPr>
            <w:r>
              <w:rPr>
                <w:rFonts w:hint="eastAsia" w:ascii="仿宋" w:hAnsi="仿宋" w:eastAsia="仿宋"/>
                <w:b/>
                <w:sz w:val="28"/>
                <w:szCs w:val="28"/>
              </w:rPr>
              <w:t>4、投标人必须提供自2020年起至今不少于</w:t>
            </w:r>
            <w:r>
              <w:rPr>
                <w:rFonts w:ascii="仿宋" w:hAnsi="仿宋" w:eastAsia="仿宋"/>
                <w:b/>
                <w:sz w:val="28"/>
                <w:szCs w:val="28"/>
              </w:rPr>
              <w:t>3</w:t>
            </w:r>
            <w:r>
              <w:rPr>
                <w:rFonts w:hint="eastAsia" w:ascii="仿宋" w:hAnsi="仿宋" w:eastAsia="仿宋"/>
                <w:b/>
                <w:sz w:val="28"/>
                <w:szCs w:val="28"/>
              </w:rPr>
              <w:t>个建筑垃圾清运类项目的经营业绩经验的有效证明文件（需提供合同或验收报告的复印件，原件备查），以在福州区域有相关业绩优先。</w:t>
            </w:r>
          </w:p>
          <w:p>
            <w:pPr>
              <w:spacing w:line="400" w:lineRule="exact"/>
              <w:rPr>
                <w:rFonts w:ascii="仿宋" w:hAnsi="仿宋" w:eastAsia="仿宋"/>
                <w:b/>
                <w:sz w:val="28"/>
                <w:szCs w:val="28"/>
              </w:rPr>
            </w:pPr>
            <w:r>
              <w:rPr>
                <w:rFonts w:hint="eastAsia" w:ascii="仿宋" w:hAnsi="仿宋" w:eastAsia="仿宋"/>
                <w:b/>
                <w:sz w:val="28"/>
                <w:szCs w:val="28"/>
              </w:rPr>
              <w:t>以上资格证明文件均应加盖投标人公章，原件备查。</w:t>
            </w:r>
          </w:p>
        </w:tc>
      </w:tr>
    </w:tbl>
    <w:p>
      <w:pPr>
        <w:pStyle w:val="3"/>
        <w:keepNext w:val="0"/>
        <w:keepLines w:val="0"/>
        <w:spacing w:before="0" w:after="0" w:line="360" w:lineRule="auto"/>
        <w:jc w:val="center"/>
        <w:rPr>
          <w:rFonts w:ascii="仿宋" w:hAnsi="仿宋" w:eastAsia="仿宋"/>
        </w:rPr>
      </w:pPr>
    </w:p>
    <w:p>
      <w:pPr>
        <w:pStyle w:val="3"/>
        <w:keepNext w:val="0"/>
        <w:keepLines w:val="0"/>
        <w:spacing w:before="0" w:after="0" w:line="500" w:lineRule="exact"/>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
      <w:pPr>
        <w:pStyle w:val="3"/>
        <w:keepNext w:val="0"/>
        <w:keepLines w:val="0"/>
        <w:spacing w:before="0" w:after="0" w:line="500" w:lineRule="exact"/>
        <w:rPr>
          <w:rFonts w:ascii="仿宋" w:hAnsi="仿宋" w:eastAsia="仿宋"/>
          <w:sz w:val="32"/>
        </w:rPr>
      </w:pPr>
      <w:bookmarkStart w:id="15" w:name="_Toc20818"/>
      <w:bookmarkStart w:id="16" w:name="_Toc1611"/>
      <w:r>
        <w:rPr>
          <w:rFonts w:hint="eastAsia" w:ascii="仿宋" w:hAnsi="仿宋" w:eastAsia="仿宋"/>
          <w:sz w:val="32"/>
        </w:rPr>
        <w:t>第一节  说  明</w:t>
      </w:r>
      <w:bookmarkEnd w:id="15"/>
      <w:bookmarkEnd w:id="16"/>
    </w:p>
    <w:p>
      <w:pPr>
        <w:pStyle w:val="4"/>
        <w:keepNext w:val="0"/>
        <w:keepLines w:val="0"/>
        <w:spacing w:before="0" w:after="0" w:line="500" w:lineRule="exact"/>
        <w:ind w:firstLine="643" w:firstLineChars="200"/>
        <w:rPr>
          <w:rFonts w:ascii="仿宋" w:hAnsi="仿宋" w:eastAsia="仿宋"/>
          <w:sz w:val="32"/>
        </w:rPr>
      </w:pPr>
      <w:bookmarkStart w:id="17" w:name="_Toc24427"/>
      <w:bookmarkStart w:id="18" w:name="_Toc191892300"/>
      <w:bookmarkStart w:id="19" w:name="_Toc192925648"/>
      <w:bookmarkStart w:id="20" w:name="_Toc6282"/>
      <w:r>
        <w:rPr>
          <w:rFonts w:ascii="仿宋" w:hAnsi="仿宋" w:eastAsia="仿宋"/>
          <w:sz w:val="32"/>
        </w:rPr>
        <w:t xml:space="preserve">1. </w:t>
      </w:r>
      <w:r>
        <w:rPr>
          <w:rFonts w:hint="eastAsia" w:ascii="仿宋" w:hAnsi="仿宋" w:eastAsia="仿宋"/>
          <w:sz w:val="32"/>
        </w:rPr>
        <w:t>适用范围</w:t>
      </w:r>
      <w:bookmarkEnd w:id="17"/>
      <w:bookmarkEnd w:id="18"/>
      <w:bookmarkEnd w:id="19"/>
      <w:bookmarkEnd w:id="20"/>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rPr>
        <w:t>福州国贸学原</w:t>
      </w:r>
      <w:r>
        <w:rPr>
          <w:rFonts w:hint="eastAsia" w:ascii="仿宋" w:hAnsi="仿宋" w:eastAsia="仿宋"/>
          <w:sz w:val="32"/>
          <w:szCs w:val="32"/>
          <w:u w:val="single"/>
          <w:lang w:eastAsia="zh-CN"/>
        </w:rPr>
        <w:t>二期</w:t>
      </w:r>
      <w:r>
        <w:rPr>
          <w:rFonts w:hint="eastAsia" w:ascii="仿宋" w:hAnsi="仿宋" w:eastAsia="仿宋"/>
          <w:sz w:val="32"/>
          <w:szCs w:val="32"/>
          <w:u w:val="single"/>
        </w:rPr>
        <w:t>项目建筑垃圾清运服务</w:t>
      </w:r>
      <w:r>
        <w:rPr>
          <w:rFonts w:hint="eastAsia" w:ascii="仿宋" w:hAnsi="仿宋" w:eastAsia="仿宋"/>
          <w:sz w:val="32"/>
          <w:szCs w:val="32"/>
        </w:rPr>
        <w:t>。</w:t>
      </w:r>
    </w:p>
    <w:p>
      <w:pPr>
        <w:pStyle w:val="4"/>
        <w:keepNext w:val="0"/>
        <w:keepLines w:val="0"/>
        <w:spacing w:before="0" w:after="0" w:line="500" w:lineRule="exact"/>
        <w:ind w:firstLine="643" w:firstLineChars="200"/>
        <w:rPr>
          <w:rFonts w:ascii="仿宋" w:hAnsi="仿宋" w:eastAsia="仿宋"/>
          <w:sz w:val="32"/>
        </w:rPr>
      </w:pPr>
      <w:bookmarkStart w:id="21" w:name="_Toc8840"/>
      <w:bookmarkStart w:id="22" w:name="_Toc192925649"/>
      <w:bookmarkStart w:id="23" w:name="_Toc191892301"/>
      <w:bookmarkStart w:id="24" w:name="_Toc23558"/>
      <w:r>
        <w:rPr>
          <w:rFonts w:ascii="仿宋" w:hAnsi="仿宋" w:eastAsia="仿宋"/>
          <w:sz w:val="32"/>
        </w:rPr>
        <w:t xml:space="preserve">2. </w:t>
      </w:r>
      <w:r>
        <w:rPr>
          <w:rFonts w:hint="eastAsia" w:ascii="仿宋" w:hAnsi="仿宋" w:eastAsia="仿宋"/>
          <w:sz w:val="32"/>
        </w:rPr>
        <w:t>定义</w:t>
      </w:r>
      <w:bookmarkEnd w:id="21"/>
      <w:bookmarkEnd w:id="22"/>
      <w:bookmarkEnd w:id="23"/>
      <w:bookmarkEnd w:id="24"/>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厦门国贸城市服务集团股份有限公司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sz w:val="32"/>
        </w:rPr>
      </w:pPr>
      <w:bookmarkStart w:id="25" w:name="_Toc191892302"/>
      <w:bookmarkStart w:id="26" w:name="_Toc1361"/>
      <w:bookmarkStart w:id="27" w:name="_Toc192925650"/>
      <w:bookmarkStart w:id="28" w:name="_Toc28656"/>
      <w:r>
        <w:rPr>
          <w:rFonts w:ascii="仿宋" w:hAnsi="仿宋" w:eastAsia="仿宋"/>
          <w:sz w:val="32"/>
        </w:rPr>
        <w:t xml:space="preserve">3. </w:t>
      </w:r>
      <w:r>
        <w:rPr>
          <w:rFonts w:hint="eastAsia" w:ascii="仿宋" w:hAnsi="仿宋" w:eastAsia="仿宋"/>
          <w:sz w:val="32"/>
        </w:rPr>
        <w:t>合格的投标人</w:t>
      </w:r>
      <w:bookmarkEnd w:id="25"/>
      <w:bookmarkEnd w:id="26"/>
      <w:bookmarkEnd w:id="27"/>
      <w:bookmarkEnd w:id="28"/>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pPr>
      <w:r>
        <w:rPr>
          <w:rFonts w:hint="eastAsia" w:ascii="仿宋" w:hAnsi="仿宋" w:eastAsia="仿宋"/>
          <w:sz w:val="32"/>
          <w:szCs w:val="32"/>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sz w:val="32"/>
        </w:rPr>
      </w:pPr>
      <w:bookmarkStart w:id="29" w:name="_Toc191892303"/>
      <w:bookmarkStart w:id="30" w:name="_Toc29173"/>
      <w:bookmarkStart w:id="31" w:name="_Toc192925651"/>
      <w:bookmarkStart w:id="32" w:name="_Toc15258"/>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29"/>
      <w:bookmarkEnd w:id="30"/>
      <w:bookmarkEnd w:id="31"/>
      <w:bookmarkEnd w:id="3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bookmarkStart w:id="33" w:name="_Toc191892304"/>
      <w:bookmarkStart w:id="34" w:name="_Toc192925652"/>
    </w:p>
    <w:p>
      <w:pPr>
        <w:rPr>
          <w:rFonts w:ascii="仿宋" w:hAnsi="仿宋" w:eastAsia="仿宋"/>
          <w:sz w:val="32"/>
        </w:rPr>
      </w:pPr>
      <w:bookmarkStart w:id="35" w:name="_Toc25039"/>
      <w:r>
        <w:rPr>
          <w:rFonts w:hint="eastAsia" w:ascii="仿宋" w:hAnsi="仿宋" w:eastAsia="仿宋"/>
          <w:sz w:val="32"/>
        </w:rPr>
        <w:br w:type="page"/>
      </w:r>
    </w:p>
    <w:p>
      <w:pPr>
        <w:pStyle w:val="3"/>
        <w:keepNext w:val="0"/>
        <w:keepLines w:val="0"/>
        <w:spacing w:before="0" w:after="0" w:line="500" w:lineRule="exact"/>
        <w:rPr>
          <w:rFonts w:ascii="仿宋" w:hAnsi="仿宋" w:eastAsia="仿宋"/>
          <w:sz w:val="32"/>
        </w:rPr>
      </w:pPr>
      <w:bookmarkStart w:id="36" w:name="_Toc6654"/>
      <w:r>
        <w:rPr>
          <w:rFonts w:hint="eastAsia" w:ascii="仿宋" w:hAnsi="仿宋" w:eastAsia="仿宋"/>
          <w:sz w:val="32"/>
        </w:rPr>
        <w:t>第二节  招标文件说明</w:t>
      </w:r>
      <w:bookmarkEnd w:id="33"/>
      <w:bookmarkEnd w:id="34"/>
      <w:bookmarkEnd w:id="35"/>
      <w:bookmarkEnd w:id="36"/>
    </w:p>
    <w:p>
      <w:pPr>
        <w:pStyle w:val="4"/>
        <w:keepNext w:val="0"/>
        <w:keepLines w:val="0"/>
        <w:spacing w:before="0" w:after="0" w:line="500" w:lineRule="exact"/>
        <w:ind w:firstLine="643" w:firstLineChars="200"/>
        <w:rPr>
          <w:rFonts w:ascii="仿宋" w:hAnsi="仿宋" w:eastAsia="仿宋"/>
          <w:sz w:val="32"/>
        </w:rPr>
      </w:pPr>
      <w:bookmarkStart w:id="37" w:name="_Toc25477"/>
      <w:bookmarkStart w:id="38" w:name="_Toc191892305"/>
      <w:bookmarkStart w:id="39" w:name="_Toc25332"/>
      <w:bookmarkStart w:id="40" w:name="_Toc192925653"/>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37"/>
      <w:bookmarkEnd w:id="38"/>
      <w:bookmarkEnd w:id="39"/>
      <w:bookmarkEnd w:id="40"/>
    </w:p>
    <w:p>
      <w:pPr>
        <w:ind w:firstLine="640" w:firstLineChars="200"/>
        <w:rPr>
          <w:rFonts w:ascii="仿宋" w:hAnsi="仿宋" w:eastAsia="仿宋"/>
          <w:b/>
          <w:sz w:val="32"/>
        </w:rPr>
      </w:pPr>
      <w:bookmarkStart w:id="41" w:name="_Toc523325149"/>
      <w:bookmarkStart w:id="42" w:name="_Toc523325329"/>
      <w:r>
        <w:rPr>
          <w:rFonts w:hint="eastAsia" w:ascii="仿宋" w:hAnsi="仿宋" w:eastAsia="仿宋"/>
          <w:sz w:val="32"/>
        </w:rPr>
        <w:t>5.1招标文件用以阐明所需货物及服务招标程序和合同主要条款。招标文件由下述主要部分组成：</w:t>
      </w:r>
      <w:bookmarkEnd w:id="41"/>
      <w:bookmarkEnd w:id="42"/>
    </w:p>
    <w:p>
      <w:pPr>
        <w:ind w:firstLine="640" w:firstLineChars="200"/>
        <w:rPr>
          <w:rFonts w:ascii="仿宋" w:hAnsi="仿宋" w:eastAsia="仿宋"/>
          <w:b/>
          <w:sz w:val="32"/>
        </w:rPr>
      </w:pPr>
      <w:bookmarkStart w:id="43" w:name="_Toc523325330"/>
      <w:bookmarkStart w:id="44" w:name="_Toc523325150"/>
      <w:r>
        <w:rPr>
          <w:rFonts w:hint="eastAsia" w:ascii="仿宋" w:hAnsi="仿宋" w:eastAsia="仿宋"/>
          <w:sz w:val="32"/>
        </w:rPr>
        <w:t xml:space="preserve">⑴ </w:t>
      </w:r>
      <w:bookmarkEnd w:id="43"/>
      <w:bookmarkEnd w:id="44"/>
      <w:r>
        <w:rPr>
          <w:rFonts w:hint="eastAsia" w:ascii="仿宋" w:hAnsi="仿宋" w:eastAsia="仿宋"/>
          <w:sz w:val="32"/>
        </w:rPr>
        <w:t>招标公告</w:t>
      </w:r>
    </w:p>
    <w:p>
      <w:pPr>
        <w:ind w:firstLine="640" w:firstLineChars="200"/>
        <w:rPr>
          <w:rFonts w:ascii="仿宋" w:hAnsi="仿宋" w:eastAsia="仿宋"/>
          <w:b/>
          <w:sz w:val="32"/>
        </w:rPr>
      </w:pPr>
      <w:bookmarkStart w:id="45" w:name="_Toc523325151"/>
      <w:bookmarkStart w:id="46" w:name="_Toc523325331"/>
      <w:r>
        <w:rPr>
          <w:rFonts w:hint="eastAsia" w:ascii="仿宋" w:hAnsi="仿宋" w:eastAsia="仿宋"/>
          <w:sz w:val="32"/>
        </w:rPr>
        <w:t>⑵ 投标人须知</w:t>
      </w:r>
      <w:bookmarkEnd w:id="45"/>
      <w:bookmarkEnd w:id="46"/>
    </w:p>
    <w:p>
      <w:pPr>
        <w:ind w:firstLine="640" w:firstLineChars="200"/>
        <w:rPr>
          <w:rFonts w:ascii="仿宋" w:hAnsi="仿宋" w:eastAsia="仿宋"/>
          <w:b/>
          <w:sz w:val="32"/>
        </w:rPr>
      </w:pPr>
      <w:bookmarkStart w:id="47" w:name="_Toc523325332"/>
      <w:bookmarkStart w:id="48" w:name="_Toc523325152"/>
      <w:r>
        <w:rPr>
          <w:rFonts w:hint="eastAsia" w:ascii="仿宋" w:hAnsi="仿宋" w:eastAsia="仿宋"/>
          <w:sz w:val="32"/>
        </w:rPr>
        <w:t>⑶ 招标内容及要求</w:t>
      </w:r>
      <w:bookmarkEnd w:id="47"/>
      <w:bookmarkEnd w:id="48"/>
    </w:p>
    <w:p>
      <w:pPr>
        <w:ind w:firstLine="640" w:firstLineChars="200"/>
        <w:rPr>
          <w:rFonts w:ascii="仿宋" w:hAnsi="仿宋" w:eastAsia="仿宋"/>
          <w:sz w:val="32"/>
        </w:rPr>
      </w:pPr>
      <w:bookmarkStart w:id="49" w:name="_Toc523325153"/>
      <w:bookmarkStart w:id="50" w:name="_Toc523325333"/>
      <w:r>
        <w:rPr>
          <w:rFonts w:hint="eastAsia" w:ascii="仿宋" w:hAnsi="仿宋" w:eastAsia="仿宋"/>
          <w:sz w:val="32"/>
        </w:rPr>
        <w:t>⑷ 投标文件格式</w:t>
      </w:r>
      <w:bookmarkEnd w:id="49"/>
      <w:bookmarkEnd w:id="50"/>
      <w:bookmarkStart w:id="51" w:name="_Toc430422413"/>
      <w:bookmarkStart w:id="52" w:name="_Toc430488644"/>
      <w:bookmarkStart w:id="53" w:name="_Toc415567497"/>
      <w:bookmarkStart w:id="54" w:name="_Toc430488851"/>
      <w:bookmarkStart w:id="55" w:name="_Toc430490612"/>
      <w:bookmarkStart w:id="56" w:name="_Toc191892306"/>
      <w:bookmarkStart w:id="57" w:name="_Toc192925654"/>
      <w:bookmarkStart w:id="58" w:name="_Toc430489119"/>
      <w:bookmarkStart w:id="59" w:name="_Toc430492126"/>
    </w:p>
    <w:p>
      <w:pPr>
        <w:pStyle w:val="4"/>
        <w:keepNext w:val="0"/>
        <w:keepLines w:val="0"/>
        <w:spacing w:before="0" w:after="0" w:line="500" w:lineRule="exact"/>
        <w:ind w:firstLine="643" w:firstLineChars="200"/>
        <w:rPr>
          <w:rFonts w:ascii="仿宋" w:hAnsi="仿宋" w:eastAsia="仿宋"/>
          <w:sz w:val="32"/>
        </w:rPr>
      </w:pPr>
      <w:bookmarkStart w:id="60" w:name="_Toc5661"/>
      <w:bookmarkStart w:id="61" w:name="_Toc23474"/>
      <w:bookmarkStart w:id="62" w:name="_Toc24459"/>
      <w:r>
        <w:rPr>
          <w:rFonts w:ascii="仿宋" w:hAnsi="仿宋" w:eastAsia="仿宋"/>
          <w:sz w:val="32"/>
        </w:rPr>
        <w:t>6. 招标文件的澄清</w:t>
      </w:r>
      <w:bookmarkEnd w:id="60"/>
      <w:bookmarkEnd w:id="61"/>
      <w:bookmarkEnd w:id="62"/>
    </w:p>
    <w:bookmarkEnd w:id="51"/>
    <w:bookmarkEnd w:id="52"/>
    <w:bookmarkEnd w:id="53"/>
    <w:bookmarkEnd w:id="54"/>
    <w:bookmarkEnd w:id="55"/>
    <w:bookmarkEnd w:id="56"/>
    <w:bookmarkEnd w:id="57"/>
    <w:bookmarkEnd w:id="58"/>
    <w:bookmarkEnd w:id="59"/>
    <w:p>
      <w:pPr>
        <w:spacing w:line="500" w:lineRule="exact"/>
        <w:ind w:firstLine="640" w:firstLineChars="200"/>
        <w:rPr>
          <w:rFonts w:ascii="仿宋" w:hAnsi="仿宋" w:eastAsia="仿宋"/>
          <w:sz w:val="32"/>
          <w:szCs w:val="32"/>
        </w:rPr>
      </w:pPr>
      <w:bookmarkStart w:id="63" w:name="_Toc523325155"/>
      <w:bookmarkStart w:id="64" w:name="_Toc523325335"/>
      <w:bookmarkStart w:id="65" w:name="_Toc191892308"/>
      <w:bookmarkStart w:id="66" w:name="_Toc192925656"/>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End w:id="63"/>
      <w:bookmarkEnd w:id="64"/>
      <w:bookmarkStart w:id="67" w:name="_Toc415567498"/>
      <w:bookmarkStart w:id="68" w:name="_Toc430488645"/>
      <w:bookmarkStart w:id="69" w:name="_Toc430492127"/>
      <w:bookmarkStart w:id="70" w:name="_Toc430489120"/>
      <w:bookmarkStart w:id="71" w:name="_Toc430422414"/>
      <w:bookmarkStart w:id="72" w:name="_Toc430490613"/>
      <w:bookmarkStart w:id="73" w:name="_Toc191892307"/>
      <w:bookmarkStart w:id="74" w:name="_Toc430488852"/>
      <w:bookmarkStart w:id="75" w:name="_Toc192925655"/>
    </w:p>
    <w:p>
      <w:pPr>
        <w:pStyle w:val="4"/>
        <w:keepNext w:val="0"/>
        <w:keepLines w:val="0"/>
        <w:spacing w:before="0" w:after="0" w:line="500" w:lineRule="exact"/>
        <w:ind w:firstLine="643" w:firstLineChars="200"/>
        <w:rPr>
          <w:rFonts w:ascii="仿宋" w:hAnsi="仿宋" w:eastAsia="仿宋"/>
          <w:sz w:val="32"/>
        </w:rPr>
      </w:pPr>
      <w:bookmarkStart w:id="76" w:name="_Toc7878"/>
      <w:bookmarkStart w:id="77" w:name="_Toc3481"/>
      <w:bookmarkStart w:id="78" w:name="_Toc22311"/>
      <w:r>
        <w:rPr>
          <w:rFonts w:ascii="仿宋" w:hAnsi="仿宋" w:eastAsia="仿宋"/>
          <w:sz w:val="32"/>
        </w:rPr>
        <w:t xml:space="preserve">7. </w:t>
      </w:r>
      <w:r>
        <w:rPr>
          <w:rFonts w:hint="eastAsia" w:ascii="仿宋" w:hAnsi="仿宋" w:eastAsia="仿宋"/>
          <w:sz w:val="32"/>
        </w:rPr>
        <w:t>招标文件的修改</w:t>
      </w:r>
      <w:bookmarkEnd w:id="67"/>
      <w:bookmarkEnd w:id="68"/>
      <w:bookmarkEnd w:id="69"/>
      <w:bookmarkEnd w:id="70"/>
      <w:bookmarkEnd w:id="71"/>
      <w:bookmarkEnd w:id="72"/>
      <w:bookmarkEnd w:id="73"/>
      <w:bookmarkEnd w:id="74"/>
      <w:bookmarkEnd w:id="75"/>
      <w:bookmarkEnd w:id="76"/>
      <w:bookmarkEnd w:id="77"/>
      <w:bookmarkEnd w:id="78"/>
    </w:p>
    <w:p>
      <w:pPr>
        <w:spacing w:line="500" w:lineRule="exact"/>
        <w:ind w:firstLine="640" w:firstLineChars="200"/>
        <w:rPr>
          <w:rFonts w:ascii="仿宋" w:hAnsi="仿宋" w:eastAsia="仿宋"/>
          <w:sz w:val="32"/>
          <w:szCs w:val="32"/>
        </w:rPr>
      </w:pPr>
      <w:bookmarkStart w:id="79" w:name="_Toc523325157"/>
      <w:bookmarkStart w:id="80"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如采用公开招标），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79"/>
      <w:bookmarkEnd w:id="80"/>
    </w:p>
    <w:p>
      <w:pPr>
        <w:spacing w:line="500" w:lineRule="exact"/>
        <w:ind w:firstLine="640" w:firstLineChars="200"/>
        <w:rPr>
          <w:rFonts w:ascii="仿宋" w:hAnsi="仿宋" w:eastAsia="仿宋"/>
          <w:sz w:val="32"/>
          <w:szCs w:val="32"/>
        </w:rPr>
      </w:pPr>
      <w:bookmarkStart w:id="81" w:name="_Toc523325158"/>
      <w:bookmarkStart w:id="82" w:name="_Toc52332533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如采用公开招标）。该修改内容为招标文件的组成部分。在此情况下，招标人和投标人受投标截止期制约的所有权利和义务均应延长至新的截止日期。</w:t>
      </w:r>
      <w:bookmarkEnd w:id="81"/>
      <w:bookmarkEnd w:id="82"/>
    </w:p>
    <w:p>
      <w:pPr>
        <w:pStyle w:val="3"/>
        <w:keepNext w:val="0"/>
        <w:keepLines w:val="0"/>
        <w:spacing w:before="0" w:after="0" w:line="500" w:lineRule="exact"/>
        <w:rPr>
          <w:rFonts w:ascii="仿宋" w:hAnsi="仿宋" w:eastAsia="仿宋"/>
          <w:sz w:val="32"/>
        </w:rPr>
      </w:pPr>
      <w:bookmarkStart w:id="83" w:name="_Toc22845"/>
      <w:bookmarkStart w:id="84" w:name="_Toc3212"/>
      <w:r>
        <w:rPr>
          <w:rFonts w:hint="eastAsia" w:ascii="仿宋" w:hAnsi="仿宋" w:eastAsia="仿宋"/>
          <w:sz w:val="32"/>
        </w:rPr>
        <w:t>第三节  投标文件的编写</w:t>
      </w:r>
      <w:bookmarkEnd w:id="65"/>
      <w:bookmarkEnd w:id="66"/>
      <w:bookmarkEnd w:id="83"/>
      <w:bookmarkEnd w:id="84"/>
    </w:p>
    <w:p>
      <w:pPr>
        <w:pStyle w:val="4"/>
        <w:keepNext w:val="0"/>
        <w:keepLines w:val="0"/>
        <w:spacing w:before="0" w:after="0" w:line="500" w:lineRule="exact"/>
        <w:ind w:firstLine="643" w:firstLineChars="200"/>
        <w:rPr>
          <w:rFonts w:ascii="仿宋" w:hAnsi="仿宋" w:eastAsia="仿宋"/>
          <w:sz w:val="32"/>
        </w:rPr>
      </w:pPr>
      <w:bookmarkStart w:id="85" w:name="_Toc8558"/>
      <w:bookmarkStart w:id="86" w:name="_Toc192925657"/>
      <w:bookmarkStart w:id="87" w:name="_Toc93"/>
      <w:bookmarkStart w:id="88" w:name="_Toc191892309"/>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85"/>
      <w:bookmarkEnd w:id="86"/>
      <w:bookmarkEnd w:id="87"/>
      <w:bookmarkEnd w:id="88"/>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sz w:val="32"/>
        </w:rPr>
      </w:pPr>
      <w:bookmarkStart w:id="89" w:name="_Toc191892310"/>
      <w:bookmarkStart w:id="90" w:name="_Toc192925658"/>
      <w:bookmarkStart w:id="91" w:name="_Toc2697"/>
      <w:bookmarkStart w:id="92" w:name="_Toc10201"/>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89"/>
      <w:bookmarkEnd w:id="90"/>
      <w:bookmarkEnd w:id="91"/>
      <w:bookmarkEnd w:id="92"/>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sz w:val="32"/>
        </w:rPr>
      </w:pPr>
      <w:bookmarkStart w:id="93" w:name="_Toc192925659"/>
      <w:bookmarkStart w:id="94" w:name="_Toc191892311"/>
      <w:bookmarkStart w:id="95" w:name="_Toc21581"/>
      <w:bookmarkStart w:id="96" w:name="_Toc26190"/>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93"/>
      <w:bookmarkEnd w:id="94"/>
      <w:bookmarkEnd w:id="95"/>
      <w:bookmarkEnd w:id="96"/>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bookmarkStart w:id="97" w:name="_Toc4863"/>
      <w:bookmarkStart w:id="98" w:name="_Toc191892312"/>
      <w:bookmarkStart w:id="99" w:name="_Toc192925660"/>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4建筑垃圾清运服务方案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6技术和商务偏离表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7投标人提交的其它资料</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8投标保证金</w:t>
      </w:r>
    </w:p>
    <w:p>
      <w:pPr>
        <w:pStyle w:val="4"/>
        <w:keepNext w:val="0"/>
        <w:keepLines w:val="0"/>
        <w:spacing w:before="0" w:after="0" w:line="500" w:lineRule="exact"/>
        <w:ind w:firstLine="643" w:firstLineChars="200"/>
        <w:rPr>
          <w:rFonts w:ascii="仿宋" w:hAnsi="仿宋" w:eastAsia="仿宋"/>
          <w:sz w:val="32"/>
        </w:rPr>
      </w:pPr>
      <w:bookmarkStart w:id="100" w:name="_Toc18775"/>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97"/>
      <w:bookmarkEnd w:id="98"/>
      <w:bookmarkEnd w:id="99"/>
      <w:bookmarkEnd w:id="100"/>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rPr>
      </w:pPr>
      <w:bookmarkStart w:id="101" w:name="_Toc192925661"/>
      <w:bookmarkStart w:id="102" w:name="_Toc32045"/>
      <w:bookmarkStart w:id="103" w:name="_Toc4521"/>
      <w:bookmarkStart w:id="104" w:name="_Toc191892313"/>
      <w:r>
        <w:rPr>
          <w:rFonts w:hint="eastAsia" w:ascii="仿宋" w:hAnsi="仿宋" w:eastAsia="仿宋"/>
          <w:sz w:val="32"/>
        </w:rPr>
        <w:t>12. 投标保证金</w:t>
      </w:r>
      <w:bookmarkEnd w:id="101"/>
      <w:bookmarkEnd w:id="102"/>
      <w:bookmarkEnd w:id="103"/>
      <w:bookmarkEnd w:id="104"/>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sz w:val="32"/>
        </w:rPr>
      </w:pPr>
      <w:bookmarkStart w:id="105" w:name="_Toc191892314"/>
      <w:bookmarkStart w:id="106" w:name="_Toc9999"/>
      <w:bookmarkStart w:id="107" w:name="_Toc13454"/>
      <w:bookmarkStart w:id="108" w:name="_Toc192925662"/>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05"/>
      <w:bookmarkEnd w:id="106"/>
      <w:bookmarkEnd w:id="107"/>
      <w:bookmarkEnd w:id="108"/>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09" w:name="_Toc191892315"/>
      <w:bookmarkStart w:id="110" w:name="_Toc11707"/>
      <w:bookmarkStart w:id="111" w:name="_Toc192925663"/>
      <w:bookmarkStart w:id="112" w:name="_Toc6300"/>
      <w:r>
        <w:rPr>
          <w:rFonts w:hint="eastAsia" w:ascii="仿宋" w:hAnsi="仿宋" w:eastAsia="仿宋"/>
          <w:sz w:val="32"/>
        </w:rPr>
        <w:t>第四节  投标文件的提交</w:t>
      </w:r>
      <w:bookmarkEnd w:id="109"/>
      <w:bookmarkEnd w:id="110"/>
      <w:bookmarkEnd w:id="111"/>
      <w:bookmarkEnd w:id="112"/>
    </w:p>
    <w:p>
      <w:pPr>
        <w:pStyle w:val="4"/>
        <w:keepNext w:val="0"/>
        <w:keepLines w:val="0"/>
        <w:spacing w:before="0" w:after="0" w:line="500" w:lineRule="exact"/>
        <w:ind w:firstLine="643" w:firstLineChars="200"/>
        <w:rPr>
          <w:rFonts w:ascii="仿宋" w:hAnsi="仿宋" w:eastAsia="仿宋"/>
          <w:sz w:val="32"/>
        </w:rPr>
      </w:pPr>
      <w:bookmarkStart w:id="113" w:name="_Toc192925664"/>
      <w:bookmarkStart w:id="114" w:name="_Toc18960"/>
      <w:bookmarkStart w:id="115" w:name="_Toc20304"/>
      <w:bookmarkStart w:id="116" w:name="_Toc191892316"/>
      <w:r>
        <w:rPr>
          <w:rFonts w:hint="eastAsia" w:ascii="仿宋" w:hAnsi="仿宋" w:eastAsia="仿宋"/>
          <w:sz w:val="32"/>
        </w:rPr>
        <w:t>14. 投标文件的密封、标记和递交</w:t>
      </w:r>
      <w:bookmarkEnd w:id="113"/>
      <w:bookmarkEnd w:id="114"/>
      <w:bookmarkEnd w:id="115"/>
      <w:bookmarkEnd w:id="116"/>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17" w:name="_Toc192925665"/>
      <w:bookmarkStart w:id="118" w:name="_Toc191892317"/>
    </w:p>
    <w:p>
      <w:pPr>
        <w:spacing w:line="500" w:lineRule="exact"/>
        <w:ind w:firstLine="640" w:firstLineChars="200"/>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19" w:name="_Toc26702"/>
      <w:bookmarkStart w:id="120" w:name="_Toc27443"/>
      <w:r>
        <w:rPr>
          <w:rFonts w:hint="eastAsia" w:ascii="仿宋" w:hAnsi="仿宋" w:eastAsia="仿宋"/>
          <w:sz w:val="32"/>
        </w:rPr>
        <w:t>第五节</w:t>
      </w:r>
      <w:r>
        <w:rPr>
          <w:rFonts w:hint="eastAsia" w:ascii="仿宋" w:hAnsi="仿宋" w:eastAsia="仿宋"/>
          <w:sz w:val="32"/>
          <w:lang w:val="en-US" w:eastAsia="zh-CN"/>
        </w:rPr>
        <w:t xml:space="preserve">  </w:t>
      </w:r>
      <w:r>
        <w:rPr>
          <w:rFonts w:hint="eastAsia" w:ascii="仿宋" w:hAnsi="仿宋" w:eastAsia="仿宋"/>
          <w:sz w:val="32"/>
        </w:rPr>
        <w:t>投标文件的评估和比较</w:t>
      </w:r>
      <w:bookmarkEnd w:id="117"/>
      <w:bookmarkEnd w:id="118"/>
      <w:bookmarkEnd w:id="119"/>
      <w:bookmarkEnd w:id="120"/>
    </w:p>
    <w:p>
      <w:pPr>
        <w:pStyle w:val="4"/>
        <w:keepNext w:val="0"/>
        <w:keepLines w:val="0"/>
        <w:spacing w:before="0" w:after="0" w:line="500" w:lineRule="exact"/>
        <w:ind w:firstLine="643" w:firstLineChars="200"/>
        <w:rPr>
          <w:rFonts w:ascii="仿宋" w:hAnsi="仿宋" w:eastAsia="仿宋"/>
          <w:sz w:val="32"/>
        </w:rPr>
      </w:pPr>
      <w:bookmarkStart w:id="121" w:name="_Toc191892318"/>
      <w:bookmarkStart w:id="122" w:name="_Toc29010"/>
      <w:bookmarkStart w:id="123" w:name="_Toc192925666"/>
      <w:bookmarkStart w:id="124" w:name="_Toc21362"/>
      <w:r>
        <w:rPr>
          <w:rFonts w:hint="eastAsia" w:ascii="仿宋" w:hAnsi="仿宋" w:eastAsia="仿宋"/>
          <w:sz w:val="32"/>
        </w:rPr>
        <w:t>15．开标、评标时间</w:t>
      </w:r>
      <w:bookmarkEnd w:id="121"/>
      <w:bookmarkEnd w:id="122"/>
      <w:bookmarkEnd w:id="123"/>
      <w:bookmarkEnd w:id="124"/>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sz w:val="32"/>
          <w:szCs w:val="32"/>
        </w:rPr>
        <w:t>最低投标价法</w:t>
      </w:r>
      <w:r>
        <w:rPr>
          <w:rFonts w:hint="eastAsia" w:ascii="仿宋" w:hAnsi="仿宋" w:eastAsia="仿宋"/>
          <w:color w:val="000000" w:themeColor="text1"/>
          <w:sz w:val="32"/>
          <w:szCs w:val="32"/>
          <w14:textFill>
            <w14:solidFill>
              <w14:schemeClr w14:val="tx1"/>
            </w14:solidFill>
          </w14:textFill>
        </w:rPr>
        <w:t>评选方法评定，公司纪检人员进行监督。</w:t>
      </w:r>
    </w:p>
    <w:p>
      <w:pPr>
        <w:pStyle w:val="4"/>
        <w:keepNext w:val="0"/>
        <w:keepLines w:val="0"/>
        <w:spacing w:before="0" w:after="0" w:line="500" w:lineRule="exact"/>
        <w:ind w:firstLine="643" w:firstLineChars="200"/>
        <w:rPr>
          <w:rFonts w:ascii="仿宋" w:hAnsi="仿宋" w:eastAsia="仿宋"/>
          <w:sz w:val="32"/>
        </w:rPr>
      </w:pPr>
      <w:bookmarkStart w:id="125" w:name="_Toc32401"/>
      <w:bookmarkStart w:id="126" w:name="_Toc26462"/>
      <w:r>
        <w:rPr>
          <w:rFonts w:hint="eastAsia" w:ascii="仿宋" w:hAnsi="仿宋" w:eastAsia="仿宋"/>
          <w:sz w:val="32"/>
        </w:rPr>
        <w:t>16．评标委员会</w:t>
      </w:r>
      <w:bookmarkEnd w:id="125"/>
      <w:bookmarkEnd w:id="126"/>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sz w:val="32"/>
        </w:rPr>
      </w:pPr>
      <w:bookmarkStart w:id="127" w:name="_Toc12591"/>
      <w:bookmarkStart w:id="128" w:name="_Toc191892320"/>
      <w:bookmarkStart w:id="129" w:name="_Toc30400"/>
      <w:bookmarkStart w:id="130" w:name="_Toc192925668"/>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27"/>
      <w:bookmarkEnd w:id="128"/>
      <w:bookmarkEnd w:id="129"/>
      <w:bookmarkEnd w:id="130"/>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sz w:val="32"/>
        </w:rPr>
      </w:pPr>
      <w:bookmarkStart w:id="131" w:name="_Toc17818"/>
      <w:bookmarkStart w:id="132" w:name="_Toc7861"/>
      <w:r>
        <w:rPr>
          <w:rFonts w:hint="eastAsia" w:ascii="仿宋" w:hAnsi="仿宋" w:eastAsia="仿宋"/>
          <w:sz w:val="32"/>
        </w:rPr>
        <w:t>18.评标办法</w:t>
      </w:r>
      <w:bookmarkEnd w:id="131"/>
      <w:bookmarkEnd w:id="132"/>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本次招标采用最低投标价法评标。</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18.1.评标办法</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sz w:val="32"/>
        </w:rPr>
      </w:pPr>
      <w:r>
        <w:rPr>
          <w:rFonts w:hint="eastAsia" w:ascii="仿宋" w:hAnsi="仿宋" w:eastAsia="仿宋"/>
          <w:b/>
          <w:sz w:val="32"/>
        </w:rPr>
        <w:t>18.2.推荐中标候选人原则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评标委员会根据各有效投标人的投标价格，由低到高顺序推荐中标候选人。</w:t>
      </w:r>
    </w:p>
    <w:p>
      <w:pPr>
        <w:widowControl/>
        <w:adjustRightInd w:val="0"/>
        <w:snapToGrid w:val="0"/>
        <w:spacing w:before="60" w:beforeLines="25" w:after="60" w:afterLines="25" w:line="500" w:lineRule="exact"/>
        <w:ind w:firstLine="640" w:firstLineChars="200"/>
        <w:rPr>
          <w:rFonts w:ascii="仿宋" w:hAnsi="仿宋" w:eastAsia="仿宋"/>
          <w:sz w:val="32"/>
          <w:szCs w:val="32"/>
          <w:u w:val="single"/>
        </w:rPr>
      </w:pPr>
      <w:r>
        <w:rPr>
          <w:rFonts w:hint="eastAsia" w:ascii="仿宋" w:hAnsi="仿宋" w:eastAsia="仿宋"/>
          <w:sz w:val="32"/>
          <w:szCs w:val="32"/>
        </w:rPr>
        <w:t>投标报价相同的，</w:t>
      </w:r>
      <w:r>
        <w:rPr>
          <w:rFonts w:hint="eastAsia" w:ascii="仿宋" w:hAnsi="仿宋" w:eastAsia="仿宋" w:cs="华文细黑"/>
          <w:sz w:val="32"/>
          <w:szCs w:val="32"/>
        </w:rPr>
        <w:t>按技术指标优劣（公司合格供方优先）顺序排列。</w:t>
      </w:r>
    </w:p>
    <w:p>
      <w:pPr>
        <w:ind w:firstLine="643" w:firstLineChars="200"/>
        <w:rPr>
          <w:rFonts w:ascii="仿宋" w:hAnsi="仿宋" w:eastAsia="仿宋"/>
          <w:b/>
          <w:sz w:val="32"/>
        </w:rPr>
      </w:pP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sz w:val="32"/>
        </w:rPr>
      </w:pPr>
      <w:bookmarkStart w:id="133" w:name="_Toc192925669"/>
      <w:bookmarkStart w:id="134" w:name="_Toc1721"/>
      <w:bookmarkStart w:id="135" w:name="_Toc191892321"/>
      <w:bookmarkStart w:id="136" w:name="_Toc18607"/>
      <w:r>
        <w:rPr>
          <w:rFonts w:hint="eastAsia" w:ascii="仿宋" w:hAnsi="仿宋" w:eastAsia="仿宋"/>
          <w:sz w:val="32"/>
        </w:rPr>
        <w:t>19. 投标文件的澄清</w:t>
      </w:r>
      <w:bookmarkEnd w:id="133"/>
      <w:bookmarkEnd w:id="134"/>
      <w:bookmarkEnd w:id="135"/>
      <w:bookmarkEnd w:id="136"/>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sz w:val="32"/>
        </w:rPr>
      </w:pPr>
      <w:bookmarkStart w:id="137" w:name="_Toc192925670"/>
      <w:bookmarkStart w:id="138" w:name="_Toc191892322"/>
      <w:bookmarkStart w:id="139" w:name="_Toc3145"/>
      <w:bookmarkStart w:id="140" w:name="_Toc11018"/>
      <w:r>
        <w:rPr>
          <w:rFonts w:hint="eastAsia" w:ascii="仿宋" w:hAnsi="仿宋" w:eastAsia="仿宋"/>
          <w:sz w:val="32"/>
        </w:rPr>
        <w:t>20. 比较与评价</w:t>
      </w:r>
      <w:bookmarkEnd w:id="137"/>
      <w:bookmarkEnd w:id="138"/>
      <w:bookmarkEnd w:id="139"/>
      <w:bookmarkEnd w:id="140"/>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sz w:val="32"/>
        </w:rPr>
      </w:pPr>
      <w:bookmarkStart w:id="141" w:name="_Toc31570"/>
      <w:bookmarkStart w:id="142" w:name="_Toc27394"/>
      <w:bookmarkStart w:id="143" w:name="_Toc192925671"/>
      <w:bookmarkStart w:id="144" w:name="_Toc191892323"/>
      <w:r>
        <w:rPr>
          <w:rFonts w:hint="eastAsia" w:ascii="仿宋" w:hAnsi="仿宋" w:eastAsia="仿宋"/>
          <w:sz w:val="32"/>
        </w:rPr>
        <w:t>第六节 定标与签订合同</w:t>
      </w:r>
      <w:bookmarkEnd w:id="141"/>
      <w:bookmarkEnd w:id="142"/>
      <w:bookmarkEnd w:id="143"/>
      <w:bookmarkEnd w:id="144"/>
    </w:p>
    <w:p>
      <w:pPr>
        <w:pStyle w:val="4"/>
        <w:keepNext w:val="0"/>
        <w:keepLines w:val="0"/>
        <w:spacing w:before="0" w:after="0" w:line="500" w:lineRule="exact"/>
        <w:ind w:firstLine="643" w:firstLineChars="200"/>
        <w:rPr>
          <w:rFonts w:ascii="仿宋" w:hAnsi="仿宋" w:eastAsia="仿宋"/>
          <w:sz w:val="32"/>
        </w:rPr>
      </w:pPr>
      <w:bookmarkStart w:id="145" w:name="_Toc192925672"/>
      <w:bookmarkStart w:id="146" w:name="_Toc7140"/>
      <w:bookmarkStart w:id="147" w:name="_Toc191892324"/>
      <w:bookmarkStart w:id="148" w:name="_Toc25098"/>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145"/>
      <w:bookmarkEnd w:id="146"/>
      <w:bookmarkEnd w:id="147"/>
      <w:bookmarkEnd w:id="14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sz w:val="32"/>
        </w:rPr>
      </w:pPr>
      <w:bookmarkStart w:id="149" w:name="_Toc191892325"/>
      <w:bookmarkStart w:id="150" w:name="_Toc192925673"/>
      <w:bookmarkStart w:id="151" w:name="_Toc24477"/>
      <w:bookmarkStart w:id="152" w:name="_Toc24328"/>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149"/>
      <w:bookmarkEnd w:id="150"/>
      <w:bookmarkEnd w:id="151"/>
      <w:bookmarkEnd w:id="152"/>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sz w:val="32"/>
        </w:rPr>
      </w:pPr>
      <w:bookmarkStart w:id="153" w:name="_Toc22290"/>
      <w:bookmarkStart w:id="154" w:name="_Toc11963"/>
      <w:bookmarkStart w:id="155" w:name="_Toc191892326"/>
      <w:bookmarkStart w:id="156" w:name="_Toc192925674"/>
      <w:r>
        <w:rPr>
          <w:rFonts w:hint="eastAsia" w:ascii="仿宋" w:hAnsi="仿宋" w:eastAsia="仿宋"/>
          <w:sz w:val="32"/>
        </w:rPr>
        <w:t>23. 签订合同</w:t>
      </w:r>
      <w:bookmarkEnd w:id="153"/>
      <w:bookmarkEnd w:id="154"/>
      <w:bookmarkEnd w:id="155"/>
      <w:bookmarkEnd w:id="156"/>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szCs w:val="32"/>
        </w:rPr>
      </w:pPr>
      <w:r>
        <w:rPr>
          <w:rFonts w:ascii="仿宋" w:hAnsi="仿宋" w:eastAsia="仿宋"/>
        </w:rPr>
        <w:br w:type="page"/>
      </w:r>
      <w:bookmarkStart w:id="157" w:name="_Toc25804"/>
      <w:bookmarkStart w:id="158" w:name="_Toc20484"/>
      <w:r>
        <w:rPr>
          <w:rFonts w:hint="eastAsia" w:ascii="仿宋" w:hAnsi="仿宋" w:eastAsia="仿宋"/>
          <w:szCs w:val="32"/>
        </w:rPr>
        <w:t>第三章　招标内容及要求</w:t>
      </w:r>
      <w:bookmarkEnd w:id="157"/>
      <w:bookmarkEnd w:id="158"/>
    </w:p>
    <w:p>
      <w:pPr>
        <w:rPr>
          <w:sz w:val="32"/>
          <w:szCs w:val="32"/>
        </w:rPr>
      </w:pPr>
    </w:p>
    <w:p>
      <w:pPr>
        <w:pStyle w:val="3"/>
        <w:keepNext w:val="0"/>
        <w:keepLines w:val="0"/>
        <w:spacing w:before="0" w:after="0" w:line="360" w:lineRule="auto"/>
        <w:jc w:val="center"/>
        <w:rPr>
          <w:rFonts w:ascii="仿宋" w:hAnsi="仿宋" w:eastAsia="仿宋"/>
          <w:sz w:val="32"/>
        </w:rPr>
      </w:pPr>
      <w:bookmarkStart w:id="159" w:name="_Toc10122"/>
      <w:bookmarkStart w:id="160" w:name="_Toc4525"/>
      <w:r>
        <w:rPr>
          <w:rFonts w:hint="eastAsia" w:ascii="仿宋" w:hAnsi="仿宋" w:eastAsia="仿宋"/>
          <w:sz w:val="32"/>
        </w:rPr>
        <w:t>第一节 项目需求</w:t>
      </w:r>
      <w:bookmarkEnd w:id="159"/>
      <w:bookmarkEnd w:id="160"/>
    </w:p>
    <w:p>
      <w:pPr>
        <w:spacing w:line="500" w:lineRule="exact"/>
        <w:ind w:firstLine="643" w:firstLineChars="200"/>
        <w:rPr>
          <w:rFonts w:ascii="仿宋" w:hAnsi="仿宋" w:eastAsia="仿宋"/>
          <w:b/>
          <w:sz w:val="32"/>
          <w:szCs w:val="32"/>
        </w:rPr>
      </w:pPr>
      <w:bookmarkStart w:id="161" w:name="_bookmark18"/>
      <w:bookmarkEnd w:id="161"/>
      <w:r>
        <w:rPr>
          <w:rFonts w:hint="eastAsia" w:ascii="仿宋" w:hAnsi="仿宋" w:eastAsia="仿宋"/>
          <w:b/>
          <w:sz w:val="32"/>
          <w:szCs w:val="32"/>
        </w:rPr>
        <w:t>一、项目基本情况概述</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国贸学原</w:t>
      </w:r>
      <w:r>
        <w:rPr>
          <w:rFonts w:hint="eastAsia" w:ascii="仿宋" w:hAnsi="仿宋" w:eastAsia="仿宋"/>
          <w:sz w:val="32"/>
          <w:szCs w:val="32"/>
          <w:lang w:eastAsia="zh-CN"/>
        </w:rPr>
        <w:t>二期</w:t>
      </w:r>
      <w:r>
        <w:rPr>
          <w:rFonts w:hint="eastAsia" w:ascii="仿宋" w:hAnsi="仿宋" w:eastAsia="仿宋"/>
          <w:sz w:val="32"/>
          <w:szCs w:val="32"/>
        </w:rPr>
        <w:t>位于福州市闽侯县，本物业由厦门国贸城市服务集团股份有限公司进行管理，项目占地面积51916.06㎡，总建筑面积192788.19㎡，其中住宅建筑面积103724.28㎡（不含公租房），地下室面积为444468.84㎡。项目绿地率35%，绿地面积18172.37㎡。项目分</w:t>
      </w:r>
      <w:r>
        <w:rPr>
          <w:rFonts w:hint="eastAsia" w:ascii="仿宋" w:hAnsi="仿宋" w:eastAsia="仿宋"/>
          <w:sz w:val="32"/>
          <w:szCs w:val="32"/>
          <w:lang w:val="en-US" w:eastAsia="zh-CN"/>
        </w:rPr>
        <w:t>二</w:t>
      </w:r>
      <w:r>
        <w:rPr>
          <w:rFonts w:hint="eastAsia" w:ascii="仿宋" w:hAnsi="仿宋" w:eastAsia="仿宋"/>
          <w:sz w:val="32"/>
          <w:szCs w:val="32"/>
        </w:rPr>
        <w:t>个地块，共</w:t>
      </w:r>
      <w:r>
        <w:rPr>
          <w:rFonts w:hint="eastAsia" w:ascii="仿宋" w:hAnsi="仿宋" w:eastAsia="仿宋"/>
          <w:sz w:val="32"/>
          <w:szCs w:val="32"/>
          <w:lang w:val="en-US" w:eastAsia="zh-CN"/>
        </w:rPr>
        <w:t>9</w:t>
      </w:r>
      <w:r>
        <w:rPr>
          <w:rFonts w:hint="eastAsia" w:ascii="仿宋" w:hAnsi="仿宋" w:eastAsia="仿宋"/>
          <w:sz w:val="32"/>
          <w:szCs w:val="32"/>
        </w:rPr>
        <w:t>栋楼（不含公租房），1</w:t>
      </w:r>
      <w:r>
        <w:rPr>
          <w:rFonts w:hint="eastAsia" w:ascii="仿宋" w:hAnsi="仿宋" w:eastAsia="仿宋"/>
          <w:sz w:val="32"/>
          <w:szCs w:val="32"/>
          <w:lang w:val="en-US" w:eastAsia="zh-CN"/>
        </w:rPr>
        <w:t>248</w:t>
      </w:r>
      <w:r>
        <w:rPr>
          <w:rFonts w:hint="eastAsia" w:ascii="仿宋" w:hAnsi="仿宋" w:eastAsia="仿宋"/>
          <w:sz w:val="32"/>
          <w:szCs w:val="32"/>
        </w:rPr>
        <w:t>户住宅（不含公租房）。</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二、建筑垃圾清运范围</w:t>
      </w:r>
    </w:p>
    <w:p>
      <w:pPr>
        <w:spacing w:line="500" w:lineRule="exact"/>
        <w:ind w:firstLine="640" w:firstLineChars="200"/>
        <w:rPr>
          <w:rFonts w:ascii="仿宋" w:hAnsi="仿宋" w:eastAsia="仿宋"/>
          <w:color w:val="auto"/>
          <w:sz w:val="32"/>
          <w:szCs w:val="32"/>
        </w:rPr>
      </w:pPr>
      <w:r>
        <w:rPr>
          <w:rFonts w:hint="eastAsia" w:ascii="仿宋" w:hAnsi="仿宋" w:eastAsia="仿宋" w:cs="仿宋"/>
          <w:color w:val="auto"/>
          <w:kern w:val="0"/>
          <w:sz w:val="32"/>
          <w:szCs w:val="32"/>
          <w:lang w:val="en-US" w:eastAsia="zh-CN" w:bidi="ar"/>
        </w:rPr>
        <w:t>新项目</w:t>
      </w:r>
      <w:r>
        <w:rPr>
          <w:rFonts w:hint="eastAsia" w:ascii="仿宋" w:hAnsi="仿宋" w:eastAsia="仿宋" w:cs="仿宋"/>
          <w:color w:val="auto"/>
          <w:kern w:val="0"/>
          <w:sz w:val="32"/>
          <w:szCs w:val="32"/>
          <w:lang w:bidi="ar"/>
        </w:rPr>
        <w:t>交付</w:t>
      </w:r>
      <w:r>
        <w:rPr>
          <w:rFonts w:hint="eastAsia" w:ascii="仿宋" w:hAnsi="仿宋" w:eastAsia="仿宋" w:cs="仿宋"/>
          <w:color w:val="auto"/>
          <w:kern w:val="0"/>
          <w:sz w:val="32"/>
          <w:szCs w:val="32"/>
          <w:lang w:val="en-US" w:eastAsia="zh-CN" w:bidi="ar"/>
        </w:rPr>
        <w:t>三年</w:t>
      </w:r>
      <w:r>
        <w:rPr>
          <w:rFonts w:hint="eastAsia" w:ascii="仿宋" w:hAnsi="仿宋" w:eastAsia="仿宋" w:cs="仿宋"/>
          <w:color w:val="auto"/>
          <w:kern w:val="0"/>
          <w:sz w:val="32"/>
          <w:szCs w:val="32"/>
          <w:lang w:bidi="ar"/>
        </w:rPr>
        <w:t>装修</w:t>
      </w:r>
      <w:r>
        <w:rPr>
          <w:rFonts w:hint="eastAsia" w:ascii="仿宋" w:hAnsi="仿宋" w:eastAsia="仿宋" w:cs="仿宋"/>
          <w:color w:val="auto"/>
          <w:kern w:val="0"/>
          <w:sz w:val="32"/>
          <w:szCs w:val="32"/>
          <w:lang w:val="en-US" w:eastAsia="zh-CN" w:bidi="ar"/>
        </w:rPr>
        <w:t>率按85</w:t>
      </w:r>
      <w:r>
        <w:rPr>
          <w:rFonts w:hint="eastAsia" w:ascii="仿宋" w:hAnsi="仿宋" w:eastAsia="仿宋" w:cs="仿宋"/>
          <w:color w:val="auto"/>
          <w:kern w:val="0"/>
          <w:sz w:val="32"/>
          <w:szCs w:val="32"/>
          <w:lang w:bidi="ar"/>
        </w:rPr>
        <w:t>%</w:t>
      </w:r>
      <w:r>
        <w:rPr>
          <w:rFonts w:hint="eastAsia" w:ascii="仿宋" w:hAnsi="仿宋" w:eastAsia="仿宋" w:cs="仿宋"/>
          <w:color w:val="auto"/>
          <w:kern w:val="0"/>
          <w:sz w:val="32"/>
          <w:szCs w:val="32"/>
          <w:lang w:val="en-US" w:eastAsia="zh-CN" w:bidi="ar"/>
        </w:rPr>
        <w:t>计算，则合同期内预计装修住宅建筑</w:t>
      </w:r>
      <w:r>
        <w:rPr>
          <w:rFonts w:hint="eastAsia" w:ascii="仿宋" w:hAnsi="仿宋" w:eastAsia="仿宋"/>
          <w:color w:val="auto"/>
          <w:sz w:val="32"/>
          <w:szCs w:val="32"/>
        </w:rPr>
        <w:t>面积</w:t>
      </w:r>
      <w:r>
        <w:rPr>
          <w:rFonts w:hint="eastAsia" w:ascii="仿宋" w:hAnsi="仿宋" w:eastAsia="仿宋"/>
          <w:color w:val="auto"/>
          <w:sz w:val="32"/>
          <w:szCs w:val="32"/>
          <w:lang w:val="en-US" w:eastAsia="zh-CN"/>
        </w:rPr>
        <w:t>约为103724.28</w:t>
      </w:r>
      <w:r>
        <w:rPr>
          <w:rFonts w:hint="eastAsia" w:ascii="仿宋" w:hAnsi="仿宋" w:eastAsia="仿宋" w:cs="仿宋"/>
          <w:bCs/>
          <w:color w:val="auto"/>
          <w:sz w:val="32"/>
          <w:szCs w:val="32"/>
        </w:rPr>
        <w:t>㎡（不含公租房）</w:t>
      </w:r>
      <w:r>
        <w:rPr>
          <w:rFonts w:hint="eastAsia" w:ascii="仿宋" w:hAnsi="仿宋" w:eastAsia="仿宋"/>
          <w:color w:val="auto"/>
          <w:sz w:val="32"/>
          <w:szCs w:val="32"/>
        </w:rPr>
        <w:t>。</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三、招标范围和内容</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（一）装修垃圾清运</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1、福州国贸学原</w:t>
      </w:r>
      <w:r>
        <w:rPr>
          <w:rFonts w:hint="eastAsia" w:ascii="仿宋" w:hAnsi="仿宋" w:eastAsia="仿宋" w:cs="仿宋"/>
          <w:bCs/>
          <w:sz w:val="32"/>
          <w:szCs w:val="32"/>
          <w:lang w:eastAsia="zh-CN"/>
        </w:rPr>
        <w:t>二期</w:t>
      </w:r>
      <w:r>
        <w:rPr>
          <w:rFonts w:hint="eastAsia" w:ascii="仿宋" w:hAnsi="仿宋" w:eastAsia="仿宋" w:cs="仿宋"/>
          <w:bCs/>
          <w:sz w:val="32"/>
          <w:szCs w:val="32"/>
        </w:rPr>
        <w:t>项目装修垃圾主要指标</w:t>
      </w:r>
    </w:p>
    <w:tbl>
      <w:tblPr>
        <w:tblStyle w:val="16"/>
        <w:tblpPr w:leftFromText="180" w:rightFromText="180" w:vertAnchor="text" w:horzAnchor="page" w:tblpX="2483" w:tblpY="126"/>
        <w:tblOverlap w:val="never"/>
        <w:tblW w:w="7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437" w:type="dxa"/>
            <w:vAlign w:val="center"/>
          </w:tcPr>
          <w:p>
            <w:pPr>
              <w:spacing w:line="50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服务项目</w:t>
            </w:r>
          </w:p>
        </w:tc>
        <w:tc>
          <w:tcPr>
            <w:tcW w:w="3613" w:type="dxa"/>
            <w:vAlign w:val="center"/>
          </w:tcPr>
          <w:p>
            <w:pPr>
              <w:spacing w:line="500" w:lineRule="exact"/>
              <w:jc w:val="center"/>
              <w:rPr>
                <w:rFonts w:ascii="仿宋" w:hAnsi="仿宋" w:eastAsia="仿宋" w:cs="仿宋"/>
                <w:bCs/>
                <w:sz w:val="32"/>
                <w:szCs w:val="32"/>
              </w:rPr>
            </w:pPr>
            <w:r>
              <w:rPr>
                <w:rFonts w:hint="eastAsia" w:ascii="仿宋" w:hAnsi="仿宋" w:eastAsia="仿宋" w:cs="仿宋"/>
                <w:bCs/>
                <w:sz w:val="32"/>
                <w:szCs w:val="32"/>
              </w:rPr>
              <w:t>住宅建筑面积（㎡）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437" w:type="dxa"/>
            <w:vAlign w:val="center"/>
          </w:tcPr>
          <w:p>
            <w:pPr>
              <w:spacing w:line="500" w:lineRule="exact"/>
              <w:jc w:val="left"/>
              <w:rPr>
                <w:rFonts w:ascii="仿宋" w:hAnsi="仿宋" w:eastAsia="仿宋" w:cs="仿宋"/>
                <w:bCs/>
                <w:sz w:val="32"/>
                <w:szCs w:val="32"/>
              </w:rPr>
            </w:pPr>
            <w:r>
              <w:rPr>
                <w:rFonts w:hint="eastAsia" w:ascii="仿宋" w:hAnsi="仿宋" w:eastAsia="仿宋" w:cs="仿宋"/>
                <w:bCs/>
                <w:sz w:val="32"/>
                <w:szCs w:val="32"/>
              </w:rPr>
              <w:t>福州国贸学原</w:t>
            </w:r>
            <w:r>
              <w:rPr>
                <w:rFonts w:hint="eastAsia" w:ascii="仿宋" w:hAnsi="仿宋" w:eastAsia="仿宋" w:cs="仿宋"/>
                <w:bCs/>
                <w:sz w:val="32"/>
                <w:szCs w:val="32"/>
                <w:lang w:eastAsia="zh-CN"/>
              </w:rPr>
              <w:t>二期</w:t>
            </w:r>
            <w:r>
              <w:rPr>
                <w:rFonts w:hint="eastAsia" w:ascii="仿宋" w:hAnsi="仿宋" w:eastAsia="仿宋" w:cs="仿宋"/>
                <w:bCs/>
                <w:sz w:val="32"/>
                <w:szCs w:val="32"/>
              </w:rPr>
              <w:t>项目</w:t>
            </w:r>
          </w:p>
        </w:tc>
        <w:tc>
          <w:tcPr>
            <w:tcW w:w="3613" w:type="dxa"/>
            <w:vAlign w:val="center"/>
          </w:tcPr>
          <w:p>
            <w:pPr>
              <w:spacing w:line="500" w:lineRule="exact"/>
              <w:jc w:val="center"/>
              <w:rPr>
                <w:rFonts w:ascii="仿宋" w:hAnsi="仿宋" w:eastAsia="仿宋" w:cs="仿宋"/>
                <w:bCs/>
                <w:sz w:val="32"/>
                <w:szCs w:val="32"/>
              </w:rPr>
            </w:pPr>
            <w:r>
              <w:rPr>
                <w:rFonts w:hint="eastAsia" w:ascii="仿宋" w:hAnsi="仿宋" w:eastAsia="仿宋" w:cs="仿宋"/>
                <w:bCs/>
                <w:color w:val="auto"/>
                <w:sz w:val="32"/>
                <w:szCs w:val="32"/>
              </w:rPr>
              <w:t>约103724.28㎡</w:t>
            </w:r>
          </w:p>
        </w:tc>
      </w:tr>
    </w:tbl>
    <w:p>
      <w:pPr>
        <w:spacing w:line="500" w:lineRule="exact"/>
        <w:ind w:firstLine="640" w:firstLineChars="200"/>
        <w:rPr>
          <w:rFonts w:ascii="仿宋" w:hAnsi="仿宋" w:eastAsia="仿宋" w:cs="仿宋"/>
          <w:bCs/>
          <w:sz w:val="32"/>
          <w:szCs w:val="32"/>
        </w:rPr>
      </w:pPr>
    </w:p>
    <w:p>
      <w:pPr>
        <w:spacing w:line="500" w:lineRule="exact"/>
        <w:ind w:firstLine="640" w:firstLineChars="200"/>
        <w:rPr>
          <w:rFonts w:ascii="仿宋" w:hAnsi="仿宋" w:eastAsia="仿宋" w:cs="仿宋"/>
          <w:bCs/>
          <w:sz w:val="32"/>
          <w:szCs w:val="32"/>
        </w:rPr>
      </w:pPr>
    </w:p>
    <w:p>
      <w:pPr>
        <w:spacing w:line="500" w:lineRule="exact"/>
        <w:rPr>
          <w:rFonts w:ascii="仿宋" w:hAnsi="仿宋" w:eastAsia="仿宋" w:cs="仿宋"/>
          <w:bCs/>
          <w:sz w:val="32"/>
          <w:szCs w:val="32"/>
        </w:rPr>
      </w:pP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2、装修垃圾清运的内容和要求</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（1）报价含税金额。</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（2）付款进度：根据业主装修进度进行结算（①完成土建支付50%;②完成木工、油漆、软装收尾工作，并验收完工，支付剩余的50%）；结算周期：3个自然月为一个周期。</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（3）付款方式：以银行转账方式。</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（4）投标报价为总包价，应含垃圾装车费、运输费、卸车费、垃圾装卸点场地清理、场地围挡及地面保护方案（方案须经福州国贸学原</w:t>
      </w:r>
      <w:r>
        <w:rPr>
          <w:rFonts w:hint="eastAsia" w:ascii="仿宋" w:hAnsi="仿宋" w:eastAsia="仿宋" w:cs="仿宋"/>
          <w:bCs/>
          <w:sz w:val="32"/>
          <w:szCs w:val="32"/>
          <w:lang w:eastAsia="zh-CN"/>
        </w:rPr>
        <w:t>二期</w:t>
      </w:r>
      <w:r>
        <w:rPr>
          <w:rFonts w:hint="eastAsia" w:ascii="仿宋" w:hAnsi="仿宋" w:eastAsia="仿宋" w:cs="仿宋"/>
          <w:bCs/>
          <w:sz w:val="32"/>
          <w:szCs w:val="32"/>
        </w:rPr>
        <w:t>项目服务中心审批）、清运通道开辟及后期拆除的场地恢复等全部费用和因垃圾清运所产生的一切安全及纠纷解决费用。</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3、装修垃圾清运要求</w:t>
      </w:r>
    </w:p>
    <w:tbl>
      <w:tblPr>
        <w:tblStyle w:val="16"/>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2376" w:type="dxa"/>
            <w:vMerge w:val="restart"/>
            <w:vAlign w:val="center"/>
          </w:tcPr>
          <w:p>
            <w:pPr>
              <w:spacing w:line="500" w:lineRule="exact"/>
              <w:jc w:val="center"/>
              <w:rPr>
                <w:rFonts w:ascii="仿宋" w:hAnsi="仿宋" w:eastAsia="仿宋" w:cs="仿宋"/>
                <w:bCs/>
                <w:sz w:val="32"/>
                <w:szCs w:val="32"/>
              </w:rPr>
            </w:pPr>
            <w:r>
              <w:rPr>
                <w:rFonts w:hint="eastAsia" w:ascii="仿宋" w:hAnsi="仿宋" w:eastAsia="仿宋" w:cs="仿宋"/>
                <w:bCs/>
                <w:sz w:val="32"/>
                <w:szCs w:val="32"/>
              </w:rPr>
              <w:t>清运标准</w:t>
            </w:r>
          </w:p>
        </w:tc>
        <w:tc>
          <w:tcPr>
            <w:tcW w:w="7105" w:type="dxa"/>
            <w:vAlign w:val="center"/>
          </w:tcPr>
          <w:p>
            <w:pPr>
              <w:spacing w:line="500" w:lineRule="exact"/>
              <w:rPr>
                <w:rFonts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需设立2个</w:t>
            </w:r>
            <w:r>
              <w:rPr>
                <w:rFonts w:hint="eastAsia" w:ascii="仿宋" w:hAnsi="仿宋" w:eastAsia="仿宋" w:cs="仿宋"/>
                <w:bCs/>
                <w:sz w:val="32"/>
                <w:szCs w:val="32"/>
              </w:rPr>
              <w:t>垃圾堆放点</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堆放点</w:t>
            </w:r>
            <w:r>
              <w:rPr>
                <w:rFonts w:hint="eastAsia" w:ascii="仿宋" w:hAnsi="仿宋" w:eastAsia="仿宋" w:cs="仿宋"/>
                <w:bCs/>
                <w:sz w:val="32"/>
                <w:szCs w:val="32"/>
              </w:rPr>
              <w:t>的堆放饱和度不超过60%；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2376" w:type="dxa"/>
            <w:vMerge w:val="continue"/>
            <w:vAlign w:val="center"/>
          </w:tcPr>
          <w:p>
            <w:pPr>
              <w:spacing w:line="500" w:lineRule="exact"/>
              <w:ind w:firstLine="640" w:firstLineChars="200"/>
              <w:rPr>
                <w:rFonts w:ascii="仿宋" w:hAnsi="仿宋" w:eastAsia="仿宋" w:cs="仿宋"/>
                <w:b w:val="0"/>
                <w:bCs/>
                <w:color w:val="auto"/>
                <w:sz w:val="32"/>
                <w:szCs w:val="32"/>
              </w:rPr>
            </w:pPr>
          </w:p>
        </w:tc>
        <w:tc>
          <w:tcPr>
            <w:tcW w:w="7105" w:type="dxa"/>
            <w:vAlign w:val="center"/>
          </w:tcPr>
          <w:p>
            <w:pPr>
              <w:spacing w:line="500" w:lineRule="exact"/>
              <w:rPr>
                <w:rFonts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ascii="仿宋" w:hAnsi="仿宋" w:eastAsia="仿宋" w:cs="仿宋"/>
                <w:b w:val="0"/>
                <w:bCs/>
                <w:color w:val="auto"/>
                <w:sz w:val="32"/>
                <w:szCs w:val="32"/>
              </w:rPr>
              <w:t>2）清运车辆在运输过程中保证车辆的四周围挡应封闭良好；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76" w:type="dxa"/>
            <w:vMerge w:val="continue"/>
            <w:vAlign w:val="center"/>
          </w:tcPr>
          <w:p>
            <w:pPr>
              <w:spacing w:line="500" w:lineRule="exact"/>
              <w:ind w:firstLine="640" w:firstLineChars="200"/>
              <w:rPr>
                <w:rFonts w:ascii="仿宋" w:hAnsi="仿宋" w:eastAsia="仿宋" w:cs="仿宋"/>
                <w:b w:val="0"/>
                <w:bCs/>
                <w:color w:val="auto"/>
                <w:sz w:val="32"/>
                <w:szCs w:val="32"/>
              </w:rPr>
            </w:pPr>
          </w:p>
        </w:tc>
        <w:tc>
          <w:tcPr>
            <w:tcW w:w="7105" w:type="dxa"/>
            <w:vAlign w:val="center"/>
          </w:tcPr>
          <w:p>
            <w:pPr>
              <w:spacing w:line="500" w:lineRule="exact"/>
              <w:rPr>
                <w:rFonts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ascii="仿宋" w:hAnsi="仿宋" w:eastAsia="仿宋" w:cs="仿宋"/>
                <w:b w:val="0"/>
                <w:bCs/>
                <w:color w:val="auto"/>
                <w:sz w:val="32"/>
                <w:szCs w:val="32"/>
              </w:rPr>
              <w:t>3）严格按照清运路线进行运输，不得超高，不得损坏相关设施设备，使用相关材料做好清运场地的保护，并做好清运范围内的保洁工作，禁止粉尘污染，并及时保证现场的整洁、有序；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vMerge w:val="continue"/>
            <w:vAlign w:val="center"/>
          </w:tcPr>
          <w:p>
            <w:pPr>
              <w:spacing w:line="500" w:lineRule="exact"/>
              <w:ind w:firstLine="640" w:firstLineChars="200"/>
              <w:rPr>
                <w:rFonts w:ascii="仿宋" w:hAnsi="仿宋" w:eastAsia="仿宋" w:cs="仿宋"/>
                <w:b w:val="0"/>
                <w:bCs/>
                <w:color w:val="auto"/>
                <w:sz w:val="32"/>
                <w:szCs w:val="32"/>
              </w:rPr>
            </w:pPr>
          </w:p>
        </w:tc>
        <w:tc>
          <w:tcPr>
            <w:tcW w:w="7105" w:type="dxa"/>
            <w:vAlign w:val="center"/>
          </w:tcPr>
          <w:p>
            <w:pPr>
              <w:spacing w:line="500" w:lineRule="exact"/>
              <w:rPr>
                <w:rFonts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ascii="仿宋" w:hAnsi="仿宋" w:eastAsia="仿宋" w:cs="仿宋"/>
                <w:b w:val="0"/>
                <w:bCs/>
                <w:color w:val="auto"/>
                <w:sz w:val="32"/>
                <w:szCs w:val="32"/>
              </w:rPr>
              <w:t>4）有足够的车辆来保证</w:t>
            </w:r>
            <w:r>
              <w:rPr>
                <w:rFonts w:hint="eastAsia" w:ascii="仿宋" w:hAnsi="仿宋" w:eastAsia="仿宋" w:cs="仿宋"/>
                <w:b w:val="0"/>
                <w:bCs/>
                <w:color w:val="auto"/>
                <w:sz w:val="32"/>
                <w:szCs w:val="32"/>
              </w:rPr>
              <w:t>装修垃圾现场。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vMerge w:val="continue"/>
            <w:vAlign w:val="center"/>
          </w:tcPr>
          <w:p>
            <w:pPr>
              <w:spacing w:line="500" w:lineRule="exact"/>
              <w:ind w:firstLine="640" w:firstLineChars="200"/>
              <w:rPr>
                <w:rFonts w:ascii="仿宋" w:hAnsi="仿宋" w:eastAsia="仿宋" w:cs="仿宋"/>
                <w:b w:val="0"/>
                <w:bCs/>
                <w:color w:val="auto"/>
                <w:sz w:val="32"/>
                <w:szCs w:val="32"/>
              </w:rPr>
            </w:pPr>
          </w:p>
        </w:tc>
        <w:tc>
          <w:tcPr>
            <w:tcW w:w="7105" w:type="dxa"/>
            <w:vAlign w:val="center"/>
          </w:tcPr>
          <w:p>
            <w:pPr>
              <w:spacing w:line="500" w:lineRule="exact"/>
              <w:rPr>
                <w:rFonts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ascii="仿宋" w:hAnsi="仿宋" w:eastAsia="仿宋" w:cs="仿宋"/>
                <w:b w:val="0"/>
                <w:bCs/>
                <w:color w:val="auto"/>
                <w:sz w:val="32"/>
                <w:szCs w:val="32"/>
              </w:rPr>
              <w:t>5）清运时人员配置为清运车司机、地面清理工人、铲车司机。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376" w:type="dxa"/>
            <w:vMerge w:val="restart"/>
            <w:vAlign w:val="center"/>
          </w:tcPr>
          <w:p>
            <w:pPr>
              <w:spacing w:line="500" w:lineRule="exact"/>
              <w:jc w:val="center"/>
              <w:rPr>
                <w:rFonts w:ascii="仿宋" w:hAnsi="仿宋" w:eastAsia="仿宋" w:cs="仿宋"/>
                <w:bCs/>
                <w:sz w:val="32"/>
                <w:szCs w:val="32"/>
              </w:rPr>
            </w:pPr>
            <w:r>
              <w:rPr>
                <w:rFonts w:hint="eastAsia" w:ascii="仿宋" w:hAnsi="仿宋" w:eastAsia="仿宋" w:cs="仿宋"/>
                <w:bCs/>
                <w:sz w:val="32"/>
                <w:szCs w:val="32"/>
              </w:rPr>
              <w:t>设施设备保护</w:t>
            </w:r>
          </w:p>
        </w:tc>
        <w:tc>
          <w:tcPr>
            <w:tcW w:w="7105" w:type="dxa"/>
            <w:vAlign w:val="center"/>
          </w:tcPr>
          <w:p>
            <w:pPr>
              <w:spacing w:line="500" w:lineRule="exact"/>
              <w:rPr>
                <w:rFonts w:ascii="仿宋" w:hAnsi="仿宋" w:eastAsia="仿宋" w:cs="仿宋"/>
                <w:bCs/>
                <w:sz w:val="32"/>
                <w:szCs w:val="32"/>
              </w:rPr>
            </w:pPr>
            <w:r>
              <w:rPr>
                <w:rFonts w:hint="eastAsia" w:ascii="仿宋" w:hAnsi="仿宋" w:eastAsia="仿宋" w:cs="仿宋"/>
                <w:bCs/>
                <w:sz w:val="32"/>
                <w:szCs w:val="32"/>
              </w:rPr>
              <w:t>（1）负责场地围挡日常维护并保证其安全、整洁，相关费用包含在总报价内。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76" w:type="dxa"/>
            <w:vMerge w:val="continue"/>
            <w:vAlign w:val="center"/>
          </w:tcPr>
          <w:p>
            <w:pPr>
              <w:spacing w:line="500" w:lineRule="exact"/>
              <w:ind w:firstLine="640" w:firstLineChars="200"/>
              <w:rPr>
                <w:rFonts w:ascii="仿宋" w:hAnsi="仿宋" w:eastAsia="仿宋" w:cs="仿宋"/>
                <w:b w:val="0"/>
                <w:bCs/>
                <w:color w:val="auto"/>
                <w:sz w:val="32"/>
                <w:szCs w:val="32"/>
              </w:rPr>
            </w:pPr>
          </w:p>
        </w:tc>
        <w:tc>
          <w:tcPr>
            <w:tcW w:w="7105" w:type="dxa"/>
            <w:vAlign w:val="center"/>
          </w:tcPr>
          <w:p>
            <w:pPr>
              <w:spacing w:line="500" w:lineRule="exact"/>
              <w:rPr>
                <w:rFonts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ascii="仿宋" w:hAnsi="仿宋" w:eastAsia="仿宋" w:cs="仿宋"/>
                <w:b w:val="0"/>
                <w:bCs/>
                <w:color w:val="auto"/>
                <w:sz w:val="32"/>
                <w:szCs w:val="32"/>
              </w:rPr>
              <w:t>2）在运输的过程中车辆四周围挡封闭良好从而保证清运经过路面的不受损害。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76" w:type="dxa"/>
            <w:vAlign w:val="center"/>
          </w:tcPr>
          <w:p>
            <w:pPr>
              <w:spacing w:line="500" w:lineRule="exact"/>
              <w:jc w:val="center"/>
              <w:rPr>
                <w:rFonts w:ascii="仿宋" w:hAnsi="仿宋" w:eastAsia="仿宋" w:cs="仿宋"/>
                <w:bCs/>
                <w:sz w:val="32"/>
                <w:szCs w:val="32"/>
              </w:rPr>
            </w:pPr>
            <w:r>
              <w:rPr>
                <w:rFonts w:hint="eastAsia" w:ascii="仿宋" w:hAnsi="仿宋" w:eastAsia="仿宋" w:cs="仿宋"/>
                <w:bCs/>
                <w:sz w:val="32"/>
                <w:szCs w:val="32"/>
              </w:rPr>
              <w:t>响应时间</w:t>
            </w:r>
          </w:p>
        </w:tc>
        <w:tc>
          <w:tcPr>
            <w:tcW w:w="7105" w:type="dxa"/>
            <w:vAlign w:val="center"/>
          </w:tcPr>
          <w:p>
            <w:pPr>
              <w:spacing w:line="500" w:lineRule="exact"/>
              <w:rPr>
                <w:rFonts w:ascii="仿宋" w:hAnsi="仿宋" w:eastAsia="仿宋" w:cs="仿宋"/>
                <w:bCs/>
                <w:sz w:val="32"/>
                <w:szCs w:val="32"/>
              </w:rPr>
            </w:pPr>
            <w:r>
              <w:rPr>
                <w:rFonts w:hint="eastAsia" w:ascii="仿宋" w:hAnsi="仿宋" w:eastAsia="仿宋" w:cs="仿宋"/>
                <w:bCs/>
                <w:sz w:val="32"/>
                <w:szCs w:val="32"/>
              </w:rPr>
              <w:t>接甲方电话通知后30分钟内到现场清运，并及时清理完毕。</w:t>
            </w:r>
          </w:p>
        </w:tc>
      </w:tr>
    </w:tbl>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4、其他要求</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承包单位需在建设建筑垃圾点（需围合，顶棚需要采用彩条布遮盖）同时增加降尘喷雾设备，并且保证垃圾房及周边清运通道干净整洁，设施设备完好运转，清运通道路面完好，如有破损需及时修复，由此产生的修复费用由承包单位承担。</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五、服务期限</w:t>
      </w:r>
    </w:p>
    <w:p>
      <w:pPr>
        <w:spacing w:line="500" w:lineRule="exact"/>
        <w:ind w:firstLine="640" w:firstLineChars="200"/>
        <w:rPr>
          <w:rFonts w:ascii="仿宋" w:hAnsi="仿宋" w:eastAsia="仿宋"/>
          <w:sz w:val="32"/>
          <w:szCs w:val="32"/>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sz w:val="32"/>
          <w:szCs w:val="32"/>
        </w:rPr>
        <w:t>服务期限拟定为三年，202</w:t>
      </w:r>
      <w:r>
        <w:rPr>
          <w:rFonts w:ascii="仿宋" w:hAnsi="仿宋" w:eastAsia="仿宋"/>
          <w:sz w:val="32"/>
          <w:szCs w:val="32"/>
        </w:rPr>
        <w:t>3</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月1日至 202</w:t>
      </w:r>
      <w:r>
        <w:rPr>
          <w:rFonts w:ascii="仿宋" w:hAnsi="仿宋" w:eastAsia="仿宋"/>
          <w:sz w:val="32"/>
          <w:szCs w:val="32"/>
        </w:rPr>
        <w:t>6</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ascii="仿宋" w:hAnsi="仿宋" w:eastAsia="仿宋"/>
          <w:sz w:val="32"/>
          <w:szCs w:val="32"/>
        </w:rPr>
        <w:t>3</w:t>
      </w:r>
      <w:r>
        <w:rPr>
          <w:rFonts w:hint="eastAsia" w:ascii="仿宋" w:hAnsi="仿宋" w:eastAsia="仿宋"/>
          <w:sz w:val="32"/>
          <w:szCs w:val="32"/>
          <w:lang w:val="en-US" w:eastAsia="zh-CN"/>
        </w:rPr>
        <w:t>0</w:t>
      </w:r>
      <w:r>
        <w:rPr>
          <w:rFonts w:hint="eastAsia" w:ascii="仿宋" w:hAnsi="仿宋" w:eastAsia="仿宋"/>
          <w:sz w:val="32"/>
          <w:szCs w:val="32"/>
        </w:rPr>
        <w:t>日（暂定，</w:t>
      </w:r>
      <w:r>
        <w:rPr>
          <w:rFonts w:hint="eastAsia" w:ascii="仿宋" w:hAnsi="仿宋" w:eastAsia="仿宋" w:cs="仿宋"/>
          <w:kern w:val="0"/>
          <w:sz w:val="28"/>
          <w:szCs w:val="28"/>
        </w:rPr>
        <w:t>具体以合同签订服务期为准</w:t>
      </w:r>
      <w:r>
        <w:rPr>
          <w:rFonts w:hint="eastAsia" w:ascii="仿宋" w:hAnsi="仿宋" w:eastAsia="仿宋"/>
          <w:sz w:val="32"/>
          <w:szCs w:val="32"/>
        </w:rPr>
        <w:t>）。</w:t>
      </w:r>
    </w:p>
    <w:p>
      <w:pPr>
        <w:pStyle w:val="3"/>
        <w:keepNext w:val="0"/>
        <w:keepLines w:val="0"/>
        <w:spacing w:before="0" w:after="0" w:line="500" w:lineRule="exact"/>
        <w:jc w:val="center"/>
        <w:rPr>
          <w:rFonts w:ascii="仿宋" w:hAnsi="仿宋" w:eastAsia="仿宋"/>
          <w:sz w:val="32"/>
        </w:rPr>
      </w:pPr>
      <w:bookmarkStart w:id="162" w:name="_Toc29484"/>
      <w:bookmarkStart w:id="163" w:name="_Toc10209"/>
      <w:r>
        <w:rPr>
          <w:rFonts w:hint="eastAsia" w:ascii="仿宋" w:hAnsi="仿宋" w:eastAsia="仿宋"/>
          <w:sz w:val="32"/>
        </w:rPr>
        <w:t>第二节 商务技术响应要求</w:t>
      </w:r>
      <w:bookmarkEnd w:id="162"/>
      <w:bookmarkEnd w:id="163"/>
    </w:p>
    <w:p>
      <w:pPr>
        <w:spacing w:line="500" w:lineRule="exact"/>
        <w:rPr>
          <w:rFonts w:ascii="仿宋" w:hAnsi="仿宋" w:eastAsia="仿宋"/>
          <w:b/>
          <w:sz w:val="32"/>
          <w:szCs w:val="32"/>
        </w:rPr>
      </w:pPr>
      <w:r>
        <w:rPr>
          <w:rFonts w:hint="eastAsia" w:ascii="仿宋" w:hAnsi="仿宋" w:eastAsia="仿宋"/>
          <w:b/>
          <w:sz w:val="32"/>
          <w:szCs w:val="32"/>
        </w:rPr>
        <w:t>一、商务要求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1、投标人应具备独立的法人资格，</w:t>
      </w:r>
      <w:r>
        <w:rPr>
          <w:rFonts w:hint="eastAsia" w:ascii="仿宋" w:hAnsi="仿宋" w:eastAsia="仿宋"/>
          <w:sz w:val="32"/>
          <w:szCs w:val="32"/>
        </w:rPr>
        <w:t>营业执照注册资金应不低于</w:t>
      </w:r>
      <w:r>
        <w:rPr>
          <w:rFonts w:ascii="仿宋" w:hAnsi="仿宋" w:eastAsia="仿宋"/>
          <w:sz w:val="32"/>
          <w:szCs w:val="32"/>
        </w:rPr>
        <w:t>5</w:t>
      </w:r>
      <w:r>
        <w:rPr>
          <w:rFonts w:hint="eastAsia" w:ascii="仿宋" w:hAnsi="仿宋" w:eastAsia="仿宋"/>
          <w:sz w:val="32"/>
          <w:szCs w:val="32"/>
        </w:rPr>
        <w:t>00万人民币，</w:t>
      </w:r>
      <w:r>
        <w:rPr>
          <w:rFonts w:ascii="仿宋" w:hAnsi="仿宋" w:eastAsia="仿宋"/>
          <w:sz w:val="32"/>
          <w:szCs w:val="32"/>
        </w:rPr>
        <w:t>并提供法人营业执照（副本）复印件(加盖</w:t>
      </w:r>
      <w:r>
        <w:rPr>
          <w:rFonts w:hint="eastAsia" w:ascii="仿宋" w:hAnsi="仿宋" w:eastAsia="仿宋"/>
          <w:sz w:val="32"/>
          <w:szCs w:val="32"/>
        </w:rPr>
        <w:t>投标人</w:t>
      </w:r>
      <w:r>
        <w:rPr>
          <w:rFonts w:ascii="仿宋" w:hAnsi="仿宋" w:eastAsia="仿宋"/>
          <w:sz w:val="32"/>
          <w:szCs w:val="32"/>
        </w:rPr>
        <w:t>公章)。</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投标人必须提供自</w:t>
      </w:r>
      <w:r>
        <w:rPr>
          <w:rFonts w:hint="eastAsia" w:ascii="仿宋" w:hAnsi="仿宋" w:eastAsia="仿宋"/>
          <w:sz w:val="32"/>
          <w:szCs w:val="32"/>
        </w:rPr>
        <w:t>2020年起至今不少于</w:t>
      </w:r>
      <w:r>
        <w:rPr>
          <w:rFonts w:ascii="仿宋" w:hAnsi="仿宋" w:eastAsia="仿宋"/>
          <w:sz w:val="32"/>
          <w:szCs w:val="32"/>
        </w:rPr>
        <w:t>3</w:t>
      </w:r>
      <w:r>
        <w:rPr>
          <w:rFonts w:hint="eastAsia" w:ascii="仿宋" w:hAnsi="仿宋" w:eastAsia="仿宋"/>
          <w:sz w:val="32"/>
          <w:szCs w:val="32"/>
        </w:rPr>
        <w:t>个建筑垃圾清运</w:t>
      </w:r>
      <w:r>
        <w:rPr>
          <w:rFonts w:ascii="仿宋" w:hAnsi="仿宋" w:eastAsia="仿宋"/>
          <w:sz w:val="32"/>
          <w:szCs w:val="32"/>
        </w:rPr>
        <w:t>类项目的经营业绩经验的有效证明文件（需提供合同或验收报告的复印件</w:t>
      </w:r>
      <w:r>
        <w:rPr>
          <w:rFonts w:hint="eastAsia" w:ascii="仿宋" w:hAnsi="仿宋" w:eastAsia="仿宋"/>
          <w:sz w:val="32"/>
          <w:szCs w:val="32"/>
        </w:rPr>
        <w:t>，</w:t>
      </w:r>
      <w:r>
        <w:rPr>
          <w:rFonts w:ascii="仿宋" w:hAnsi="仿宋" w:eastAsia="仿宋"/>
          <w:sz w:val="32"/>
          <w:szCs w:val="32"/>
        </w:rPr>
        <w:t>原件备查）</w:t>
      </w:r>
      <w:r>
        <w:rPr>
          <w:rFonts w:hint="eastAsia" w:ascii="仿宋" w:hAnsi="仿宋" w:eastAsia="仿宋"/>
          <w:sz w:val="32"/>
          <w:szCs w:val="32"/>
        </w:rPr>
        <w:t>，以在福州区域有相关业绩优先。</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投标人必须提</w:t>
      </w:r>
      <w:r>
        <w:rPr>
          <w:rFonts w:hint="eastAsia" w:ascii="仿宋" w:hAnsi="仿宋" w:eastAsia="仿宋"/>
          <w:sz w:val="32"/>
          <w:szCs w:val="32"/>
          <w:lang w:val="en-US" w:eastAsia="zh-CN"/>
        </w:rPr>
        <w:t>供</w:t>
      </w:r>
      <w:r>
        <w:rPr>
          <w:rFonts w:hint="eastAsia" w:ascii="仿宋" w:hAnsi="仿宋" w:eastAsia="仿宋"/>
          <w:sz w:val="32"/>
          <w:szCs w:val="32"/>
        </w:rPr>
        <w:t>清运人员清单。</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二、技术要求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投标人应在投标文件中对项目工作所需时间，工作内容、进度安排以及售后服务承诺</w:t>
      </w:r>
      <w:r>
        <w:rPr>
          <w:rFonts w:hint="eastAsia" w:ascii="仿宋" w:hAnsi="仿宋" w:eastAsia="仿宋"/>
          <w:sz w:val="32"/>
          <w:szCs w:val="32"/>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投标人应拥有</w:t>
      </w:r>
      <w:r>
        <w:rPr>
          <w:rFonts w:hint="eastAsia" w:ascii="仿宋" w:hAnsi="仿宋" w:eastAsia="仿宋"/>
          <w:sz w:val="32"/>
          <w:szCs w:val="32"/>
        </w:rPr>
        <w:t>建筑垃圾清运</w:t>
      </w:r>
      <w:r>
        <w:rPr>
          <w:rFonts w:ascii="仿宋" w:hAnsi="仿宋" w:eastAsia="仿宋"/>
          <w:sz w:val="32"/>
          <w:szCs w:val="32"/>
        </w:rPr>
        <w:t>施工相应的资质、工具、设备，施工人员需持证上岗并已按国家有关规定缴纳相关保险费用。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5、投标人须提交《作业安全承诺书》并加盖公章（详见附件）。</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6、严格执行服务承诺。</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7、中标人应严格依据投标文件所做承诺履行职责，如有违约，招标人有权根据协议、合同采取措施追究违约方的违约责任。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8、中标人应当按照合同约定履行义务，不得将本项目（转包）给他人，一经发现，招标人有权立即终止合同，并追究中标人的违约责任和要求赔偿。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sz w:val="32"/>
        </w:rPr>
      </w:pPr>
      <w:bookmarkStart w:id="164" w:name="_Toc29099"/>
      <w:bookmarkStart w:id="165" w:name="_Toc19615"/>
      <w:bookmarkStart w:id="166" w:name="_Toc468718876"/>
      <w:r>
        <w:rPr>
          <w:rFonts w:hint="eastAsia" w:ascii="仿宋" w:hAnsi="仿宋" w:eastAsia="仿宋"/>
          <w:sz w:val="32"/>
        </w:rPr>
        <w:t>第三节 报价要求</w:t>
      </w:r>
      <w:bookmarkEnd w:id="164"/>
      <w:bookmarkEnd w:id="165"/>
      <w:bookmarkEnd w:id="166"/>
    </w:p>
    <w:p>
      <w:pPr>
        <w:widowControl/>
        <w:adjustRightInd w:val="0"/>
        <w:snapToGrid w:val="0"/>
        <w:spacing w:before="60" w:beforeLines="25" w:after="60" w:afterLines="25" w:line="500" w:lineRule="exact"/>
        <w:ind w:firstLine="640" w:firstLineChars="200"/>
        <w:rPr>
          <w:rFonts w:ascii="仿宋" w:hAnsi="仿宋" w:eastAsia="仿宋"/>
          <w:sz w:val="32"/>
          <w:szCs w:val="32"/>
        </w:rPr>
      </w:pPr>
      <w:bookmarkStart w:id="167" w:name="_Toc306290240"/>
      <w:bookmarkStart w:id="168" w:name="_Toc468718878"/>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color w:val="000000" w:themeColor="text1"/>
          <w:sz w:val="32"/>
          <w:szCs w:val="32"/>
          <w14:textFill>
            <w14:solidFill>
              <w14:schemeClr w14:val="tx1"/>
            </w14:solidFill>
          </w14:textFill>
        </w:rPr>
        <w:t>工具费、耗材费、保险费、人工费等</w:t>
      </w:r>
      <w:r>
        <w:rPr>
          <w:rFonts w:hint="eastAsia" w:ascii="仿宋" w:hAnsi="仿宋" w:eastAsia="仿宋"/>
          <w:sz w:val="32"/>
          <w:szCs w:val="32"/>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、中标人在提供服务的过程中，若出现安全事故，其责任及相应的赔偿均由中标人承担，投标人不承担所有责任及义务。</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6、</w:t>
      </w:r>
      <w:bookmarkEnd w:id="167"/>
      <w:bookmarkEnd w:id="168"/>
      <w:r>
        <w:rPr>
          <w:rFonts w:hint="eastAsia" w:ascii="仿宋" w:hAnsi="仿宋" w:eastAsia="仿宋"/>
          <w:sz w:val="32"/>
          <w:szCs w:val="32"/>
        </w:rPr>
        <w:t>履约保证金：中标人须向招标人缴交履约保证金，履约保证金在双方合同终止、交接清楚、质保期结束和债权债务等关系理顺后30日历天内无息返还。</w:t>
      </w:r>
    </w:p>
    <w:bookmarkEnd w:id="8"/>
    <w:p>
      <w:pPr>
        <w:pStyle w:val="2"/>
        <w:keepNext w:val="0"/>
        <w:keepLines w:val="0"/>
        <w:spacing w:before="0" w:after="0" w:line="500" w:lineRule="exact"/>
        <w:jc w:val="center"/>
        <w:rPr>
          <w:rFonts w:ascii="仿宋" w:hAnsi="仿宋" w:eastAsia="仿宋"/>
        </w:rPr>
      </w:pPr>
      <w:bookmarkStart w:id="169" w:name="_Toc25453"/>
    </w:p>
    <w:p>
      <w:pPr>
        <w:pStyle w:val="2"/>
        <w:keepNext w:val="0"/>
        <w:keepLines w:val="0"/>
        <w:spacing w:before="0" w:after="0" w:line="500" w:lineRule="exact"/>
        <w:jc w:val="center"/>
        <w:rPr>
          <w:rFonts w:ascii="仿宋" w:hAnsi="仿宋" w:eastAsia="仿宋"/>
        </w:rPr>
      </w:pPr>
    </w:p>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bookmarkStart w:id="170" w:name="_Toc21842"/>
      <w:r>
        <w:rPr>
          <w:rFonts w:hint="eastAsia" w:ascii="仿宋" w:hAnsi="仿宋" w:eastAsia="仿宋"/>
        </w:rPr>
        <w:t>第四章  投标文件格式</w:t>
      </w:r>
      <w:bookmarkEnd w:id="169"/>
      <w:bookmarkEnd w:id="170"/>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4"/>
        <w:spacing w:line="360" w:lineRule="auto"/>
        <w:rPr>
          <w:rFonts w:ascii="仿宋" w:hAnsi="仿宋" w:eastAsia="仿宋"/>
          <w:color w:val="auto"/>
        </w:rPr>
      </w:pPr>
    </w:p>
    <w:p>
      <w:pPr>
        <w:pStyle w:val="24"/>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5"/>
        <w:spacing w:line="360" w:lineRule="auto"/>
        <w:jc w:val="left"/>
        <w:rPr>
          <w:rFonts w:ascii="仿宋" w:hAnsi="仿宋" w:eastAsia="仿宋"/>
          <w:b/>
          <w:sz w:val="24"/>
        </w:rPr>
      </w:pPr>
    </w:p>
    <w:p>
      <w:pPr>
        <w:pStyle w:val="25"/>
        <w:spacing w:line="360" w:lineRule="auto"/>
        <w:jc w:val="left"/>
        <w:rPr>
          <w:rFonts w:ascii="仿宋" w:hAnsi="仿宋" w:eastAsia="仿宋"/>
          <w:b/>
          <w:sz w:val="24"/>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jc w:val="both"/>
        <w:rPr>
          <w:rFonts w:ascii="仿宋" w:hAnsi="仿宋" w:eastAsia="仿宋"/>
          <w:b/>
          <w:bCs/>
          <w:sz w:val="32"/>
          <w:lang w:eastAsia="zh-CN"/>
        </w:rPr>
      </w:pPr>
    </w:p>
    <w:p>
      <w:pPr>
        <w:pStyle w:val="5"/>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4. 建筑垃圾清运服务方案</w:t>
      </w:r>
    </w:p>
    <w:p>
      <w:pPr>
        <w:spacing w:line="500" w:lineRule="exact"/>
        <w:rPr>
          <w:rFonts w:ascii="仿宋" w:hAnsi="仿宋" w:eastAsia="仿宋"/>
          <w:sz w:val="32"/>
          <w:szCs w:val="32"/>
        </w:rPr>
      </w:pPr>
      <w:r>
        <w:rPr>
          <w:rFonts w:hint="eastAsia" w:ascii="仿宋" w:hAnsi="仿宋" w:eastAsia="仿宋"/>
          <w:sz w:val="32"/>
          <w:szCs w:val="32"/>
        </w:rPr>
        <w:t>5. 技术和商务偏离表</w:t>
      </w:r>
      <w:r>
        <w:rPr>
          <w:rFonts w:hint="eastAsia" w:ascii="仿宋" w:hAnsi="仿宋" w:eastAsia="仿宋"/>
          <w:sz w:val="32"/>
          <w:szCs w:val="32"/>
        </w:rPr>
        <w:cr/>
      </w:r>
      <w:r>
        <w:rPr>
          <w:rFonts w:hint="eastAsia" w:ascii="仿宋" w:hAnsi="仿宋" w:eastAsia="仿宋"/>
          <w:sz w:val="32"/>
          <w:szCs w:val="32"/>
        </w:rPr>
        <w:t>6. 投标人承诺函</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7. 法人代表授权书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8. 法人营业执照</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9. 廉洁承诺书</w:t>
      </w:r>
    </w:p>
    <w:p>
      <w:pPr>
        <w:spacing w:line="500" w:lineRule="exact"/>
        <w:rPr>
          <w:rFonts w:ascii="仿宋" w:hAnsi="仿宋" w:eastAsia="仿宋"/>
          <w:sz w:val="32"/>
          <w:szCs w:val="32"/>
        </w:rPr>
      </w:pPr>
      <w:r>
        <w:rPr>
          <w:rFonts w:hint="eastAsia" w:ascii="仿宋" w:hAnsi="仿宋" w:eastAsia="仿宋"/>
          <w:sz w:val="32"/>
          <w:szCs w:val="32"/>
        </w:rPr>
        <w:t>10. 投标人提交的其它资料</w:t>
      </w:r>
    </w:p>
    <w:p>
      <w:pPr>
        <w:spacing w:line="440" w:lineRule="exact"/>
        <w:rPr>
          <w:rFonts w:ascii="仿宋" w:hAnsi="仿宋" w:eastAsia="仿宋"/>
          <w:b/>
          <w:sz w:val="32"/>
          <w:szCs w:val="32"/>
        </w:rPr>
      </w:pP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171"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71"/>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厦门国贸城市服务集团股份有限公司：</w:t>
      </w:r>
    </w:p>
    <w:p>
      <w:pPr>
        <w:spacing w:line="500" w:lineRule="exact"/>
        <w:rPr>
          <w:rFonts w:ascii="仿宋" w:hAnsi="仿宋" w:eastAsia="仿宋"/>
          <w:sz w:val="32"/>
          <w:szCs w:val="32"/>
        </w:rPr>
      </w:pPr>
      <w:r>
        <w:rPr>
          <w:rFonts w:hint="eastAsia" w:ascii="仿宋" w:hAnsi="仿宋" w:eastAsia="仿宋"/>
          <w:sz w:val="32"/>
          <w:szCs w:val="32"/>
        </w:rPr>
        <w:t xml:space="preserve">    根据贵方为</w:t>
      </w:r>
      <w:r>
        <w:rPr>
          <w:rFonts w:hint="eastAsia" w:ascii="仿宋" w:hAnsi="仿宋" w:eastAsia="仿宋"/>
          <w:sz w:val="32"/>
          <w:szCs w:val="32"/>
          <w:u w:val="single"/>
        </w:rPr>
        <w:t xml:space="preserve">      </w:t>
      </w:r>
      <w:r>
        <w:rPr>
          <w:rFonts w:hint="eastAsia" w:ascii="仿宋" w:hAnsi="仿宋" w:eastAsia="仿宋"/>
          <w:sz w:val="32"/>
          <w:szCs w:val="32"/>
        </w:rPr>
        <w:t>项目的招标要求（招标编号）:</w:t>
      </w:r>
      <w:r>
        <w:rPr>
          <w:rFonts w:hint="eastAsia" w:ascii="仿宋" w:hAnsi="仿宋" w:eastAsia="仿宋"/>
          <w:sz w:val="32"/>
          <w:szCs w:val="32"/>
          <w:u w:val="single"/>
        </w:rPr>
        <w:t xml:space="preserve">      ，</w:t>
      </w:r>
      <w:r>
        <w:rPr>
          <w:rFonts w:hint="eastAsia" w:ascii="仿宋" w:hAnsi="仿宋" w:eastAsia="仿宋"/>
          <w:sz w:val="32"/>
          <w:szCs w:val="32"/>
        </w:rPr>
        <w:t>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16"/>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(1) 投标书</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(4) 建筑垃圾清运服务方案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w:t>
            </w:r>
            <w:r>
              <w:rPr>
                <w:rFonts w:hint="eastAsia" w:ascii="仿宋" w:hAnsi="仿宋" w:eastAsia="仿宋"/>
                <w:sz w:val="32"/>
                <w:szCs w:val="32"/>
                <w:u w:val="single"/>
              </w:rPr>
              <w:t xml:space="preserve">     </w:t>
            </w:r>
            <w:r>
              <w:rPr>
                <w:rFonts w:hint="eastAsia" w:ascii="仿宋" w:hAnsi="仿宋" w:eastAsia="仿宋"/>
                <w:sz w:val="32"/>
                <w:szCs w:val="32"/>
              </w:rPr>
              <w:t>方式提供的金额为人民币</w:t>
            </w:r>
            <w:r>
              <w:rPr>
                <w:rFonts w:hint="eastAsia" w:ascii="仿宋" w:hAnsi="仿宋" w:eastAsia="仿宋"/>
                <w:sz w:val="32"/>
                <w:szCs w:val="32"/>
                <w:u w:val="single"/>
              </w:rPr>
              <w:t xml:space="preserve">     </w:t>
            </w:r>
            <w:r>
              <w:rPr>
                <w:rFonts w:hint="eastAsia" w:ascii="仿宋" w:hAnsi="仿宋" w:eastAsia="仿宋"/>
                <w:sz w:val="32"/>
                <w:szCs w:val="32"/>
              </w:rPr>
              <w:t>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7"/>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7"/>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16"/>
        <w:tblW w:w="8958" w:type="dxa"/>
        <w:tblInd w:w="121" w:type="dxa"/>
        <w:tblLayout w:type="fixed"/>
        <w:tblCellMar>
          <w:top w:w="0" w:type="dxa"/>
          <w:left w:w="0" w:type="dxa"/>
          <w:bottom w:w="0" w:type="dxa"/>
          <w:right w:w="0" w:type="dxa"/>
        </w:tblCellMar>
      </w:tblPr>
      <w:tblGrid>
        <w:gridCol w:w="1294"/>
        <w:gridCol w:w="893"/>
        <w:gridCol w:w="1056"/>
        <w:gridCol w:w="1500"/>
        <w:gridCol w:w="1425"/>
        <w:gridCol w:w="1860"/>
        <w:gridCol w:w="93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面积</w:t>
            </w:r>
          </w:p>
        </w:tc>
        <w:tc>
          <w:tcPr>
            <w:tcW w:w="1056"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2"/>
              <w:jc w:val="center"/>
              <w:rPr>
                <w:rFonts w:ascii="仿宋" w:hAnsi="仿宋" w:eastAsia="仿宋" w:cs="宋体"/>
                <w:sz w:val="28"/>
                <w:szCs w:val="28"/>
                <w:lang w:eastAsia="zh-CN"/>
              </w:rPr>
            </w:pPr>
            <w:r>
              <w:rPr>
                <w:rFonts w:hint="eastAsia" w:ascii="仿宋" w:hAnsi="仿宋" w:eastAsia="仿宋" w:cs="宋体"/>
                <w:sz w:val="28"/>
                <w:szCs w:val="28"/>
                <w:lang w:eastAsia="zh-CN"/>
              </w:rPr>
              <w:t>单价</w:t>
            </w:r>
          </w:p>
        </w:tc>
        <w:tc>
          <w:tcPr>
            <w:tcW w:w="1500"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2"/>
              <w:jc w:val="center"/>
              <w:rPr>
                <w:rFonts w:ascii="仿宋" w:hAnsi="仿宋" w:eastAsia="仿宋" w:cs="宋体"/>
                <w:sz w:val="28"/>
                <w:szCs w:val="28"/>
                <w:lang w:eastAsia="zh-CN"/>
              </w:rPr>
            </w:pPr>
            <w:r>
              <w:rPr>
                <w:rFonts w:hint="eastAsia" w:ascii="仿宋" w:hAnsi="仿宋" w:eastAsia="仿宋" w:cs="宋体"/>
                <w:sz w:val="28"/>
                <w:szCs w:val="28"/>
                <w:lang w:eastAsia="zh-CN"/>
              </w:rPr>
              <w:t>总报价</w:t>
            </w:r>
          </w:p>
        </w:tc>
        <w:tc>
          <w:tcPr>
            <w:tcW w:w="1425"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sz w:val="28"/>
                <w:szCs w:val="28"/>
              </w:rPr>
            </w:pPr>
            <w:r>
              <w:rPr>
                <w:rFonts w:hint="eastAsia" w:ascii="仿宋" w:hAnsi="仿宋" w:eastAsia="仿宋" w:cs="宋体"/>
                <w:sz w:val="28"/>
                <w:szCs w:val="28"/>
                <w:lang w:eastAsia="zh-CN"/>
              </w:rPr>
              <w:t>服务</w:t>
            </w:r>
            <w:r>
              <w:rPr>
                <w:rFonts w:ascii="仿宋" w:hAnsi="仿宋" w:eastAsia="仿宋" w:cs="宋体"/>
                <w:sz w:val="28"/>
                <w:szCs w:val="28"/>
              </w:rPr>
              <w:t>期</w:t>
            </w:r>
          </w:p>
        </w:tc>
        <w:tc>
          <w:tcPr>
            <w:tcW w:w="1860"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7"/>
              <w:jc w:val="center"/>
              <w:rPr>
                <w:rFonts w:ascii="仿宋" w:hAnsi="仿宋" w:eastAsia="仿宋" w:cs="宋体"/>
                <w:sz w:val="28"/>
                <w:szCs w:val="28"/>
              </w:rPr>
            </w:pPr>
            <w:r>
              <w:rPr>
                <w:rFonts w:ascii="仿宋" w:hAnsi="仿宋" w:eastAsia="仿宋" w:cs="宋体"/>
                <w:sz w:val="28"/>
                <w:szCs w:val="28"/>
              </w:rPr>
              <w:t>投标保证金</w:t>
            </w:r>
          </w:p>
        </w:tc>
        <w:tc>
          <w:tcPr>
            <w:tcW w:w="930"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sz w:val="28"/>
                <w:szCs w:val="28"/>
                <w:lang w:eastAsia="zh-CN"/>
              </w:rPr>
            </w:pPr>
          </w:p>
          <w:p>
            <w:pPr>
              <w:pStyle w:val="26"/>
              <w:spacing w:line="500" w:lineRule="exact"/>
              <w:jc w:val="center"/>
              <w:rPr>
                <w:rFonts w:ascii="仿宋" w:hAnsi="仿宋" w:eastAsia="仿宋" w:cs="宋体"/>
                <w:sz w:val="28"/>
                <w:szCs w:val="28"/>
              </w:rPr>
            </w:pPr>
            <w:r>
              <w:rPr>
                <w:rFonts w:ascii="仿宋" w:hAnsi="仿宋" w:eastAsia="仿宋" w:cs="宋体"/>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56"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5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42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86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93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7"/>
        <w:spacing w:line="500" w:lineRule="exact"/>
        <w:rPr>
          <w:rFonts w:ascii="仿宋" w:hAnsi="仿宋" w:eastAsia="仿宋"/>
          <w:color w:val="auto"/>
          <w:sz w:val="32"/>
          <w:szCs w:val="32"/>
        </w:rPr>
      </w:pPr>
    </w:p>
    <w:p>
      <w:pPr>
        <w:pStyle w:val="7"/>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w:t>
      </w:r>
    </w:p>
    <w:p>
      <w:pPr>
        <w:pStyle w:val="7"/>
        <w:tabs>
          <w:tab w:val="left" w:pos="4340"/>
        </w:tabs>
        <w:spacing w:before="25" w:line="500" w:lineRule="exact"/>
        <w:ind w:right="946"/>
        <w:rPr>
          <w:rFonts w:ascii="仿宋" w:hAnsi="仿宋" w:eastAsia="仿宋"/>
          <w:color w:val="auto"/>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72" w:name="_bookmark30"/>
      <w:bookmarkEnd w:id="172"/>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6"/>
        <w:tblpPr w:leftFromText="180" w:rightFromText="180" w:vertAnchor="page" w:horzAnchor="margin" w:tblpXSpec="center" w:tblpY="2800"/>
        <w:tblW w:w="9237" w:type="dxa"/>
        <w:jc w:val="center"/>
        <w:tblLayout w:type="fixed"/>
        <w:tblCellMar>
          <w:top w:w="0" w:type="dxa"/>
          <w:left w:w="108" w:type="dxa"/>
          <w:bottom w:w="0" w:type="dxa"/>
          <w:right w:w="108" w:type="dxa"/>
        </w:tblCellMar>
      </w:tblPr>
      <w:tblGrid>
        <w:gridCol w:w="902"/>
        <w:gridCol w:w="1435"/>
        <w:gridCol w:w="1440"/>
        <w:gridCol w:w="1680"/>
        <w:gridCol w:w="1920"/>
        <w:gridCol w:w="1860"/>
      </w:tblGrid>
      <w:tr>
        <w:tblPrEx>
          <w:tblCellMar>
            <w:top w:w="0" w:type="dxa"/>
            <w:left w:w="108" w:type="dxa"/>
            <w:bottom w:w="0" w:type="dxa"/>
            <w:right w:w="108" w:type="dxa"/>
          </w:tblCellMar>
        </w:tblPrEx>
        <w:trPr>
          <w:trHeight w:val="36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项目类型</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建筑面积</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服务期限</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bl>
    <w:p>
      <w:pPr>
        <w:pStyle w:val="9"/>
        <w:spacing w:line="360" w:lineRule="auto"/>
        <w:ind w:firstLine="411" w:firstLineChars="147"/>
        <w:rPr>
          <w:rFonts w:ascii="仿宋" w:hAnsi="仿宋" w:eastAsia="仿宋"/>
          <w:bCs/>
          <w:color w:val="000000"/>
          <w:sz w:val="28"/>
          <w:szCs w:val="28"/>
        </w:rPr>
      </w:pPr>
      <w:r>
        <w:rPr>
          <w:rFonts w:hint="eastAsia" w:ascii="仿宋" w:hAnsi="仿宋" w:eastAsia="仿宋"/>
          <w:bCs/>
          <w:color w:val="000000"/>
          <w:sz w:val="28"/>
          <w:szCs w:val="28"/>
        </w:rPr>
        <w:t>投标人承诺以上项目为投标人实际建筑垃圾清运的工程项目。如投标人成为本次项目的中标人，接受招标人对上述项目的现场核实。</w:t>
      </w:r>
    </w:p>
    <w:p>
      <w:pPr>
        <w:pStyle w:val="9"/>
        <w:spacing w:line="360" w:lineRule="auto"/>
        <w:ind w:firstLine="411" w:firstLineChars="147"/>
        <w:rPr>
          <w:rFonts w:ascii="仿宋" w:hAnsi="仿宋" w:eastAsia="仿宋"/>
          <w:bCs/>
          <w:color w:val="000000"/>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pPr>
        <w:jc w:val="center"/>
        <w:rPr>
          <w:b/>
          <w:sz w:val="36"/>
          <w:szCs w:val="32"/>
        </w:rPr>
      </w:pPr>
      <w:r>
        <w:rPr>
          <w:rFonts w:hint="eastAsia"/>
          <w:b/>
          <w:sz w:val="36"/>
          <w:szCs w:val="32"/>
        </w:rPr>
        <w:t>安全生产管理协议书</w:t>
      </w:r>
    </w:p>
    <w:p>
      <w:pPr>
        <w:jc w:val="center"/>
        <w:rPr>
          <w:sz w:val="32"/>
          <w:szCs w:val="32"/>
        </w:rPr>
      </w:pPr>
    </w:p>
    <w:p>
      <w:pPr>
        <w:spacing w:line="500" w:lineRule="exact"/>
        <w:rPr>
          <w:sz w:val="28"/>
          <w:szCs w:val="28"/>
        </w:rPr>
      </w:pPr>
      <w:r>
        <w:rPr>
          <w:rFonts w:hint="eastAsia"/>
          <w:sz w:val="28"/>
          <w:szCs w:val="28"/>
        </w:rPr>
        <w:t>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pPr>
        <w:spacing w:line="500" w:lineRule="exact"/>
        <w:ind w:firstLine="560" w:firstLineChars="200"/>
        <w:rPr>
          <w:sz w:val="28"/>
          <w:szCs w:val="28"/>
        </w:rPr>
      </w:pPr>
      <w:r>
        <w:rPr>
          <w:rFonts w:hint="eastAsia"/>
          <w:sz w:val="28"/>
          <w:szCs w:val="28"/>
        </w:rPr>
        <w:t>一、乙方应加强对现场工作人员的安全教育，提高现场工作人员的安全意识和安全技术水平。</w:t>
      </w:r>
    </w:p>
    <w:p>
      <w:pPr>
        <w:spacing w:line="500" w:lineRule="exact"/>
        <w:ind w:firstLine="560" w:firstLineChars="200"/>
        <w:rPr>
          <w:sz w:val="28"/>
          <w:szCs w:val="28"/>
        </w:rPr>
      </w:pPr>
      <w:r>
        <w:rPr>
          <w:rFonts w:hint="eastAsia"/>
          <w:sz w:val="28"/>
          <w:szCs w:val="28"/>
        </w:rPr>
        <w:t>二、乙方人员作业携带的设备及用具，符合国家和企业安全规程要求，特种作业人员须持有效证件操作。</w:t>
      </w:r>
    </w:p>
    <w:p>
      <w:pPr>
        <w:spacing w:line="500" w:lineRule="exact"/>
        <w:ind w:firstLine="560" w:firstLineChars="200"/>
        <w:rPr>
          <w:sz w:val="28"/>
          <w:szCs w:val="28"/>
        </w:rPr>
      </w:pPr>
      <w:r>
        <w:rPr>
          <w:rFonts w:hint="eastAsia"/>
          <w:sz w:val="28"/>
          <w:szCs w:val="28"/>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560" w:firstLineChars="200"/>
        <w:rPr>
          <w:sz w:val="28"/>
          <w:szCs w:val="28"/>
        </w:rPr>
      </w:pPr>
      <w:r>
        <w:rPr>
          <w:rFonts w:hint="eastAsia"/>
          <w:sz w:val="28"/>
          <w:szCs w:val="28"/>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560" w:firstLineChars="200"/>
        <w:rPr>
          <w:sz w:val="28"/>
          <w:szCs w:val="28"/>
        </w:rPr>
      </w:pPr>
      <w:r>
        <w:rPr>
          <w:rFonts w:hint="eastAsia"/>
          <w:sz w:val="28"/>
          <w:szCs w:val="28"/>
        </w:rPr>
        <w:t>五、乙方对作业人员投保相关的安全责任险。</w:t>
      </w:r>
    </w:p>
    <w:p>
      <w:pPr>
        <w:spacing w:line="500" w:lineRule="exact"/>
        <w:ind w:firstLine="560" w:firstLineChars="200"/>
        <w:rPr>
          <w:sz w:val="28"/>
          <w:szCs w:val="28"/>
        </w:rPr>
      </w:pPr>
      <w:r>
        <w:rPr>
          <w:rFonts w:hint="eastAsia"/>
          <w:sz w:val="28"/>
          <w:szCs w:val="28"/>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560" w:firstLineChars="200"/>
        <w:rPr>
          <w:sz w:val="28"/>
          <w:szCs w:val="28"/>
        </w:rPr>
      </w:pPr>
      <w:r>
        <w:rPr>
          <w:rFonts w:hint="eastAsia"/>
          <w:sz w:val="28"/>
          <w:szCs w:val="28"/>
        </w:rPr>
        <w:t>七、在高温、大风等不良气候条件下作业时，乙方自备防高温、防风、防雨、防雷击等安全措施，确保安全作业。</w:t>
      </w:r>
    </w:p>
    <w:p>
      <w:pPr>
        <w:spacing w:line="500" w:lineRule="exact"/>
        <w:ind w:firstLine="560" w:firstLineChars="200"/>
        <w:rPr>
          <w:sz w:val="28"/>
          <w:szCs w:val="28"/>
        </w:rPr>
      </w:pPr>
      <w:r>
        <w:rPr>
          <w:rFonts w:hint="eastAsia"/>
          <w:sz w:val="28"/>
          <w:szCs w:val="28"/>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560" w:firstLineChars="200"/>
        <w:rPr>
          <w:sz w:val="28"/>
          <w:szCs w:val="28"/>
        </w:rPr>
      </w:pPr>
      <w:r>
        <w:rPr>
          <w:rFonts w:hint="eastAsia"/>
          <w:sz w:val="28"/>
          <w:szCs w:val="28"/>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560" w:firstLineChars="200"/>
        <w:rPr>
          <w:sz w:val="28"/>
          <w:szCs w:val="28"/>
        </w:rPr>
      </w:pPr>
      <w:r>
        <w:rPr>
          <w:rFonts w:hint="eastAsia"/>
          <w:sz w:val="28"/>
          <w:szCs w:val="28"/>
        </w:rPr>
        <w:t>十、作业材料堆放整齐，垃圾及时处理，不影响甲方正常秩序及通信畅通。</w:t>
      </w:r>
    </w:p>
    <w:p>
      <w:pPr>
        <w:spacing w:line="500" w:lineRule="exact"/>
        <w:ind w:firstLine="560" w:firstLineChars="200"/>
        <w:rPr>
          <w:sz w:val="28"/>
          <w:szCs w:val="28"/>
        </w:rPr>
      </w:pPr>
      <w:r>
        <w:rPr>
          <w:rFonts w:hint="eastAsia"/>
          <w:sz w:val="28"/>
          <w:szCs w:val="28"/>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560" w:firstLineChars="200"/>
        <w:rPr>
          <w:sz w:val="28"/>
          <w:szCs w:val="28"/>
        </w:rPr>
      </w:pPr>
    </w:p>
    <w:p>
      <w:pPr>
        <w:spacing w:line="500" w:lineRule="exact"/>
        <w:rPr>
          <w:rFonts w:ascii="宋体" w:hAnsi="宋体" w:cs="Lucida Sans Unicode"/>
          <w:sz w:val="28"/>
          <w:szCs w:val="28"/>
        </w:rPr>
      </w:pPr>
    </w:p>
    <w:p>
      <w:pPr>
        <w:spacing w:line="500" w:lineRule="exact"/>
        <w:ind w:firstLine="840" w:firstLineChars="300"/>
        <w:rPr>
          <w:rFonts w:ascii="宋体" w:hAnsi="宋体" w:cs="Lucida Sans Unicode"/>
          <w:sz w:val="28"/>
          <w:szCs w:val="28"/>
        </w:rPr>
      </w:pPr>
      <w:r>
        <w:rPr>
          <w:rFonts w:hint="eastAsia" w:ascii="宋体" w:hAnsi="宋体" w:cs="Lucida Sans Unicode"/>
          <w:sz w:val="28"/>
          <w:szCs w:val="28"/>
        </w:rPr>
        <w:t xml:space="preserve">甲方单位： </w:t>
      </w:r>
      <w:r>
        <w:rPr>
          <w:rFonts w:ascii="宋体" w:hAnsi="宋体" w:cs="Lucida Sans Unicode"/>
          <w:sz w:val="28"/>
          <w:szCs w:val="28"/>
        </w:rPr>
        <w:t xml:space="preserve">                   乙方单位：  </w:t>
      </w:r>
    </w:p>
    <w:p>
      <w:pPr>
        <w:spacing w:line="500" w:lineRule="exact"/>
        <w:ind w:firstLine="1120" w:firstLineChars="400"/>
        <w:rPr>
          <w:sz w:val="28"/>
          <w:szCs w:val="28"/>
        </w:rPr>
      </w:pPr>
      <w:r>
        <w:rPr>
          <w:rFonts w:ascii="宋体" w:hAnsi="宋体" w:cs="Lucida Sans Unicode"/>
          <w:sz w:val="28"/>
          <w:szCs w:val="28"/>
        </w:rPr>
        <w:t>负责人：</w:t>
      </w:r>
      <w:r>
        <w:rPr>
          <w:rFonts w:hint="eastAsia" w:ascii="宋体" w:hAnsi="宋体" w:cs="Lucida Sans Unicode"/>
          <w:sz w:val="28"/>
          <w:szCs w:val="28"/>
        </w:rPr>
        <w:t xml:space="preserve"> </w:t>
      </w:r>
      <w:r>
        <w:rPr>
          <w:rFonts w:ascii="宋体" w:hAnsi="宋体" w:cs="Lucida Sans Unicode"/>
          <w:sz w:val="28"/>
          <w:szCs w:val="28"/>
        </w:rPr>
        <w:t xml:space="preserve">                     负责人：</w:t>
      </w:r>
    </w:p>
    <w:p>
      <w:pPr>
        <w:spacing w:line="500" w:lineRule="exact"/>
        <w:rPr>
          <w:sz w:val="28"/>
          <w:szCs w:val="28"/>
        </w:rPr>
      </w:pPr>
      <w:r>
        <w:rPr>
          <w:rFonts w:hint="eastAsia"/>
          <w:sz w:val="28"/>
          <w:szCs w:val="28"/>
        </w:rPr>
        <w:t xml:space="preserve"> </w:t>
      </w:r>
      <w:r>
        <w:rPr>
          <w:sz w:val="28"/>
          <w:szCs w:val="28"/>
        </w:rPr>
        <w:t xml:space="preserve">     联系电话：</w:t>
      </w:r>
      <w:r>
        <w:rPr>
          <w:rFonts w:hint="eastAsia"/>
          <w:sz w:val="28"/>
          <w:szCs w:val="28"/>
        </w:rPr>
        <w:t xml:space="preserve"> </w:t>
      </w:r>
      <w:r>
        <w:rPr>
          <w:sz w:val="28"/>
          <w:szCs w:val="28"/>
        </w:rPr>
        <w:t xml:space="preserve">                   联系电话：</w:t>
      </w:r>
    </w:p>
    <w:p>
      <w:pPr>
        <w:spacing w:line="500" w:lineRule="exact"/>
        <w:ind w:firstLine="4620" w:firstLineChars="1650"/>
        <w:rPr>
          <w:sz w:val="28"/>
          <w:szCs w:val="28"/>
        </w:rPr>
      </w:pPr>
    </w:p>
    <w:p>
      <w:pPr>
        <w:spacing w:line="500" w:lineRule="exact"/>
        <w:ind w:firstLine="4620" w:firstLineChars="1650"/>
        <w:rPr>
          <w:sz w:val="28"/>
          <w:szCs w:val="28"/>
        </w:rPr>
      </w:pPr>
    </w:p>
    <w:p>
      <w:pPr>
        <w:spacing w:line="500" w:lineRule="exact"/>
        <w:ind w:firstLine="2520" w:firstLineChars="900"/>
        <w:rPr>
          <w:sz w:val="28"/>
          <w:szCs w:val="28"/>
        </w:rPr>
      </w:pPr>
      <w:r>
        <w:rPr>
          <w:rFonts w:hint="eastAsia"/>
          <w:sz w:val="28"/>
          <w:szCs w:val="28"/>
        </w:rPr>
        <w:t>日期：       年      月      日</w:t>
      </w:r>
    </w:p>
    <w:p>
      <w:pPr>
        <w:rPr>
          <w:rFonts w:ascii="仿宋" w:hAnsi="仿宋" w:eastAsia="仿宋"/>
          <w:sz w:val="28"/>
          <w:szCs w:val="28"/>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7"/>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7"/>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160" w:firstLineChars="13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160" w:firstLineChars="13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160" w:firstLineChars="13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6"/>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1"/>
        <w:gridCol w:w="2019"/>
        <w:gridCol w:w="170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31"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026"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31"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120"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p>
        </w:tc>
        <w:tc>
          <w:tcPr>
            <w:tcW w:w="170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631"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026" w:type="dxa"/>
            <w:gridSpan w:val="4"/>
            <w:vAlign w:val="center"/>
          </w:tcPr>
          <w:p>
            <w:pPr>
              <w:spacing w:line="50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  月  日    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bookmarkEnd w:id="5"/>
    <w:bookmarkEnd w:id="6"/>
    <w:p>
      <w:pPr>
        <w:pageBreakBefore/>
        <w:tabs>
          <w:tab w:val="left" w:pos="5130"/>
        </w:tabs>
        <w:spacing w:line="360" w:lineRule="auto"/>
        <w:jc w:val="center"/>
        <w:rPr>
          <w:rFonts w:ascii="宋体" w:hAnsi="宋体"/>
          <w:b/>
          <w:sz w:val="28"/>
          <w:szCs w:val="28"/>
        </w:rPr>
      </w:pPr>
      <w:r>
        <w:rPr>
          <w:rFonts w:hint="eastAsia" w:ascii="宋体" w:hAnsi="宋体"/>
          <w:b/>
          <w:sz w:val="28"/>
          <w:szCs w:val="28"/>
        </w:rPr>
        <w:t>建筑垃圾清运服务合同</w:t>
      </w:r>
    </w:p>
    <w:p>
      <w:pPr>
        <w:pStyle w:val="9"/>
        <w:spacing w:line="360" w:lineRule="auto"/>
        <w:ind w:right="420"/>
        <w:rPr>
          <w:rFonts w:hAnsi="宋体"/>
          <w:b/>
          <w:sz w:val="24"/>
          <w:szCs w:val="24"/>
        </w:rPr>
      </w:pPr>
      <w:r>
        <w:rPr>
          <w:rFonts w:hint="eastAsia" w:hAnsi="宋体"/>
          <w:sz w:val="24"/>
          <w:szCs w:val="24"/>
        </w:rPr>
        <w:t xml:space="preserve">                                                               </w:t>
      </w:r>
      <w:r>
        <w:rPr>
          <w:rFonts w:hint="eastAsia" w:hAnsi="宋体"/>
          <w:b/>
          <w:sz w:val="24"/>
          <w:szCs w:val="24"/>
        </w:rPr>
        <w:t xml:space="preserve"> 合同编号：</w:t>
      </w:r>
    </w:p>
    <w:p>
      <w:pPr>
        <w:spacing w:line="360" w:lineRule="auto"/>
        <w:rPr>
          <w:rFonts w:ascii="宋体" w:hAnsi="宋体"/>
          <w:b/>
          <w:sz w:val="24"/>
        </w:rPr>
      </w:pPr>
    </w:p>
    <w:p>
      <w:pPr>
        <w:spacing w:line="360" w:lineRule="auto"/>
        <w:rPr>
          <w:rFonts w:ascii="宋体" w:hAnsi="宋体"/>
          <w:b/>
          <w:sz w:val="24"/>
          <w:u w:val="single"/>
        </w:rPr>
      </w:pPr>
      <w:r>
        <w:rPr>
          <w:rFonts w:hint="eastAsia" w:ascii="宋体" w:hAnsi="宋体"/>
          <w:b/>
          <w:sz w:val="24"/>
          <w:u w:val="single"/>
        </w:rPr>
        <w:t xml:space="preserve">甲方：                                       </w:t>
      </w:r>
    </w:p>
    <w:p>
      <w:pPr>
        <w:spacing w:line="360" w:lineRule="auto"/>
        <w:rPr>
          <w:rFonts w:ascii="宋体" w:hAnsi="宋体"/>
          <w:b/>
          <w:sz w:val="24"/>
          <w:u w:val="single"/>
        </w:rPr>
      </w:pPr>
      <w:r>
        <w:rPr>
          <w:rFonts w:hint="eastAsia" w:ascii="宋体" w:hAnsi="宋体"/>
          <w:b/>
          <w:sz w:val="24"/>
          <w:u w:val="single"/>
        </w:rPr>
        <w:t xml:space="preserve">法定代表人：                                 </w:t>
      </w:r>
    </w:p>
    <w:p>
      <w:pPr>
        <w:spacing w:line="360" w:lineRule="auto"/>
        <w:rPr>
          <w:rFonts w:ascii="宋体" w:hAnsi="宋体"/>
          <w:b/>
          <w:sz w:val="24"/>
          <w:u w:val="single"/>
        </w:rPr>
      </w:pPr>
      <w:r>
        <w:rPr>
          <w:rFonts w:hint="eastAsia" w:ascii="宋体" w:hAnsi="宋体"/>
          <w:b/>
          <w:sz w:val="24"/>
          <w:u w:val="single"/>
        </w:rPr>
        <w:t xml:space="preserve">地址：                                       </w:t>
      </w:r>
    </w:p>
    <w:p>
      <w:pPr>
        <w:spacing w:line="360" w:lineRule="auto"/>
        <w:rPr>
          <w:rFonts w:ascii="宋体" w:hAnsi="宋体"/>
          <w:b/>
          <w:sz w:val="24"/>
          <w:u w:val="single"/>
        </w:rPr>
      </w:pPr>
      <w:r>
        <w:rPr>
          <w:rFonts w:hint="eastAsia" w:ascii="宋体" w:hAnsi="宋体"/>
          <w:b/>
          <w:sz w:val="24"/>
          <w:u w:val="single"/>
        </w:rPr>
        <w:t xml:space="preserve">乙方：                                       </w:t>
      </w:r>
    </w:p>
    <w:p>
      <w:pPr>
        <w:spacing w:line="360" w:lineRule="auto"/>
        <w:rPr>
          <w:rFonts w:ascii="宋体" w:hAnsi="宋体"/>
          <w:b/>
          <w:sz w:val="24"/>
          <w:u w:val="single"/>
        </w:rPr>
      </w:pPr>
      <w:r>
        <w:rPr>
          <w:rFonts w:hint="eastAsia" w:ascii="宋体" w:hAnsi="宋体"/>
          <w:b/>
          <w:sz w:val="24"/>
          <w:u w:val="single"/>
        </w:rPr>
        <w:t xml:space="preserve">法定代表人：                                 </w:t>
      </w:r>
    </w:p>
    <w:p>
      <w:pPr>
        <w:spacing w:line="360" w:lineRule="auto"/>
        <w:rPr>
          <w:rFonts w:ascii="宋体" w:hAnsi="宋体"/>
          <w:b/>
          <w:sz w:val="24"/>
          <w:u w:val="single"/>
        </w:rPr>
      </w:pPr>
      <w:r>
        <w:rPr>
          <w:rFonts w:hint="eastAsia" w:ascii="宋体" w:hAnsi="宋体"/>
          <w:b/>
          <w:sz w:val="24"/>
          <w:u w:val="single"/>
        </w:rPr>
        <w:t xml:space="preserve">住所地：                                     </w:t>
      </w:r>
    </w:p>
    <w:p>
      <w:pPr>
        <w:pStyle w:val="9"/>
        <w:spacing w:line="360" w:lineRule="auto"/>
        <w:ind w:firstLine="480" w:firstLineChars="200"/>
        <w:jc w:val="left"/>
        <w:rPr>
          <w:rFonts w:hAnsi="宋体"/>
          <w:sz w:val="24"/>
          <w:szCs w:val="24"/>
        </w:rPr>
      </w:pPr>
      <w:r>
        <w:rPr>
          <w:rFonts w:hint="eastAsia" w:hAnsi="宋体"/>
          <w:sz w:val="24"/>
          <w:szCs w:val="24"/>
        </w:rPr>
        <w:t>甲方为</w:t>
      </w:r>
      <w:r>
        <w:rPr>
          <w:rFonts w:hint="eastAsia" w:hAnsi="宋体"/>
          <w:sz w:val="24"/>
          <w:szCs w:val="24"/>
          <w:u w:val="single"/>
        </w:rPr>
        <w:t xml:space="preserve">           </w:t>
      </w:r>
      <w:r>
        <w:rPr>
          <w:rFonts w:hint="eastAsia" w:hAnsi="宋体"/>
          <w:sz w:val="24"/>
          <w:szCs w:val="24"/>
        </w:rPr>
        <w:t>项目（下称“本项目”）的物业服务企业，乙方为建筑装修垃圾清运服务专业机构，经甲、乙双方友好协商，在平等自愿的原则下，就乙方承包</w:t>
      </w:r>
      <w:r>
        <w:rPr>
          <w:rFonts w:hAnsi="宋体"/>
          <w:sz w:val="24"/>
          <w:szCs w:val="24"/>
        </w:rPr>
        <w:t>本项目</w:t>
      </w:r>
      <w:r>
        <w:rPr>
          <w:rFonts w:hint="eastAsia" w:hAnsi="宋体"/>
          <w:sz w:val="24"/>
          <w:szCs w:val="24"/>
        </w:rPr>
        <w:t>建筑装修垃圾清运服务（下称“垃圾清运服务”）达成一致，特签订本合同，以资共同信守。</w:t>
      </w:r>
    </w:p>
    <w:p>
      <w:pPr>
        <w:adjustRightInd w:val="0"/>
        <w:snapToGrid w:val="0"/>
        <w:spacing w:line="360" w:lineRule="auto"/>
        <w:ind w:firstLine="472" w:firstLineChars="196"/>
        <w:rPr>
          <w:rFonts w:ascii="宋体" w:hAnsi="宋体"/>
          <w:sz w:val="24"/>
        </w:rPr>
      </w:pPr>
      <w:r>
        <w:rPr>
          <w:rFonts w:hint="eastAsia" w:ascii="宋体" w:hAnsi="宋体"/>
          <w:b/>
          <w:sz w:val="24"/>
        </w:rPr>
        <w:t>第一条 承包项目地址：</w:t>
      </w:r>
      <w:r>
        <w:rPr>
          <w:rFonts w:hint="eastAsia" w:ascii="宋体" w:hAnsi="宋体"/>
          <w:b/>
          <w:sz w:val="24"/>
          <w:u w:val="single"/>
        </w:rPr>
        <w:t xml:space="preserve">                                      </w:t>
      </w:r>
    </w:p>
    <w:p>
      <w:pPr>
        <w:adjustRightInd w:val="0"/>
        <w:snapToGrid w:val="0"/>
        <w:spacing w:line="360" w:lineRule="auto"/>
        <w:ind w:firstLine="472" w:firstLineChars="196"/>
        <w:rPr>
          <w:rFonts w:ascii="宋体" w:hAnsi="宋体"/>
          <w:sz w:val="24"/>
        </w:rPr>
      </w:pPr>
      <w:r>
        <w:rPr>
          <w:rFonts w:hint="eastAsia" w:ascii="宋体" w:hAnsi="宋体"/>
          <w:b/>
          <w:sz w:val="24"/>
        </w:rPr>
        <w:t>第二条 承包方法及质量要求：</w:t>
      </w:r>
      <w:r>
        <w:rPr>
          <w:rFonts w:hint="eastAsia" w:ascii="宋体" w:hAnsi="宋体"/>
          <w:sz w:val="24"/>
          <w:u w:val="single"/>
        </w:rPr>
        <w:t>包工、包料(含清运材料、工具、机械、设备等)、包税、包安全、保质量</w:t>
      </w:r>
      <w:r>
        <w:rPr>
          <w:rFonts w:hint="eastAsia" w:ascii="宋体" w:hAnsi="宋体"/>
          <w:sz w:val="24"/>
        </w:rPr>
        <w:t>。</w:t>
      </w:r>
    </w:p>
    <w:p>
      <w:pPr>
        <w:pStyle w:val="9"/>
        <w:adjustRightInd w:val="0"/>
        <w:snapToGrid w:val="0"/>
        <w:spacing w:line="360" w:lineRule="auto"/>
        <w:ind w:firstLine="472" w:firstLineChars="196"/>
        <w:rPr>
          <w:rFonts w:hAnsi="宋体"/>
          <w:b/>
          <w:sz w:val="24"/>
          <w:szCs w:val="24"/>
        </w:rPr>
      </w:pPr>
      <w:r>
        <w:rPr>
          <w:rFonts w:hint="eastAsia" w:hAnsi="宋体"/>
          <w:b/>
          <w:sz w:val="24"/>
          <w:szCs w:val="24"/>
        </w:rPr>
        <w:t>第三条 服务期限</w:t>
      </w:r>
    </w:p>
    <w:p>
      <w:pPr>
        <w:pStyle w:val="9"/>
        <w:adjustRightInd w:val="0"/>
        <w:snapToGrid w:val="0"/>
        <w:spacing w:line="360" w:lineRule="auto"/>
        <w:ind w:firstLine="480" w:firstLineChars="200"/>
        <w:rPr>
          <w:rFonts w:hAnsi="宋体"/>
          <w:sz w:val="24"/>
          <w:szCs w:val="24"/>
        </w:rPr>
      </w:pPr>
      <w:r>
        <w:rPr>
          <w:rFonts w:hint="eastAsia" w:hAnsi="宋体"/>
          <w:sz w:val="24"/>
          <w:szCs w:val="24"/>
        </w:rPr>
        <w:t>本合同</w:t>
      </w:r>
      <w:r>
        <w:rPr>
          <w:rFonts w:hAnsi="宋体"/>
          <w:sz w:val="24"/>
          <w:szCs w:val="24"/>
        </w:rPr>
        <w:t>项下</w:t>
      </w:r>
      <w:r>
        <w:rPr>
          <w:rFonts w:hint="eastAsia" w:hAnsi="宋体"/>
          <w:sz w:val="24"/>
          <w:szCs w:val="24"/>
        </w:rPr>
        <w:t>建筑垃圾清运服务期限自</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日起至</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日止。服务期内，若甲方终止本项目的物业管理服务，则本协议同日自动终止。</w:t>
      </w:r>
    </w:p>
    <w:p>
      <w:pPr>
        <w:pStyle w:val="9"/>
        <w:adjustRightInd w:val="0"/>
        <w:snapToGrid w:val="0"/>
        <w:spacing w:line="360" w:lineRule="auto"/>
        <w:ind w:firstLine="482" w:firstLineChars="200"/>
        <w:rPr>
          <w:rFonts w:hAnsi="宋体"/>
          <w:b/>
          <w:sz w:val="24"/>
          <w:szCs w:val="24"/>
        </w:rPr>
      </w:pPr>
      <w:r>
        <w:rPr>
          <w:rFonts w:hint="eastAsia" w:hAnsi="宋体"/>
          <w:b/>
          <w:sz w:val="24"/>
          <w:szCs w:val="24"/>
        </w:rPr>
        <w:t>第四条 服务范围及内容</w:t>
      </w:r>
    </w:p>
    <w:p>
      <w:pPr>
        <w:spacing w:line="360" w:lineRule="auto"/>
        <w:ind w:firstLine="480" w:firstLineChars="200"/>
        <w:rPr>
          <w:rFonts w:ascii="宋体" w:hAnsi="宋体"/>
          <w:sz w:val="24"/>
        </w:rPr>
      </w:pPr>
      <w:r>
        <w:rPr>
          <w:rFonts w:hint="eastAsia" w:ascii="宋体" w:hAnsi="宋体"/>
          <w:sz w:val="24"/>
        </w:rPr>
        <w:t>1、本合同</w:t>
      </w:r>
      <w:r>
        <w:rPr>
          <w:rFonts w:ascii="宋体" w:hAnsi="宋体"/>
          <w:sz w:val="24"/>
        </w:rPr>
        <w:t>项下</w:t>
      </w:r>
      <w:r>
        <w:rPr>
          <w:rFonts w:hint="eastAsia" w:ascii="宋体" w:hAnsi="宋体"/>
          <w:sz w:val="24"/>
        </w:rPr>
        <w:t>建筑垃圾清运服务范围为：甲方实施物业管理服务的</w:t>
      </w:r>
      <w:r>
        <w:rPr>
          <w:rFonts w:hint="eastAsia" w:ascii="宋体" w:hAnsi="宋体"/>
          <w:sz w:val="24"/>
          <w:u w:val="single"/>
        </w:rPr>
        <w:t>本</w:t>
      </w:r>
      <w:r>
        <w:rPr>
          <w:rFonts w:hint="eastAsia" w:ascii="宋体" w:hAnsi="宋体"/>
          <w:sz w:val="24"/>
        </w:rPr>
        <w:t>项目业主在二次装修时所产生的建筑垃圾（不包含园林绿化垃圾、生活垃圾的清运）。</w:t>
      </w:r>
    </w:p>
    <w:p>
      <w:pPr>
        <w:spacing w:line="360" w:lineRule="auto"/>
        <w:ind w:firstLine="480" w:firstLineChars="200"/>
        <w:rPr>
          <w:rFonts w:ascii="宋体" w:hAnsi="宋体"/>
          <w:sz w:val="24"/>
        </w:rPr>
      </w:pPr>
      <w:r>
        <w:rPr>
          <w:rFonts w:hint="eastAsia" w:ascii="宋体" w:hAnsi="宋体"/>
          <w:sz w:val="24"/>
        </w:rPr>
        <w:t>2、本合同</w:t>
      </w:r>
      <w:r>
        <w:rPr>
          <w:rFonts w:ascii="宋体" w:hAnsi="宋体"/>
          <w:sz w:val="24"/>
        </w:rPr>
        <w:t>项下</w:t>
      </w:r>
      <w:r>
        <w:rPr>
          <w:rFonts w:hint="eastAsia" w:ascii="宋体" w:hAnsi="宋体"/>
          <w:sz w:val="24"/>
        </w:rPr>
        <w:t>建筑垃圾清运服务的内容为：</w:t>
      </w:r>
    </w:p>
    <w:p>
      <w:pPr>
        <w:spacing w:line="360" w:lineRule="auto"/>
        <w:ind w:firstLine="480" w:firstLineChars="200"/>
        <w:rPr>
          <w:rFonts w:ascii="宋体" w:hAnsi="宋体"/>
          <w:sz w:val="24"/>
        </w:rPr>
      </w:pPr>
      <w:r>
        <w:rPr>
          <w:rFonts w:hint="eastAsia" w:ascii="宋体" w:hAnsi="宋体"/>
          <w:sz w:val="24"/>
        </w:rPr>
        <w:t>1）本项目服务范围内所有建筑垃圾的清理、清运；</w:t>
      </w:r>
    </w:p>
    <w:p>
      <w:pPr>
        <w:spacing w:line="360" w:lineRule="auto"/>
        <w:ind w:firstLine="480" w:firstLineChars="200"/>
        <w:rPr>
          <w:rFonts w:ascii="宋体" w:hAnsi="宋体"/>
          <w:sz w:val="24"/>
        </w:rPr>
      </w:pPr>
      <w:r>
        <w:rPr>
          <w:rFonts w:hint="eastAsia" w:ascii="宋体" w:hAnsi="宋体"/>
          <w:sz w:val="24"/>
        </w:rPr>
        <w:t>2）负责在甲方指定的堆放点修建围栏设施，以免造成区域污染（硬隔断、墙面、柱角、地面保护等）。</w:t>
      </w:r>
    </w:p>
    <w:p>
      <w:pPr>
        <w:spacing w:line="360" w:lineRule="auto"/>
        <w:ind w:firstLine="480" w:firstLineChars="200"/>
        <w:rPr>
          <w:rFonts w:ascii="宋体" w:hAnsi="宋体"/>
          <w:sz w:val="24"/>
        </w:rPr>
      </w:pPr>
      <w:r>
        <w:rPr>
          <w:rFonts w:hint="eastAsia" w:ascii="宋体" w:hAnsi="宋体"/>
          <w:sz w:val="24"/>
        </w:rPr>
        <w:t>3）配备专业的保洁人员及时清理装卸车现场及周边遗落的建筑垃圾，针对某些部位无法采用常规办法清扫的，应配备专业工具（如吸尘器）予以清理，保持环境整体整洁、干净。</w:t>
      </w:r>
    </w:p>
    <w:p>
      <w:pPr>
        <w:spacing w:line="360" w:lineRule="auto"/>
        <w:ind w:firstLine="482" w:firstLineChars="200"/>
        <w:rPr>
          <w:rFonts w:ascii="宋体" w:hAnsi="宋体"/>
          <w:sz w:val="24"/>
        </w:rPr>
      </w:pPr>
      <w:r>
        <w:rPr>
          <w:rFonts w:hint="eastAsia" w:ascii="宋体" w:hAnsi="宋体"/>
          <w:b/>
          <w:sz w:val="24"/>
        </w:rPr>
        <w:t>第五条 保证金</w:t>
      </w:r>
    </w:p>
    <w:p>
      <w:pPr>
        <w:spacing w:line="360" w:lineRule="auto"/>
        <w:ind w:firstLine="480" w:firstLineChars="200"/>
        <w:rPr>
          <w:rFonts w:ascii="宋体" w:hAnsi="宋体"/>
          <w:sz w:val="24"/>
        </w:rPr>
      </w:pPr>
      <w:r>
        <w:rPr>
          <w:rFonts w:hint="eastAsia" w:ascii="宋体" w:hAnsi="宋体"/>
          <w:sz w:val="24"/>
        </w:rPr>
        <w:t>1、乙方应在本合同签署后3日内，向甲方缴纳人民币       元整的履约保证金（以下称“保证金”），上述保证金作为乙方履行本合同义务的担保。</w:t>
      </w:r>
    </w:p>
    <w:p>
      <w:pPr>
        <w:spacing w:line="360" w:lineRule="auto"/>
        <w:ind w:firstLine="480" w:firstLineChars="200"/>
        <w:rPr>
          <w:rFonts w:ascii="宋体" w:hAnsi="宋体"/>
          <w:sz w:val="24"/>
        </w:rPr>
      </w:pPr>
      <w:r>
        <w:rPr>
          <w:rFonts w:hint="eastAsia" w:ascii="宋体" w:hAnsi="宋体"/>
          <w:sz w:val="24"/>
        </w:rPr>
        <w:t>2、如乙方发生违约，甲方有权从中扣除乙方应承担的赔偿金或违约金，该等扣除金额将视为乙方向甲方支付的赔偿金或违约金，乙方应在甲方扣款后3个工作日内补足保证金。</w:t>
      </w:r>
    </w:p>
    <w:p>
      <w:pPr>
        <w:spacing w:line="360" w:lineRule="auto"/>
        <w:ind w:firstLine="480" w:firstLineChars="200"/>
        <w:rPr>
          <w:rFonts w:ascii="宋体" w:hAnsi="宋体"/>
          <w:sz w:val="24"/>
        </w:rPr>
      </w:pPr>
      <w:r>
        <w:rPr>
          <w:rFonts w:hint="eastAsia" w:ascii="宋体" w:hAnsi="宋体"/>
          <w:sz w:val="24"/>
        </w:rPr>
        <w:t>3、服务期限届满后15日内，甲方无息退还保证金剩余部分（如有）。乙方应同时退还甲方保证金收据原件。</w:t>
      </w:r>
    </w:p>
    <w:p>
      <w:pPr>
        <w:spacing w:line="360" w:lineRule="auto"/>
        <w:ind w:firstLine="482" w:firstLineChars="200"/>
        <w:rPr>
          <w:rFonts w:ascii="宋体" w:hAnsi="宋体"/>
          <w:sz w:val="24"/>
        </w:rPr>
      </w:pPr>
      <w:r>
        <w:rPr>
          <w:rFonts w:hint="eastAsia" w:ascii="宋体" w:hAnsi="宋体"/>
          <w:b/>
          <w:sz w:val="24"/>
        </w:rPr>
        <w:t>第六条 价款及支付方式</w:t>
      </w:r>
    </w:p>
    <w:p>
      <w:pPr>
        <w:spacing w:line="360" w:lineRule="auto"/>
        <w:ind w:firstLine="480" w:firstLineChars="200"/>
        <w:rPr>
          <w:rFonts w:ascii="宋体" w:hAnsi="宋体"/>
          <w:sz w:val="24"/>
        </w:rPr>
      </w:pPr>
      <w:r>
        <w:rPr>
          <w:rFonts w:hint="eastAsia" w:ascii="宋体" w:hAnsi="宋体"/>
          <w:sz w:val="24"/>
        </w:rPr>
        <w:t>1、本合同</w:t>
      </w:r>
      <w:r>
        <w:rPr>
          <w:rFonts w:ascii="宋体" w:hAnsi="宋体"/>
          <w:sz w:val="24"/>
        </w:rPr>
        <w:t>项下</w:t>
      </w:r>
      <w:r>
        <w:rPr>
          <w:rFonts w:hint="eastAsia" w:ascii="宋体" w:hAnsi="宋体"/>
          <w:sz w:val="24"/>
        </w:rPr>
        <w:t>清运费按套内面积计算，住宅和商铺均按每平米人民币</w:t>
      </w:r>
      <w:r>
        <w:rPr>
          <w:rFonts w:hint="eastAsia" w:ascii="宋体" w:hAnsi="宋体"/>
          <w:sz w:val="24"/>
          <w:u w:val="single"/>
        </w:rPr>
        <w:t xml:space="preserve">     </w:t>
      </w:r>
      <w:r>
        <w:rPr>
          <w:rFonts w:hint="eastAsia" w:ascii="宋体" w:hAnsi="宋体"/>
          <w:sz w:val="24"/>
        </w:rPr>
        <w:t>元整结算。</w:t>
      </w:r>
    </w:p>
    <w:p>
      <w:pPr>
        <w:spacing w:line="360" w:lineRule="auto"/>
        <w:ind w:firstLine="480" w:firstLineChars="200"/>
        <w:rPr>
          <w:rFonts w:ascii="宋体" w:hAnsi="宋体"/>
          <w:sz w:val="24"/>
        </w:rPr>
      </w:pPr>
      <w:r>
        <w:rPr>
          <w:rFonts w:hint="eastAsia" w:ascii="宋体" w:hAnsi="宋体"/>
          <w:sz w:val="24"/>
        </w:rPr>
        <w:t>2、上述清运费单价包干，不因任何原因（包括物价上涨、最低工资标准或社保缴费基数上调、人员配置增加、设备配置调整等）调增，包括但不限于建筑垃圾装车费、运输费、卸车费、建筑垃圾堆放点场地清理费、建筑垃圾堆放点场地围挡及地面保护费、清运通道开辟及后期围挡拆除的场地恢复费、因建筑垃圾清运所产生的安全纠纷所产生的费用等，除此之外，甲方不再向乙方支付任何费用。</w:t>
      </w:r>
    </w:p>
    <w:p>
      <w:pPr>
        <w:spacing w:line="360" w:lineRule="auto"/>
        <w:ind w:firstLine="480" w:firstLineChars="200"/>
        <w:rPr>
          <w:rFonts w:ascii="宋体" w:hAnsi="宋体"/>
          <w:sz w:val="24"/>
        </w:rPr>
      </w:pPr>
      <w:r>
        <w:rPr>
          <w:rFonts w:hint="eastAsia" w:ascii="宋体" w:hAnsi="宋体"/>
          <w:sz w:val="24"/>
        </w:rPr>
        <w:t>3、清运费分两次结算，房屋户内泥水施工完成后结算该户50%的清运费，房屋户内装修完工后结算剩余50%的清运费。每季度首月10日前，甲方提供上一季度装修户数进度情况及付款金额由甲乙双方共同确认，确认完成后由乙方开具相应金额的增值税专用发票提交给甲方，甲方在收到乙方发票之日起 10个工作日内以银行转账的方式支付乙方费用(遇节假日顺延)。</w:t>
      </w:r>
    </w:p>
    <w:p>
      <w:pPr>
        <w:spacing w:line="360" w:lineRule="auto"/>
        <w:ind w:firstLine="480" w:firstLineChars="200"/>
        <w:rPr>
          <w:rFonts w:ascii="宋体" w:hAnsi="宋体"/>
          <w:sz w:val="24"/>
        </w:rPr>
      </w:pPr>
      <w:r>
        <w:rPr>
          <w:rFonts w:hint="eastAsia" w:ascii="宋体" w:hAnsi="宋体"/>
          <w:sz w:val="24"/>
        </w:rPr>
        <w:t>4、本合同价格为含税价格，乙方应在甲方每次付款前，向甲方开具足额合法发票，否则甲方有权顺延付款，且不承担违约责任。</w:t>
      </w:r>
    </w:p>
    <w:p>
      <w:pPr>
        <w:spacing w:line="360" w:lineRule="auto"/>
        <w:ind w:firstLine="480" w:firstLineChars="200"/>
        <w:rPr>
          <w:rFonts w:ascii="宋体" w:hAnsi="宋体"/>
          <w:sz w:val="24"/>
        </w:rPr>
      </w:pPr>
      <w:r>
        <w:rPr>
          <w:rFonts w:ascii="宋体" w:hAnsi="宋体"/>
          <w:sz w:val="24"/>
        </w:rPr>
        <w:t>乙方收款账户信息如下</w:t>
      </w:r>
      <w:r>
        <w:rPr>
          <w:rFonts w:hint="eastAsia" w:ascii="宋体" w:hAnsi="宋体"/>
          <w:sz w:val="24"/>
        </w:rPr>
        <w:t>：</w:t>
      </w:r>
    </w:p>
    <w:p>
      <w:pPr>
        <w:spacing w:line="480" w:lineRule="exact"/>
        <w:ind w:firstLine="480" w:firstLineChars="200"/>
        <w:rPr>
          <w:rFonts w:ascii="宋体" w:hAnsi="宋体"/>
          <w:sz w:val="24"/>
          <w:u w:val="single"/>
        </w:rPr>
      </w:pPr>
      <w:r>
        <w:rPr>
          <w:rFonts w:hint="eastAsia" w:ascii="宋体" w:hAnsi="宋体"/>
          <w:sz w:val="24"/>
          <w:u w:val="single"/>
        </w:rPr>
        <w:t xml:space="preserve">乙方户名：                                   </w:t>
      </w:r>
    </w:p>
    <w:p>
      <w:pPr>
        <w:spacing w:line="480" w:lineRule="exact"/>
        <w:ind w:firstLine="480" w:firstLineChars="200"/>
        <w:rPr>
          <w:rFonts w:ascii="宋体" w:hAnsi="宋体"/>
          <w:sz w:val="24"/>
          <w:u w:val="single"/>
        </w:rPr>
      </w:pPr>
      <w:r>
        <w:rPr>
          <w:rFonts w:hint="eastAsia" w:ascii="宋体" w:hAnsi="宋体"/>
          <w:sz w:val="24"/>
          <w:u w:val="single"/>
        </w:rPr>
        <w:t xml:space="preserve">纳税人识别号：                               </w:t>
      </w:r>
    </w:p>
    <w:p>
      <w:pPr>
        <w:spacing w:line="480" w:lineRule="exact"/>
        <w:ind w:firstLine="480" w:firstLineChars="200"/>
        <w:rPr>
          <w:rFonts w:ascii="宋体" w:hAnsi="宋体"/>
          <w:sz w:val="24"/>
          <w:u w:val="single"/>
        </w:rPr>
      </w:pPr>
      <w:r>
        <w:rPr>
          <w:rFonts w:hint="eastAsia" w:ascii="宋体" w:hAnsi="宋体"/>
          <w:sz w:val="24"/>
          <w:u w:val="single"/>
        </w:rPr>
        <w:t xml:space="preserve">银行账号：                                   </w:t>
      </w:r>
    </w:p>
    <w:p>
      <w:pPr>
        <w:spacing w:line="480" w:lineRule="exact"/>
        <w:ind w:firstLine="480" w:firstLineChars="200"/>
        <w:rPr>
          <w:rFonts w:ascii="宋体" w:hAnsi="宋体"/>
          <w:sz w:val="24"/>
          <w:u w:val="single"/>
        </w:rPr>
      </w:pPr>
      <w:r>
        <w:rPr>
          <w:rFonts w:hint="eastAsia" w:ascii="宋体" w:hAnsi="宋体"/>
          <w:sz w:val="24"/>
          <w:u w:val="single"/>
        </w:rPr>
        <w:t xml:space="preserve">开户银行：                                   </w:t>
      </w:r>
    </w:p>
    <w:p>
      <w:pPr>
        <w:spacing w:line="360" w:lineRule="auto"/>
        <w:ind w:firstLine="480" w:firstLineChars="200"/>
        <w:rPr>
          <w:rFonts w:ascii="宋体" w:hAnsi="宋体"/>
          <w:sz w:val="24"/>
        </w:rPr>
      </w:pPr>
      <w:r>
        <w:rPr>
          <w:rFonts w:hint="eastAsia" w:ascii="宋体" w:hAnsi="宋体"/>
          <w:sz w:val="24"/>
        </w:rPr>
        <w:t>乙</w:t>
      </w:r>
      <w:r>
        <w:rPr>
          <w:rFonts w:ascii="宋体" w:hAnsi="宋体"/>
          <w:sz w:val="24"/>
        </w:rPr>
        <w:t>方如需改变上述账户，应提前15</w:t>
      </w:r>
      <w:r>
        <w:rPr>
          <w:rFonts w:hint="eastAsia" w:ascii="宋体" w:hAnsi="宋体"/>
          <w:sz w:val="24"/>
        </w:rPr>
        <w:t>日以书面形式通知甲方。如乙方未按本合同规定通知而遭受损失的自行承担，若使甲方遭受损失的，应赔偿相应损失并承担当期付款金额</w:t>
      </w:r>
      <w:r>
        <w:rPr>
          <w:rFonts w:ascii="宋体" w:hAnsi="宋体"/>
          <w:sz w:val="24"/>
        </w:rPr>
        <w:t>20%的违约金。</w:t>
      </w:r>
    </w:p>
    <w:p>
      <w:pPr>
        <w:spacing w:line="360" w:lineRule="auto"/>
        <w:ind w:firstLine="424" w:firstLineChars="176"/>
        <w:rPr>
          <w:rFonts w:ascii="宋体" w:hAnsi="宋体"/>
          <w:sz w:val="24"/>
        </w:rPr>
      </w:pPr>
      <w:r>
        <w:rPr>
          <w:rFonts w:hint="eastAsia" w:ascii="宋体" w:hAnsi="宋体"/>
          <w:b/>
          <w:sz w:val="24"/>
        </w:rPr>
        <w:t>第七条 甲方权利和义务</w:t>
      </w:r>
    </w:p>
    <w:p>
      <w:pPr>
        <w:spacing w:line="360" w:lineRule="auto"/>
        <w:ind w:firstLine="422" w:firstLineChars="176"/>
        <w:rPr>
          <w:rFonts w:ascii="宋体" w:hAnsi="宋体"/>
          <w:sz w:val="24"/>
        </w:rPr>
      </w:pPr>
      <w:r>
        <w:rPr>
          <w:rFonts w:hint="eastAsia" w:ascii="宋体" w:hAnsi="宋体"/>
          <w:sz w:val="24"/>
        </w:rPr>
        <w:t>1、甲方根据产生的建筑垃圾量指定垃圾堆放点及制定清运时间。</w:t>
      </w:r>
    </w:p>
    <w:p>
      <w:pPr>
        <w:spacing w:line="360" w:lineRule="auto"/>
        <w:ind w:firstLine="422" w:firstLineChars="176"/>
        <w:rPr>
          <w:rFonts w:ascii="宋体" w:hAnsi="宋体"/>
          <w:sz w:val="24"/>
        </w:rPr>
      </w:pPr>
      <w:r>
        <w:rPr>
          <w:rFonts w:hint="eastAsia" w:ascii="宋体" w:hAnsi="宋体"/>
          <w:sz w:val="24"/>
        </w:rPr>
        <w:t>2、甲方有权指定专人指导、检查乙方工作质量，发现问题及时通知乙方，要求乙方限期整改。</w:t>
      </w:r>
    </w:p>
    <w:p>
      <w:pPr>
        <w:spacing w:line="360" w:lineRule="auto"/>
        <w:ind w:firstLine="422" w:firstLineChars="176"/>
        <w:rPr>
          <w:rFonts w:ascii="宋体" w:hAnsi="宋体"/>
          <w:sz w:val="24"/>
        </w:rPr>
      </w:pPr>
      <w:r>
        <w:rPr>
          <w:rFonts w:hint="eastAsia" w:ascii="宋体" w:hAnsi="宋体"/>
          <w:sz w:val="24"/>
        </w:rPr>
        <w:t>3、甲方有权制定相应的管理措施，监督标准等，以保证乙方按照合同及其它双方议定的要求运作。</w:t>
      </w:r>
    </w:p>
    <w:p>
      <w:pPr>
        <w:spacing w:line="360" w:lineRule="auto"/>
        <w:ind w:firstLine="422" w:firstLineChars="176"/>
        <w:rPr>
          <w:rFonts w:ascii="宋体" w:hAnsi="宋体"/>
          <w:sz w:val="24"/>
        </w:rPr>
      </w:pPr>
      <w:r>
        <w:rPr>
          <w:rFonts w:hint="eastAsia" w:ascii="宋体" w:hAnsi="宋体"/>
          <w:sz w:val="24"/>
        </w:rPr>
        <w:t>4、监督乙方遵守项目的相关规定。</w:t>
      </w:r>
    </w:p>
    <w:p>
      <w:pPr>
        <w:spacing w:line="360" w:lineRule="auto"/>
        <w:ind w:firstLine="422" w:firstLineChars="176"/>
        <w:rPr>
          <w:rFonts w:ascii="宋体" w:hAnsi="宋体"/>
          <w:sz w:val="24"/>
        </w:rPr>
      </w:pPr>
      <w:r>
        <w:rPr>
          <w:rFonts w:hint="eastAsia" w:ascii="宋体" w:hAnsi="宋体"/>
          <w:sz w:val="24"/>
        </w:rPr>
        <w:t>5、制止乙方在建筑垃圾清运过程中扰民破坏行为。</w:t>
      </w:r>
    </w:p>
    <w:p>
      <w:pPr>
        <w:spacing w:line="360" w:lineRule="auto"/>
        <w:ind w:firstLine="422" w:firstLineChars="176"/>
        <w:rPr>
          <w:rFonts w:ascii="宋体" w:hAnsi="宋体"/>
          <w:sz w:val="24"/>
        </w:rPr>
      </w:pPr>
      <w:r>
        <w:rPr>
          <w:rFonts w:hint="eastAsia" w:ascii="宋体" w:hAnsi="宋体"/>
          <w:sz w:val="24"/>
        </w:rPr>
        <w:t>6、指引业主按照规定将建筑垃圾堆放在指定的堆放点。</w:t>
      </w:r>
    </w:p>
    <w:p>
      <w:pPr>
        <w:spacing w:line="360" w:lineRule="auto"/>
        <w:ind w:firstLine="422" w:firstLineChars="176"/>
        <w:rPr>
          <w:rFonts w:ascii="宋体" w:hAnsi="宋体"/>
          <w:sz w:val="24"/>
        </w:rPr>
      </w:pPr>
      <w:r>
        <w:rPr>
          <w:rFonts w:hint="eastAsia" w:ascii="宋体" w:hAnsi="宋体"/>
          <w:sz w:val="24"/>
        </w:rPr>
        <w:t>7、按本合同约定及时向乙方支付建筑垃圾清运费用。</w:t>
      </w:r>
    </w:p>
    <w:p>
      <w:pPr>
        <w:spacing w:line="360" w:lineRule="auto"/>
        <w:ind w:firstLine="422" w:firstLineChars="176"/>
        <w:rPr>
          <w:rFonts w:ascii="宋体" w:hAnsi="宋体"/>
          <w:sz w:val="24"/>
        </w:rPr>
      </w:pPr>
      <w:r>
        <w:rPr>
          <w:rFonts w:hint="eastAsia" w:ascii="宋体" w:hAnsi="宋体"/>
          <w:sz w:val="24"/>
        </w:rPr>
        <w:t>8、乙方作业过程中，如造成本项目公共部位或公共财物等损坏的，应负责修复或赔偿，否则甲方有权依据被损坏部分、物品等的实际价值或维修所需费用，扣除乙方相应的保证金，不足部分由乙方补齐。</w:t>
      </w:r>
    </w:p>
    <w:p>
      <w:pPr>
        <w:spacing w:line="360" w:lineRule="auto"/>
        <w:ind w:firstLine="482" w:firstLineChars="200"/>
        <w:rPr>
          <w:rFonts w:ascii="宋体" w:hAnsi="宋体"/>
          <w:sz w:val="24"/>
        </w:rPr>
      </w:pPr>
      <w:r>
        <w:rPr>
          <w:rFonts w:hint="eastAsia" w:ascii="宋体" w:hAnsi="宋体"/>
          <w:b/>
          <w:sz w:val="24"/>
        </w:rPr>
        <w:t>第八条 乙方权利和义务</w:t>
      </w:r>
    </w:p>
    <w:p>
      <w:pPr>
        <w:spacing w:line="360" w:lineRule="auto"/>
        <w:ind w:firstLine="480" w:firstLineChars="200"/>
        <w:rPr>
          <w:rFonts w:ascii="宋体" w:hAnsi="宋体"/>
          <w:sz w:val="24"/>
        </w:rPr>
      </w:pPr>
      <w:r>
        <w:rPr>
          <w:rFonts w:hint="eastAsia" w:ascii="宋体" w:hAnsi="宋体"/>
          <w:sz w:val="24"/>
        </w:rPr>
        <w:t>1、乙方需自备建筑垃圾清运车并自行承担所有费用(包括但不限于燃油费、保险费、维修费等)。乙方应负责建筑垃圾装卸点场地清理、场地围挡及地面保护方案实施(方案须经本项目物服中心审批)、清运通道开辟(包括与周边村落、街道等相关村委、社区进行协商、公关等)及后期拆除等责任。</w:t>
      </w:r>
    </w:p>
    <w:p>
      <w:pPr>
        <w:spacing w:line="360" w:lineRule="auto"/>
        <w:ind w:firstLine="480" w:firstLineChars="200"/>
        <w:rPr>
          <w:rFonts w:ascii="宋体" w:hAnsi="宋体"/>
          <w:sz w:val="24"/>
        </w:rPr>
      </w:pPr>
      <w:r>
        <w:rPr>
          <w:rFonts w:hint="eastAsia" w:ascii="宋体" w:hAnsi="宋体"/>
          <w:sz w:val="24"/>
        </w:rPr>
        <w:t>2、乙方垃圾清运车辆应封闭良好，清运垃圾时应自装自卸，清运途中严禁滴、洒、漏现象，不得造成小区二次污染。</w:t>
      </w:r>
    </w:p>
    <w:p>
      <w:pPr>
        <w:spacing w:line="360" w:lineRule="auto"/>
        <w:ind w:firstLine="480" w:firstLineChars="200"/>
        <w:rPr>
          <w:rFonts w:ascii="宋体" w:hAnsi="宋体"/>
          <w:sz w:val="24"/>
        </w:rPr>
      </w:pPr>
      <w:r>
        <w:rPr>
          <w:rFonts w:hint="eastAsia" w:ascii="宋体" w:hAnsi="宋体"/>
          <w:sz w:val="24"/>
        </w:rPr>
        <w:t>3、乙方应在甲方通知的时间内及时清运垃圾，不得以任何理由拖延清运时间。</w:t>
      </w:r>
    </w:p>
    <w:p>
      <w:pPr>
        <w:spacing w:line="360" w:lineRule="auto"/>
        <w:ind w:firstLine="480" w:firstLineChars="200"/>
        <w:rPr>
          <w:rFonts w:ascii="宋体" w:hAnsi="宋体"/>
          <w:sz w:val="24"/>
        </w:rPr>
      </w:pPr>
      <w:r>
        <w:rPr>
          <w:rFonts w:hint="eastAsia" w:ascii="宋体" w:hAnsi="宋体"/>
          <w:sz w:val="24"/>
        </w:rPr>
        <w:t>4、 乙方不得在清运过程中损坏小区内设备设施以及园林绿化，否则按价赔偿，若因甲方的原因造成的损失与乙方无关。</w:t>
      </w:r>
    </w:p>
    <w:p>
      <w:pPr>
        <w:spacing w:line="360" w:lineRule="auto"/>
        <w:ind w:firstLine="480" w:firstLineChars="200"/>
        <w:rPr>
          <w:rFonts w:ascii="宋体" w:hAnsi="宋体"/>
          <w:sz w:val="24"/>
        </w:rPr>
      </w:pPr>
      <w:r>
        <w:rPr>
          <w:rFonts w:hint="eastAsia" w:ascii="宋体" w:hAnsi="宋体"/>
          <w:sz w:val="24"/>
        </w:rPr>
        <w:t>5、乙方在清运过程中应遵守相关法律、法规，守法经营，否则由此产生的一切责任由乙方自行承担。清运过程中，若需办理有关手续或被有关部门罚款，由乙方负责处理并承担相关责任和费用。</w:t>
      </w:r>
    </w:p>
    <w:p>
      <w:pPr>
        <w:spacing w:line="360" w:lineRule="auto"/>
        <w:ind w:firstLine="480" w:firstLineChars="200"/>
        <w:rPr>
          <w:rFonts w:ascii="宋体" w:hAnsi="宋体"/>
          <w:sz w:val="24"/>
        </w:rPr>
      </w:pPr>
      <w:r>
        <w:rPr>
          <w:rFonts w:hint="eastAsia" w:ascii="宋体" w:hAnsi="宋体"/>
          <w:sz w:val="24"/>
        </w:rPr>
        <w:t>6、确保做到建筑垃圾及时运出小区，如未按照甲方要求按时清运时，甲方有权请人代运，所发生费用从乙方的结算款中予以扣除，乙方不得有异议。累计三次未按时清运，甲方有权无条件单方面解除合同。</w:t>
      </w:r>
    </w:p>
    <w:p>
      <w:pPr>
        <w:spacing w:line="360" w:lineRule="auto"/>
        <w:ind w:firstLine="480" w:firstLineChars="200"/>
        <w:rPr>
          <w:rFonts w:ascii="宋体" w:hAnsi="宋体"/>
          <w:sz w:val="24"/>
        </w:rPr>
      </w:pPr>
      <w:r>
        <w:rPr>
          <w:rFonts w:hint="eastAsia" w:ascii="宋体" w:hAnsi="宋体"/>
          <w:sz w:val="24"/>
        </w:rPr>
        <w:t>7、清运每车建筑垃圾都需到甲方指定地点进行确认、登记。</w:t>
      </w:r>
    </w:p>
    <w:p>
      <w:pPr>
        <w:spacing w:line="360" w:lineRule="auto"/>
        <w:ind w:firstLine="480" w:firstLineChars="200"/>
        <w:rPr>
          <w:rFonts w:ascii="宋体" w:hAnsi="宋体"/>
          <w:sz w:val="24"/>
        </w:rPr>
      </w:pPr>
      <w:r>
        <w:rPr>
          <w:rFonts w:hint="eastAsia" w:ascii="宋体" w:hAnsi="宋体"/>
          <w:sz w:val="24"/>
        </w:rPr>
        <w:t>8、如遇紧急情况(如政府或开发商有大型活动，环卫部门卫生检查等)应配合甲方要求，及时清运。</w:t>
      </w:r>
    </w:p>
    <w:p>
      <w:pPr>
        <w:spacing w:line="360" w:lineRule="auto"/>
        <w:ind w:firstLine="480" w:firstLineChars="200"/>
        <w:rPr>
          <w:rFonts w:ascii="宋体" w:hAnsi="宋体"/>
          <w:sz w:val="24"/>
        </w:rPr>
      </w:pPr>
      <w:r>
        <w:rPr>
          <w:rFonts w:hint="eastAsia" w:ascii="宋体" w:hAnsi="宋体"/>
          <w:sz w:val="24"/>
        </w:rPr>
        <w:t>10、若建筑垃圾堆放点需要移动，乙方应无条件配合，确保清运工作正常开展。</w:t>
      </w:r>
    </w:p>
    <w:p>
      <w:pPr>
        <w:spacing w:line="360" w:lineRule="auto"/>
        <w:ind w:firstLine="480" w:firstLineChars="200"/>
        <w:rPr>
          <w:rFonts w:ascii="宋体" w:hAnsi="宋体"/>
          <w:sz w:val="24"/>
        </w:rPr>
      </w:pPr>
      <w:r>
        <w:rPr>
          <w:rFonts w:hint="eastAsia" w:ascii="宋体" w:hAnsi="宋体"/>
          <w:sz w:val="24"/>
        </w:rPr>
        <w:t>11、乙方保证自己具备提供本合同约定服务的合法资格，否则因此受到政府部门的处罚，乙方应承担全部责任。服务期限内，乙方应确保上述资格的持续有效性，否则甲方有权立即解除本合同。</w:t>
      </w:r>
    </w:p>
    <w:p>
      <w:pPr>
        <w:spacing w:line="360" w:lineRule="auto"/>
        <w:ind w:firstLine="480" w:firstLineChars="200"/>
        <w:rPr>
          <w:rFonts w:ascii="宋体" w:hAnsi="宋体"/>
          <w:sz w:val="24"/>
        </w:rPr>
      </w:pPr>
      <w:r>
        <w:rPr>
          <w:rFonts w:hint="eastAsia" w:ascii="宋体" w:hAnsi="宋体"/>
          <w:sz w:val="24"/>
        </w:rPr>
        <w:t>12、乙方应依法与其员工建立劳动合同关系，缴交医社保，并保证该劳动合同关系在本合同履行期间合法存续。甲方不承担乙方与其员工劳动合同项下的责任，乙方处理与其员工的劳动纠纷不得影响本合同正常履行。</w:t>
      </w:r>
    </w:p>
    <w:p>
      <w:pPr>
        <w:spacing w:line="360" w:lineRule="auto"/>
        <w:ind w:firstLine="480" w:firstLineChars="200"/>
        <w:rPr>
          <w:rFonts w:ascii="宋体" w:hAnsi="宋体"/>
          <w:sz w:val="24"/>
        </w:rPr>
      </w:pPr>
      <w:r>
        <w:rPr>
          <w:rFonts w:hint="eastAsia" w:ascii="宋体" w:hAnsi="宋体"/>
          <w:sz w:val="24"/>
        </w:rPr>
        <w:t>13、乙方必须遵守甲方的各项管理规章及本项目管理规约，严禁进行一切违反法律法规规定及违背社会公德的行为，积极配合本项目维序人员的治安工作，进入本项目的装卸人员必须统一服装、挂牌上岗（进场人员交一寸照片、身份证复印件各一份，到甲方本项目物业服务处办理出入证），不得做出有损于甲方形象的行为。乙方指定</w:t>
      </w:r>
      <w:r>
        <w:rPr>
          <w:rFonts w:hint="eastAsia" w:ascii="宋体" w:hAnsi="宋体"/>
          <w:sz w:val="24"/>
          <w:u w:val="single"/>
        </w:rPr>
        <w:t xml:space="preserve">         </w:t>
      </w:r>
      <w:r>
        <w:rPr>
          <w:rFonts w:hint="eastAsia" w:ascii="宋体" w:hAnsi="宋体"/>
          <w:sz w:val="24"/>
        </w:rPr>
        <w:t>为现场负责人，联系电话：</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14、乙方应确保现场作业安全规范。若乙方作业过程中发生安全事故或乙方员工发生工伤事故，均由乙方负责处理和承担相关责任和费用。乙方作业过程中造成他人财产损失或人身损害的，由乙方承担赔偿责任，如甲方代为承担的，有权向乙方追偿因此造成甲方的一切损失。清运过程中，若需办理有关手续或被有关部门罚款，由乙方负责处理并承担相关责任和费用。</w:t>
      </w:r>
    </w:p>
    <w:p>
      <w:pPr>
        <w:spacing w:line="360" w:lineRule="auto"/>
        <w:ind w:firstLine="482" w:firstLineChars="200"/>
        <w:rPr>
          <w:rFonts w:ascii="宋体" w:hAnsi="宋体"/>
          <w:sz w:val="24"/>
        </w:rPr>
      </w:pPr>
      <w:r>
        <w:rPr>
          <w:rFonts w:hint="eastAsia" w:ascii="宋体" w:hAnsi="宋体"/>
          <w:b/>
          <w:sz w:val="24"/>
        </w:rPr>
        <w:t>第九条 违约责任</w:t>
      </w:r>
    </w:p>
    <w:p>
      <w:pPr>
        <w:spacing w:line="360" w:lineRule="auto"/>
        <w:ind w:firstLine="480" w:firstLineChars="200"/>
        <w:rPr>
          <w:rFonts w:ascii="宋体" w:hAnsi="宋体"/>
          <w:sz w:val="24"/>
        </w:rPr>
      </w:pPr>
      <w:r>
        <w:rPr>
          <w:rFonts w:hint="eastAsia" w:ascii="宋体" w:hAnsi="宋体"/>
          <w:sz w:val="24"/>
        </w:rPr>
        <w:t>1、乙方未能按照双方约定的垃圾清运时间清运建筑垃圾，造成垃圾堆积，第一次甲方将予以书面警告，如再次发生则按 500 元/</w:t>
      </w:r>
      <w:r>
        <w:rPr>
          <w:rFonts w:ascii="宋体" w:hAnsi="宋体"/>
          <w:sz w:val="24"/>
        </w:rPr>
        <w:t>次</w:t>
      </w:r>
      <w:r>
        <w:rPr>
          <w:rFonts w:hint="eastAsia" w:ascii="宋体" w:hAnsi="宋体"/>
          <w:sz w:val="24"/>
        </w:rPr>
        <w:t>扣除清运费其有权要求乙方限期整改。</w:t>
      </w:r>
    </w:p>
    <w:p>
      <w:pPr>
        <w:spacing w:line="360" w:lineRule="auto"/>
        <w:ind w:firstLine="480" w:firstLineChars="200"/>
        <w:rPr>
          <w:rFonts w:ascii="宋体" w:hAnsi="宋体"/>
          <w:sz w:val="24"/>
        </w:rPr>
      </w:pPr>
      <w:r>
        <w:rPr>
          <w:rFonts w:hint="eastAsia" w:ascii="宋体" w:hAnsi="宋体"/>
          <w:sz w:val="24"/>
        </w:rPr>
        <w:t>2、发生如下情况之一，视为乙方严重违约，甲方有权立即解除合同：</w:t>
      </w:r>
    </w:p>
    <w:p>
      <w:pPr>
        <w:spacing w:line="360" w:lineRule="auto"/>
        <w:ind w:firstLine="480" w:firstLineChars="200"/>
        <w:rPr>
          <w:rFonts w:ascii="宋体" w:hAnsi="宋体"/>
          <w:sz w:val="24"/>
        </w:rPr>
      </w:pPr>
      <w:r>
        <w:rPr>
          <w:rFonts w:hint="eastAsia" w:ascii="宋体" w:hAnsi="宋体"/>
          <w:sz w:val="24"/>
        </w:rPr>
        <w:t>（1）在经甲方连续三次发出书面整改通知后，仍不能按时整改的。</w:t>
      </w:r>
    </w:p>
    <w:p>
      <w:pPr>
        <w:spacing w:line="360" w:lineRule="auto"/>
        <w:ind w:firstLine="480" w:firstLineChars="200"/>
        <w:rPr>
          <w:rFonts w:ascii="宋体" w:hAnsi="宋体"/>
          <w:sz w:val="24"/>
        </w:rPr>
      </w:pPr>
      <w:r>
        <w:rPr>
          <w:rFonts w:hint="eastAsia" w:ascii="宋体" w:hAnsi="宋体"/>
          <w:sz w:val="24"/>
        </w:rPr>
        <w:t>（2）乙方垃圾清运工作存在瑕疵，导致甲方或甲方关联公司被相关政府主管部门处罚。</w:t>
      </w:r>
    </w:p>
    <w:p>
      <w:pPr>
        <w:spacing w:line="360" w:lineRule="auto"/>
        <w:ind w:firstLine="480" w:firstLineChars="200"/>
        <w:rPr>
          <w:rFonts w:ascii="宋体" w:hAnsi="宋体"/>
          <w:sz w:val="24"/>
        </w:rPr>
      </w:pPr>
      <w:r>
        <w:rPr>
          <w:rFonts w:hint="eastAsia" w:ascii="宋体" w:hAnsi="宋体"/>
          <w:sz w:val="24"/>
        </w:rPr>
        <w:t>（3）未经甲方事先书面允许，乙方将本合同建筑垃圾清运工作全部或部分转包给第三方。</w:t>
      </w:r>
    </w:p>
    <w:p>
      <w:pPr>
        <w:spacing w:line="360" w:lineRule="auto"/>
        <w:ind w:firstLine="480" w:firstLineChars="200"/>
        <w:rPr>
          <w:rFonts w:ascii="宋体" w:hAnsi="宋体"/>
          <w:sz w:val="24"/>
        </w:rPr>
      </w:pPr>
      <w:r>
        <w:rPr>
          <w:rFonts w:hint="eastAsia" w:ascii="宋体" w:hAnsi="宋体"/>
          <w:sz w:val="24"/>
        </w:rPr>
        <w:t>（4）乙方作业过程中，因乙方过错导致人员伤亡、严重财产损害（≥人民币3万元）。</w:t>
      </w:r>
    </w:p>
    <w:p>
      <w:pPr>
        <w:spacing w:line="360" w:lineRule="auto"/>
        <w:ind w:firstLine="480" w:firstLineChars="200"/>
        <w:jc w:val="left"/>
        <w:rPr>
          <w:rFonts w:ascii="宋体" w:hAnsi="宋体"/>
          <w:sz w:val="24"/>
        </w:rPr>
      </w:pPr>
      <w:r>
        <w:rPr>
          <w:rFonts w:hint="eastAsia" w:ascii="宋体" w:hAnsi="宋体"/>
          <w:sz w:val="24"/>
        </w:rPr>
        <w:t>（5）非经甲方许可，乙方在本项目内经营与本合同无关的业务（包含但不限于经营水泥、沙土等装修配套材料）。</w:t>
      </w:r>
    </w:p>
    <w:p>
      <w:pPr>
        <w:spacing w:line="360" w:lineRule="auto"/>
        <w:ind w:firstLine="480" w:firstLineChars="200"/>
        <w:rPr>
          <w:rFonts w:ascii="宋体" w:hAnsi="宋体"/>
          <w:sz w:val="24"/>
        </w:rPr>
      </w:pPr>
      <w:r>
        <w:rPr>
          <w:rFonts w:hint="eastAsia" w:ascii="宋体" w:hAnsi="宋体"/>
          <w:sz w:val="24"/>
        </w:rPr>
        <w:t>3、除本协议约定外，本合同因一方违约导致提前终止（包括守约方行使合同解除权的情况），违约方除按照相关约定承担违约责任外，还应向另一方支付人民币5000元违约金。</w:t>
      </w:r>
    </w:p>
    <w:p>
      <w:pPr>
        <w:spacing w:line="360" w:lineRule="auto"/>
        <w:ind w:firstLine="480" w:firstLineChars="200"/>
        <w:rPr>
          <w:rFonts w:ascii="宋体" w:hAnsi="宋体"/>
          <w:sz w:val="24"/>
        </w:rPr>
      </w:pPr>
      <w:r>
        <w:rPr>
          <w:rFonts w:hint="eastAsia" w:ascii="宋体" w:hAnsi="宋体"/>
          <w:sz w:val="24"/>
        </w:rPr>
        <w:t>4、在乙方违约的情况下，如果乙方支付的违约金不足以补偿甲方因乙方违约行为而遭受的损失，则甲方有权要求乙方就差额部分予以赔偿。</w:t>
      </w:r>
    </w:p>
    <w:p>
      <w:pPr>
        <w:spacing w:line="360" w:lineRule="auto"/>
        <w:ind w:firstLine="480" w:firstLineChars="200"/>
        <w:rPr>
          <w:rFonts w:ascii="宋体" w:hAnsi="宋体"/>
          <w:sz w:val="24"/>
        </w:rPr>
      </w:pPr>
      <w:r>
        <w:rPr>
          <w:rFonts w:hint="eastAsia" w:ascii="宋体" w:hAnsi="宋体"/>
          <w:sz w:val="24"/>
        </w:rPr>
        <w:t>5、无论任何原因导致本合同终止，乙方均应按甲方要求限期撤走全部人员和设备，否则每逾期一日，乙方应向甲方支付人民币500元滞留违约金。</w:t>
      </w:r>
    </w:p>
    <w:p>
      <w:pPr>
        <w:spacing w:line="360" w:lineRule="auto"/>
        <w:ind w:firstLine="480" w:firstLineChars="200"/>
        <w:rPr>
          <w:rFonts w:ascii="宋体" w:hAnsi="宋体"/>
          <w:sz w:val="24"/>
        </w:rPr>
      </w:pPr>
      <w:r>
        <w:rPr>
          <w:rFonts w:hint="eastAsia" w:ascii="宋体" w:hAnsi="宋体"/>
          <w:sz w:val="24"/>
        </w:rPr>
        <w:t>6、本合同内乙方应承担的违约金或赔偿金，甲方有权从应付乙方的任何一笔款项及乙方履约保证金中直接扣除。</w:t>
      </w:r>
    </w:p>
    <w:p>
      <w:pPr>
        <w:spacing w:line="360" w:lineRule="auto"/>
        <w:ind w:firstLine="480" w:firstLineChars="200"/>
        <w:jc w:val="left"/>
        <w:rPr>
          <w:rFonts w:ascii="宋体" w:hAnsi="宋体"/>
          <w:sz w:val="24"/>
        </w:rPr>
      </w:pPr>
      <w:r>
        <w:rPr>
          <w:rFonts w:hint="eastAsia" w:ascii="宋体" w:hAnsi="宋体"/>
          <w:sz w:val="24"/>
        </w:rPr>
        <w:t>7、服务期内，若甲方提前终止本协议，则应提前三十日（自甲方通知书发出之日起算）以书面形式通知乙方，本情形不在违约责任范围内，甲方不承担违约责任。</w:t>
      </w:r>
    </w:p>
    <w:p>
      <w:pPr>
        <w:spacing w:line="360" w:lineRule="auto"/>
        <w:ind w:firstLine="480" w:firstLineChars="200"/>
        <w:rPr>
          <w:rFonts w:ascii="宋体" w:hAnsi="宋体"/>
          <w:sz w:val="24"/>
        </w:rPr>
      </w:pPr>
      <w:r>
        <w:rPr>
          <w:rFonts w:hint="eastAsia" w:ascii="宋体" w:hAnsi="宋体"/>
          <w:sz w:val="24"/>
        </w:rPr>
        <w:t>8、违约方的损失赔偿范围包括守约方的直接损失和间接损失，包括但不限于守约方向第三方承担的赔偿责任、诉讼费、仲裁费、律师费、鉴定费等费用支出。</w:t>
      </w:r>
    </w:p>
    <w:p>
      <w:pPr>
        <w:spacing w:line="360" w:lineRule="auto"/>
        <w:ind w:firstLine="482" w:firstLineChars="200"/>
        <w:rPr>
          <w:rFonts w:ascii="宋体" w:hAnsi="宋体"/>
          <w:sz w:val="24"/>
        </w:rPr>
      </w:pPr>
      <w:r>
        <w:rPr>
          <w:rFonts w:hint="eastAsia" w:ascii="宋体" w:hAnsi="宋体"/>
          <w:b/>
          <w:sz w:val="24"/>
        </w:rPr>
        <w:t>第十条 禁止商业贿赂</w:t>
      </w:r>
    </w:p>
    <w:p>
      <w:pPr>
        <w:spacing w:line="360" w:lineRule="auto"/>
        <w:ind w:firstLine="480" w:firstLineChars="200"/>
        <w:rPr>
          <w:rFonts w:ascii="宋体" w:hAnsi="宋体"/>
          <w:sz w:val="24"/>
        </w:rPr>
      </w:pPr>
      <w:r>
        <w:rPr>
          <w:rFonts w:hint="eastAsia" w:ascii="宋体" w:hAnsi="宋体"/>
          <w:sz w:val="24"/>
        </w:rPr>
        <w:t>1、甲、乙双方应严格遵守《中华人民共和国反不正当竞争法》等相关法律法规关于禁止商业贿赂行为的规定，坚决拒绝商业贿赂、行贿及其他不正当之商业行为。</w:t>
      </w:r>
    </w:p>
    <w:p>
      <w:pPr>
        <w:spacing w:line="360" w:lineRule="auto"/>
        <w:ind w:firstLine="480" w:firstLineChars="200"/>
        <w:rPr>
          <w:rFonts w:ascii="宋体" w:hAnsi="宋体"/>
          <w:sz w:val="24"/>
        </w:rPr>
      </w:pPr>
      <w:r>
        <w:rPr>
          <w:rFonts w:hint="eastAsia" w:ascii="宋体" w:hAnsi="宋体"/>
          <w:sz w:val="24"/>
        </w:rPr>
        <w:t>2、本合同项下商业贿赂是指乙方或其工作人员为促成交易或从甲方取得比他人更多的商业利益或更特殊的商业待遇而给予甲方员工个人的回扣、退佣、购物折扣、礼品券、优惠券、置业、礼品、馈赠、游览或旅游、娱乐、招待、报销票据等不正当利益。</w:t>
      </w:r>
    </w:p>
    <w:p>
      <w:pPr>
        <w:spacing w:line="360" w:lineRule="auto"/>
        <w:ind w:firstLine="480" w:firstLineChars="200"/>
        <w:rPr>
          <w:rFonts w:ascii="宋体" w:hAnsi="宋体"/>
          <w:sz w:val="24"/>
        </w:rPr>
      </w:pPr>
      <w:r>
        <w:rPr>
          <w:rFonts w:hint="eastAsia" w:ascii="宋体" w:hAnsi="宋体"/>
          <w:sz w:val="24"/>
        </w:rPr>
        <w:t>3、若甲方或其工作人员要求乙方或其工作人员给予任何形式的不正当利益，乙方应向甲方相关监察部门提供相关证据，甲方查实后将及时公正处理，并为乙方严格保密。</w:t>
      </w:r>
    </w:p>
    <w:p>
      <w:pPr>
        <w:spacing w:line="360" w:lineRule="auto"/>
        <w:ind w:firstLine="480" w:firstLineChars="200"/>
        <w:rPr>
          <w:rFonts w:ascii="宋体" w:hAnsi="宋体"/>
          <w:sz w:val="24"/>
        </w:rPr>
      </w:pPr>
      <w:r>
        <w:rPr>
          <w:rFonts w:hint="eastAsia" w:ascii="宋体" w:hAnsi="宋体"/>
          <w:sz w:val="24"/>
        </w:rPr>
        <w:t>4、若发现乙方或其工作人员违反以上规定，甲方有权解除本合同，并终止与乙方正在进行的一切合作（如有）；乙方应按甲方查明的行贿金额的两倍向甲方支付违约金。甲方可依法对乙方采取必要措施，包括冻结所有应付款，向法院诉请赔偿经济及商誉损失等。</w:t>
      </w:r>
    </w:p>
    <w:p>
      <w:pPr>
        <w:spacing w:line="360" w:lineRule="auto"/>
        <w:ind w:firstLine="482" w:firstLineChars="200"/>
        <w:rPr>
          <w:rFonts w:ascii="宋体" w:hAnsi="宋体"/>
          <w:sz w:val="24"/>
        </w:rPr>
      </w:pPr>
      <w:r>
        <w:rPr>
          <w:rFonts w:hint="eastAsia" w:ascii="宋体" w:hAnsi="宋体"/>
          <w:b/>
          <w:sz w:val="24"/>
        </w:rPr>
        <w:t>第十一条 争议解决方式</w:t>
      </w:r>
    </w:p>
    <w:p>
      <w:pPr>
        <w:spacing w:line="360" w:lineRule="auto"/>
        <w:ind w:firstLine="480" w:firstLineChars="200"/>
        <w:rPr>
          <w:rFonts w:ascii="宋体" w:hAnsi="宋体"/>
          <w:sz w:val="24"/>
        </w:rPr>
      </w:pPr>
      <w:r>
        <w:rPr>
          <w:rFonts w:hint="eastAsia" w:ascii="宋体" w:hAnsi="宋体"/>
          <w:sz w:val="24"/>
        </w:rPr>
        <w:t>甲、</w:t>
      </w:r>
      <w:r>
        <w:rPr>
          <w:rFonts w:hint="eastAsia" w:ascii="宋体" w:hAnsi="宋体"/>
          <w:sz w:val="24"/>
          <w:lang w:val="zh-CN"/>
        </w:rPr>
        <w:t>乙</w:t>
      </w:r>
      <w:r>
        <w:rPr>
          <w:rFonts w:hint="eastAsia" w:ascii="宋体" w:hAnsi="宋体"/>
          <w:sz w:val="24"/>
        </w:rPr>
        <w:t>双方在履行本合同中如有争议，双方应优先协商解决，协商不成的，任意一方均可向甲方所在地的人民法院提起诉讼。</w:t>
      </w:r>
    </w:p>
    <w:p>
      <w:pPr>
        <w:spacing w:line="360" w:lineRule="auto"/>
        <w:ind w:firstLine="482" w:firstLineChars="200"/>
        <w:rPr>
          <w:rFonts w:ascii="宋体" w:hAnsi="宋体"/>
          <w:sz w:val="24"/>
        </w:rPr>
      </w:pPr>
      <w:r>
        <w:rPr>
          <w:rFonts w:hint="eastAsia" w:ascii="宋体" w:hAnsi="宋体"/>
          <w:b/>
          <w:sz w:val="24"/>
          <w:lang w:val="zh-CN"/>
        </w:rPr>
        <w:t>第十二条 通知</w:t>
      </w:r>
    </w:p>
    <w:p>
      <w:pPr>
        <w:spacing w:line="360" w:lineRule="auto"/>
        <w:ind w:firstLine="480" w:firstLineChars="200"/>
        <w:rPr>
          <w:rFonts w:ascii="宋体" w:hAnsi="宋体"/>
          <w:sz w:val="24"/>
          <w:lang w:val="zh-CN"/>
        </w:rPr>
      </w:pPr>
      <w:r>
        <w:rPr>
          <w:rFonts w:hint="eastAsia" w:ascii="宋体" w:hAnsi="宋体"/>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spacing w:line="360" w:lineRule="auto"/>
        <w:ind w:firstLine="482" w:firstLineChars="200"/>
        <w:rPr>
          <w:rFonts w:ascii="宋体" w:hAnsi="宋体"/>
          <w:sz w:val="24"/>
        </w:rPr>
      </w:pPr>
      <w:r>
        <w:rPr>
          <w:rFonts w:hint="eastAsia" w:ascii="宋体" w:hAnsi="宋体"/>
          <w:b/>
          <w:sz w:val="24"/>
        </w:rPr>
        <w:t>第十三条 其他</w:t>
      </w:r>
    </w:p>
    <w:p>
      <w:pPr>
        <w:spacing w:line="360" w:lineRule="auto"/>
        <w:ind w:firstLine="480" w:firstLineChars="200"/>
        <w:rPr>
          <w:rFonts w:ascii="宋体" w:hAnsi="宋体"/>
          <w:sz w:val="24"/>
        </w:rPr>
      </w:pPr>
      <w:r>
        <w:rPr>
          <w:rFonts w:hint="eastAsia" w:ascii="宋体" w:hAnsi="宋体"/>
          <w:sz w:val="24"/>
          <w:lang w:val="zh-CN"/>
        </w:rPr>
        <w:t>1、除本合同另有约定外，乙方就本项目</w:t>
      </w:r>
      <w:r>
        <w:rPr>
          <w:rFonts w:hint="eastAsia" w:ascii="宋体" w:hAnsi="宋体"/>
          <w:sz w:val="24"/>
        </w:rPr>
        <w:t>建筑</w:t>
      </w:r>
      <w:r>
        <w:rPr>
          <w:rFonts w:hint="eastAsia" w:ascii="宋体" w:hAnsi="宋体"/>
          <w:sz w:val="24"/>
          <w:lang w:val="zh-CN"/>
        </w:rPr>
        <w:t>垃圾清运服务向甲方提供的全部文件资料，均应视为乙方向甲方做出的单方承诺。如若该等文件资料内容与本合同约定不一致，或旨在减轻或免除乙方合同责任时，应以本合同约定为准。</w:t>
      </w:r>
    </w:p>
    <w:p>
      <w:pPr>
        <w:spacing w:line="360" w:lineRule="auto"/>
        <w:ind w:firstLine="480" w:firstLineChars="200"/>
        <w:rPr>
          <w:rFonts w:ascii="宋体" w:hAnsi="宋体"/>
          <w:sz w:val="24"/>
          <w:lang w:val="zh-CN"/>
        </w:rPr>
      </w:pPr>
      <w:r>
        <w:rPr>
          <w:rFonts w:hint="eastAsia" w:ascii="宋体" w:hAnsi="宋体"/>
          <w:sz w:val="24"/>
          <w:lang w:val="zh-CN"/>
        </w:rPr>
        <w:t>2、本合同的签署不产生甲、乙双方之间任何代理关系，乙方履行本合同过程中对第三方产生的任何责任均由乙方自行承担。</w:t>
      </w:r>
    </w:p>
    <w:p>
      <w:pPr>
        <w:spacing w:line="360" w:lineRule="auto"/>
        <w:ind w:firstLine="480" w:firstLineChars="200"/>
        <w:rPr>
          <w:rFonts w:ascii="宋体" w:hAnsi="宋体"/>
          <w:sz w:val="24"/>
          <w:lang w:val="zh-CN"/>
        </w:rPr>
      </w:pPr>
      <w:r>
        <w:rPr>
          <w:rFonts w:hint="eastAsia" w:ascii="宋体" w:hAnsi="宋体"/>
          <w:sz w:val="24"/>
          <w:lang w:val="zh-CN"/>
        </w:rPr>
        <w:t>3、本合同未尽事宜，经甲乙双方协商一致，可另行签订补充协议。补充协议经双方签章后生效，与本合同具同等法律效力。</w:t>
      </w:r>
    </w:p>
    <w:p>
      <w:pPr>
        <w:spacing w:line="360" w:lineRule="auto"/>
        <w:ind w:firstLine="480" w:firstLineChars="200"/>
        <w:rPr>
          <w:rFonts w:ascii="宋体" w:hAnsi="宋体"/>
          <w:sz w:val="24"/>
          <w:lang w:val="zh-CN"/>
        </w:rPr>
      </w:pPr>
      <w:r>
        <w:rPr>
          <w:rFonts w:ascii="宋体" w:hAnsi="宋体"/>
          <w:sz w:val="24"/>
          <w:lang w:val="zh-CN"/>
        </w:rPr>
        <w:t>4</w:t>
      </w:r>
      <w:r>
        <w:rPr>
          <w:rFonts w:hint="eastAsia" w:ascii="宋体" w:hAnsi="宋体"/>
          <w:sz w:val="24"/>
          <w:lang w:val="zh-CN"/>
        </w:rPr>
        <w:t>、本合同经甲、乙双方签字盖章后生效；一式四份，甲乙双方各执二份，具有同等法律效力。</w:t>
      </w: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r>
        <w:rPr>
          <w:rFonts w:hint="eastAsia" w:ascii="宋体" w:hAnsi="宋体"/>
          <w:b/>
          <w:sz w:val="24"/>
        </w:rPr>
        <w:t>甲方：                              乙方：</w:t>
      </w:r>
    </w:p>
    <w:p>
      <w:pPr>
        <w:spacing w:line="500" w:lineRule="exact"/>
        <w:rPr>
          <w:rFonts w:ascii="宋体" w:hAnsi="宋体"/>
          <w:b/>
          <w:sz w:val="24"/>
        </w:rPr>
      </w:pPr>
      <w:r>
        <w:rPr>
          <w:rFonts w:hint="eastAsia" w:ascii="宋体" w:hAnsi="宋体"/>
          <w:b/>
          <w:sz w:val="24"/>
        </w:rPr>
        <w:t xml:space="preserve">联系人：                            联系人： </w:t>
      </w:r>
    </w:p>
    <w:p>
      <w:pPr>
        <w:spacing w:line="500" w:lineRule="exact"/>
        <w:rPr>
          <w:rFonts w:ascii="宋体" w:hAnsi="宋体"/>
          <w:b/>
          <w:sz w:val="24"/>
        </w:rPr>
      </w:pPr>
      <w:r>
        <w:rPr>
          <w:rFonts w:hint="eastAsia" w:ascii="宋体" w:hAnsi="宋体"/>
          <w:b/>
          <w:sz w:val="24"/>
        </w:rPr>
        <w:t xml:space="preserve">联系方式：                          联系方式：  </w:t>
      </w:r>
    </w:p>
    <w:p>
      <w:pPr>
        <w:spacing w:line="360" w:lineRule="auto"/>
        <w:rPr>
          <w:rFonts w:ascii="宋体" w:hAnsi="宋体"/>
          <w:b/>
          <w:sz w:val="24"/>
        </w:rPr>
      </w:pPr>
      <w:r>
        <w:rPr>
          <w:rFonts w:hint="eastAsia" w:ascii="宋体" w:hAnsi="宋体"/>
          <w:b/>
          <w:sz w:val="24"/>
        </w:rPr>
        <w:t xml:space="preserve">日期：                              日期：  </w:t>
      </w: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28"/>
          <w:szCs w:val="28"/>
        </w:rPr>
        <w:t>供应商廉洁诚信承诺书</w:t>
      </w:r>
    </w:p>
    <w:p>
      <w:pPr>
        <w:jc w:val="center"/>
        <w:rPr>
          <w:rFonts w:ascii="宋体" w:hAnsi="宋体"/>
          <w:b/>
          <w:sz w:val="28"/>
          <w:szCs w:val="28"/>
        </w:rPr>
      </w:pPr>
    </w:p>
    <w:p>
      <w:pPr>
        <w:spacing w:line="360" w:lineRule="auto"/>
        <w:rPr>
          <w:rFonts w:ascii="宋体" w:hAnsi="宋体"/>
          <w:b/>
          <w:sz w:val="24"/>
        </w:rPr>
      </w:pPr>
      <w:r>
        <w:rPr>
          <w:rFonts w:hint="eastAsia" w:ascii="宋体" w:hAnsi="宋体"/>
          <w:sz w:val="24"/>
        </w:rPr>
        <w:t>致：</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承诺方系贵司的供应商、服务商或合作商，在相关业务活动(包括但不限于交易洽谈、供货、服务、承揽、技术合作交流、付款)中接触贵司相关人员和资讯，在廉洁义务和操守方面做出如下承诺：</w:t>
      </w:r>
    </w:p>
    <w:p>
      <w:pPr>
        <w:spacing w:line="360" w:lineRule="auto"/>
        <w:ind w:firstLine="480" w:firstLineChars="200"/>
        <w:rPr>
          <w:rFonts w:ascii="宋体" w:hAnsi="宋体"/>
          <w:sz w:val="24"/>
        </w:rPr>
      </w:pPr>
      <w:r>
        <w:rPr>
          <w:rFonts w:hint="eastAsia" w:ascii="宋体" w:hAnsi="宋体"/>
          <w:sz w:val="24"/>
        </w:rPr>
        <w:t>一、自觉遵守国家法律、法规，按照《中国共产党纪律处分条例》、《中华人民共和国反不正当竞争法》、《关于禁止商业贿赂行为的暂行规定》、《中华人民共和国招投标法》以及有关要求进行各项业务活动。</w:t>
      </w:r>
    </w:p>
    <w:p>
      <w:pPr>
        <w:spacing w:line="360" w:lineRule="auto"/>
        <w:ind w:firstLine="480" w:firstLineChars="200"/>
        <w:rPr>
          <w:rFonts w:ascii="宋体" w:hAnsi="宋体"/>
          <w:sz w:val="24"/>
        </w:rPr>
      </w:pPr>
      <w:r>
        <w:rPr>
          <w:rFonts w:hint="eastAsia" w:ascii="宋体" w:hAnsi="宋体"/>
          <w:sz w:val="24"/>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spacing w:line="360" w:lineRule="auto"/>
        <w:ind w:firstLine="480" w:firstLineChars="200"/>
        <w:rPr>
          <w:rFonts w:ascii="宋体" w:hAnsi="宋体"/>
          <w:sz w:val="24"/>
        </w:rPr>
      </w:pPr>
      <w:r>
        <w:rPr>
          <w:rFonts w:hint="eastAsia" w:ascii="宋体" w:hAnsi="宋体"/>
          <w:sz w:val="24"/>
        </w:rPr>
        <w:t>三、不与其他经营者串通报价和投标，不排挤其他经营者的公平竞争，损害其他经营者的合法权益；不在工程建设的预决算编制工作中弄虚作假、高估冒算。</w:t>
      </w:r>
    </w:p>
    <w:p>
      <w:pPr>
        <w:spacing w:line="360" w:lineRule="auto"/>
        <w:ind w:firstLine="480" w:firstLineChars="200"/>
        <w:rPr>
          <w:rFonts w:ascii="宋体" w:hAnsi="宋体"/>
          <w:sz w:val="24"/>
        </w:rPr>
      </w:pPr>
      <w:r>
        <w:rPr>
          <w:rFonts w:hint="eastAsia" w:ascii="宋体" w:hAnsi="宋体"/>
          <w:sz w:val="24"/>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pPr>
        <w:spacing w:line="360" w:lineRule="auto"/>
        <w:ind w:firstLine="480" w:firstLineChars="200"/>
        <w:rPr>
          <w:rFonts w:ascii="宋体" w:hAnsi="宋体"/>
          <w:sz w:val="24"/>
        </w:rPr>
      </w:pPr>
      <w:r>
        <w:rPr>
          <w:rFonts w:hint="eastAsia" w:ascii="宋体" w:hAnsi="宋体"/>
          <w:sz w:val="24"/>
        </w:rPr>
        <w:t>五、承诺方禁止提供仿冒品（包括但不限于如贴牌、参杂参假，以次充好，以旧冒新、以不合格冒充合格）或不符合贵司所需规格之商品提供贵司使用。</w:t>
      </w:r>
    </w:p>
    <w:p>
      <w:pPr>
        <w:spacing w:line="360" w:lineRule="auto"/>
        <w:ind w:firstLine="480" w:firstLineChars="200"/>
        <w:rPr>
          <w:rFonts w:ascii="宋体" w:hAnsi="宋体"/>
          <w:sz w:val="24"/>
        </w:rPr>
      </w:pPr>
      <w:r>
        <w:rPr>
          <w:rFonts w:hint="eastAsia" w:ascii="宋体" w:hAnsi="宋体"/>
          <w:sz w:val="24"/>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spacing w:line="360" w:lineRule="auto"/>
        <w:ind w:firstLine="480" w:firstLineChars="200"/>
        <w:rPr>
          <w:rFonts w:ascii="宋体" w:hAnsi="宋体"/>
          <w:sz w:val="24"/>
        </w:rPr>
      </w:pPr>
      <w:r>
        <w:rPr>
          <w:rFonts w:hint="eastAsia" w:ascii="宋体" w:hAnsi="宋体"/>
          <w:sz w:val="24"/>
        </w:rPr>
        <w:t>七、为净化采购相关秩序及环境，可发送电子邮件至贵司进行投诉或申报，须记载确实之内容或证据线索及联络方式。投诉将由贵司监察室处理及回复并保密，如属实，举报人（单位）将获得额外的现金奖励。</w:t>
      </w:r>
    </w:p>
    <w:p>
      <w:pPr>
        <w:spacing w:line="360" w:lineRule="auto"/>
        <w:ind w:firstLine="480" w:firstLineChars="200"/>
        <w:rPr>
          <w:rFonts w:ascii="宋体" w:hAnsi="宋体"/>
          <w:sz w:val="24"/>
        </w:rPr>
      </w:pPr>
      <w:r>
        <w:rPr>
          <w:rFonts w:hint="eastAsia" w:ascii="宋体" w:hAnsi="宋体"/>
          <w:sz w:val="24"/>
        </w:rPr>
        <w:t>八、违约责任</w:t>
      </w:r>
    </w:p>
    <w:p>
      <w:pPr>
        <w:spacing w:line="360" w:lineRule="auto"/>
        <w:ind w:firstLine="480" w:firstLineChars="200"/>
        <w:rPr>
          <w:rFonts w:ascii="宋体" w:hAnsi="宋体"/>
          <w:sz w:val="24"/>
        </w:rPr>
      </w:pPr>
      <w:r>
        <w:rPr>
          <w:rFonts w:hint="eastAsia" w:ascii="宋体" w:hAnsi="宋体"/>
          <w:sz w:val="24"/>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spacing w:line="360" w:lineRule="auto"/>
        <w:ind w:firstLine="480" w:firstLineChars="200"/>
        <w:rPr>
          <w:rFonts w:ascii="宋体" w:hAnsi="宋体"/>
          <w:sz w:val="24"/>
        </w:rPr>
      </w:pPr>
      <w:r>
        <w:rPr>
          <w:rFonts w:hint="eastAsia" w:ascii="宋体" w:hAnsi="宋体"/>
          <w:sz w:val="24"/>
        </w:rPr>
        <w:t>九、自觉接受监督。</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3240" w:firstLineChars="1350"/>
        <w:rPr>
          <w:rFonts w:ascii="宋体" w:hAnsi="宋体"/>
          <w:sz w:val="24"/>
        </w:rPr>
      </w:pPr>
    </w:p>
    <w:p>
      <w:pPr>
        <w:spacing w:line="360" w:lineRule="auto"/>
        <w:ind w:firstLine="3840" w:firstLineChars="1600"/>
        <w:rPr>
          <w:rFonts w:ascii="宋体" w:hAnsi="宋体"/>
          <w:sz w:val="24"/>
        </w:rPr>
      </w:pPr>
      <w:r>
        <w:rPr>
          <w:rFonts w:hint="eastAsia" w:ascii="宋体" w:hAnsi="宋体"/>
          <w:sz w:val="24"/>
        </w:rPr>
        <w:t>承诺人名称（盖章）：</w:t>
      </w:r>
    </w:p>
    <w:p>
      <w:pPr>
        <w:spacing w:line="360" w:lineRule="auto"/>
        <w:ind w:firstLine="3840" w:firstLineChars="1600"/>
        <w:rPr>
          <w:rFonts w:ascii="宋体" w:hAnsi="宋体"/>
          <w:sz w:val="24"/>
        </w:rPr>
      </w:pPr>
      <w:r>
        <w:rPr>
          <w:rFonts w:hint="eastAsia" w:ascii="宋体" w:hAnsi="宋体"/>
          <w:sz w:val="24"/>
        </w:rPr>
        <w:t>法定代表人（或授权代表）：</w:t>
      </w:r>
    </w:p>
    <w:p>
      <w:pPr>
        <w:spacing w:line="360" w:lineRule="auto"/>
        <w:ind w:firstLine="3840" w:firstLineChars="1600"/>
        <w:rPr>
          <w:rFonts w:ascii="宋体" w:hAnsi="宋体"/>
          <w:sz w:val="24"/>
        </w:rPr>
      </w:pPr>
      <w:r>
        <w:rPr>
          <w:rFonts w:hint="eastAsia" w:ascii="宋体" w:hAnsi="宋体"/>
          <w:sz w:val="24"/>
        </w:rPr>
        <w:t>联系电话：</w:t>
      </w:r>
    </w:p>
    <w:p>
      <w:pPr>
        <w:spacing w:line="360" w:lineRule="auto"/>
        <w:ind w:firstLine="3840" w:firstLineChars="1600"/>
        <w:rPr>
          <w:rFonts w:ascii="宋体" w:hAnsi="宋体"/>
          <w:sz w:val="24"/>
        </w:rPr>
      </w:pPr>
      <w:r>
        <w:rPr>
          <w:rFonts w:hint="eastAsia" w:ascii="宋体" w:hAnsi="宋体"/>
          <w:sz w:val="24"/>
        </w:rPr>
        <w:t>日期：</w:t>
      </w:r>
    </w:p>
    <w:p>
      <w:pPr>
        <w:spacing w:line="360" w:lineRule="auto"/>
        <w:ind w:firstLine="3840" w:firstLineChars="1600"/>
        <w:rPr>
          <w:rFonts w:ascii="宋体" w:hAnsi="宋体"/>
          <w:sz w:val="24"/>
        </w:rPr>
      </w:pPr>
    </w:p>
    <w:p>
      <w:pPr>
        <w:spacing w:line="360" w:lineRule="auto"/>
        <w:ind w:firstLine="3840" w:firstLineChars="1600"/>
        <w:rPr>
          <w:rFonts w:ascii="宋体" w:hAnsi="宋体"/>
          <w:sz w:val="24"/>
        </w:rPr>
      </w:pPr>
    </w:p>
    <w:p>
      <w:pPr>
        <w:spacing w:line="360" w:lineRule="auto"/>
        <w:ind w:left="-141" w:leftChars="-67"/>
        <w:rPr>
          <w:rFonts w:ascii="宋体" w:hAnsi="宋体" w:cs="Arial"/>
          <w:sz w:val="24"/>
        </w:rPr>
      </w:pPr>
    </w:p>
    <w:p>
      <w:pPr>
        <w:spacing w:line="360" w:lineRule="auto"/>
        <w:ind w:left="-141" w:leftChars="-67"/>
        <w:rPr>
          <w:rFonts w:ascii="宋体" w:hAnsi="宋体" w:cs="Arial"/>
          <w:sz w:val="24"/>
        </w:rPr>
      </w:pPr>
    </w:p>
    <w:p>
      <w:pPr>
        <w:spacing w:line="360" w:lineRule="auto"/>
        <w:ind w:left="-141" w:leftChars="-67"/>
        <w:rPr>
          <w:rFonts w:ascii="宋体" w:hAnsi="宋体" w:cs="Arial"/>
          <w:sz w:val="24"/>
        </w:rPr>
      </w:pPr>
    </w:p>
    <w:p>
      <w:pPr>
        <w:spacing w:line="360" w:lineRule="auto"/>
        <w:rPr>
          <w:rFonts w:ascii="宋体" w:hAnsi="宋体"/>
          <w:b/>
          <w:sz w:val="24"/>
        </w:rPr>
      </w:pPr>
      <w:r>
        <w:rPr>
          <w:rFonts w:hint="eastAsia" w:ascii="宋体" w:hAnsi="宋体"/>
          <w:b/>
          <w:sz w:val="24"/>
        </w:rPr>
        <w:t>甲方：                                  乙方：</w:t>
      </w:r>
    </w:p>
    <w:p>
      <w:pPr>
        <w:spacing w:line="360" w:lineRule="auto"/>
        <w:rPr>
          <w:rFonts w:ascii="宋体" w:hAnsi="宋体"/>
          <w:b/>
          <w:sz w:val="24"/>
        </w:rPr>
      </w:pPr>
      <w:r>
        <w:rPr>
          <w:rFonts w:hint="eastAsia" w:ascii="宋体" w:hAnsi="宋体"/>
          <w:b/>
          <w:sz w:val="24"/>
        </w:rPr>
        <w:t>授权代表：                              授权代表：</w:t>
      </w:r>
    </w:p>
    <w:p>
      <w:pPr>
        <w:spacing w:line="360" w:lineRule="auto"/>
        <w:rPr>
          <w:rFonts w:ascii="宋体" w:hAnsi="宋体"/>
          <w:b/>
          <w:sz w:val="24"/>
        </w:rPr>
      </w:pPr>
      <w:r>
        <w:rPr>
          <w:rFonts w:hint="eastAsia" w:ascii="宋体" w:hAnsi="宋体"/>
          <w:b/>
          <w:sz w:val="24"/>
        </w:rPr>
        <w:t>联系方式：                              联系方式：</w:t>
      </w:r>
    </w:p>
    <w:p>
      <w:pPr>
        <w:spacing w:line="360" w:lineRule="auto"/>
        <w:ind w:left="-141" w:leftChars="-67" w:firstLine="116" w:firstLineChars="48"/>
        <w:rPr>
          <w:rFonts w:ascii="宋体" w:hAnsi="宋体" w:cs="Arial"/>
          <w:sz w:val="24"/>
        </w:rPr>
      </w:pPr>
      <w:r>
        <w:rPr>
          <w:rFonts w:hint="eastAsia" w:ascii="宋体" w:hAnsi="宋体"/>
          <w:b/>
          <w:sz w:val="24"/>
        </w:rPr>
        <w:t>日期：                                  日期：</w:t>
      </w:r>
    </w:p>
    <w:p>
      <w:pPr>
        <w:tabs>
          <w:tab w:val="left" w:pos="3645"/>
        </w:tabs>
        <w:spacing w:line="360" w:lineRule="auto"/>
        <w:rPr>
          <w:rFonts w:ascii="宋体" w:hAnsi="宋体"/>
          <w:sz w:val="24"/>
        </w:rPr>
      </w:pPr>
      <w:r>
        <w:rPr>
          <w:rFonts w:ascii="宋体" w:hAnsi="宋体"/>
          <w:sz w:val="24"/>
        </w:rPr>
        <w:tab/>
      </w:r>
    </w:p>
    <w:p>
      <w:pPr>
        <w:tabs>
          <w:tab w:val="left" w:pos="3645"/>
        </w:tabs>
        <w:spacing w:line="360" w:lineRule="auto"/>
        <w:rPr>
          <w:rFonts w:ascii="宋体" w:hAnsi="宋体"/>
          <w:b/>
          <w:bCs/>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bCs/>
          <w:sz w:val="24"/>
        </w:rPr>
      </w:pPr>
      <w:r>
        <w:rPr>
          <w:rFonts w:hint="eastAsia" w:ascii="宋体" w:hAnsi="宋体"/>
          <w:b/>
          <w:bCs/>
          <w:sz w:val="24"/>
        </w:rPr>
        <w:t>附件：施工安全责任书</w:t>
      </w:r>
    </w:p>
    <w:p>
      <w:pPr>
        <w:spacing w:line="360" w:lineRule="auto"/>
        <w:jc w:val="center"/>
        <w:rPr>
          <w:rFonts w:ascii="宋体" w:hAnsi="宋体"/>
          <w:bCs/>
          <w:sz w:val="24"/>
        </w:rPr>
      </w:pPr>
    </w:p>
    <w:p>
      <w:pPr>
        <w:spacing w:line="360" w:lineRule="auto"/>
        <w:rPr>
          <w:rFonts w:ascii="宋体" w:hAnsi="宋体"/>
          <w:color w:val="000000"/>
          <w:sz w:val="24"/>
          <w:u w:val="single"/>
        </w:rPr>
      </w:pPr>
      <w:r>
        <w:rPr>
          <w:rFonts w:hint="eastAsia" w:ascii="宋体" w:hAnsi="宋体"/>
          <w:bCs/>
          <w:sz w:val="24"/>
        </w:rPr>
        <w:t>甲方：</w:t>
      </w:r>
      <w:r>
        <w:rPr>
          <w:rFonts w:hint="eastAsia" w:ascii="宋体" w:hAnsi="宋体" w:cs="Arial"/>
          <w:sz w:val="24"/>
        </w:rPr>
        <w:t>厦门国贸城市服务集团股份有限公司</w:t>
      </w:r>
    </w:p>
    <w:p>
      <w:pPr>
        <w:spacing w:line="360" w:lineRule="auto"/>
        <w:rPr>
          <w:rFonts w:ascii="宋体" w:hAnsi="宋体"/>
          <w:bCs/>
          <w:sz w:val="24"/>
        </w:rPr>
      </w:pPr>
      <w:r>
        <w:rPr>
          <w:rFonts w:hint="eastAsia" w:ascii="宋体" w:hAnsi="宋体"/>
          <w:bCs/>
          <w:sz w:val="24"/>
        </w:rPr>
        <w:t>乙方：</w:t>
      </w:r>
    </w:p>
    <w:p>
      <w:pPr>
        <w:spacing w:line="360" w:lineRule="auto"/>
        <w:ind w:firstLine="480" w:firstLineChars="200"/>
        <w:rPr>
          <w:rFonts w:ascii="宋体" w:hAnsi="宋体"/>
          <w:bCs/>
          <w:sz w:val="24"/>
        </w:rPr>
      </w:pPr>
      <w:r>
        <w:rPr>
          <w:rFonts w:hint="eastAsia" w:ascii="宋体" w:hAnsi="宋体"/>
          <w:bCs/>
          <w:sz w:val="24"/>
        </w:rPr>
        <w:t>为确保在建筑垃圾清运期间安全达标，并督促乙方负责人认真贯彻落实《建设工程安全生产管理条例》的要求，管理好建筑清运现场，顺利完成该工程，特签订本责任书：</w:t>
      </w:r>
    </w:p>
    <w:p>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、乙方必须严格执行甲方公司的各项规章制度，认真履行安全生产责任，配合甲方项目人员的工作安排，确保安全生产管理目标。</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、乙方须在清运包干区域内作业，在清运过程中应保护好现场环境，如有破坏本项目原有建筑物品，乙方应负责修复或赔偿；如果有破坏或损坏项目现有植物和道路，乙方应及时恢复原状。</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、乙方清运人员须持证上岗并遵守交通规则，驾驶车辆之前认真检查车辆的各项性能，严格按照规程操作，预防事故发生，清运</w:t>
      </w:r>
      <w:r>
        <w:rPr>
          <w:rFonts w:hint="eastAsia" w:ascii="宋体" w:hAnsi="宋体"/>
          <w:sz w:val="24"/>
        </w:rPr>
        <w:t>过程中造成乙方操作人员及其他人员人身或财产损坏损害的，由乙方承担全部责任</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4、乙方须严格贯彻执行国家安全法规，确保工人人身安全及设备正常运转。</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以上各项如有违反，甲方将追究乙方责任，情节严重者要追究其法律责任。</w:t>
      </w: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甲方：</w:t>
      </w:r>
      <w:r>
        <w:rPr>
          <w:rFonts w:hint="eastAsia" w:ascii="宋体" w:hAnsi="宋体" w:cs="Arial"/>
          <w:sz w:val="24"/>
        </w:rPr>
        <w:t xml:space="preserve">厦门国贸城市服务集团股份有限公司      </w:t>
      </w:r>
      <w:r>
        <w:rPr>
          <w:rFonts w:hint="eastAsia" w:ascii="宋体" w:hAnsi="宋体"/>
          <w:bCs/>
          <w:sz w:val="24"/>
        </w:rPr>
        <w:t>乙方：</w:t>
      </w:r>
    </w:p>
    <w:p>
      <w:pPr>
        <w:spacing w:line="360" w:lineRule="auto"/>
        <w:rPr>
          <w:rFonts w:ascii="宋体" w:hAnsi="宋体"/>
          <w:bCs/>
          <w:sz w:val="24"/>
        </w:rPr>
      </w:pPr>
      <w:r>
        <w:rPr>
          <w:rFonts w:hint="eastAsia" w:ascii="宋体" w:hAnsi="宋体"/>
          <w:bCs/>
          <w:sz w:val="24"/>
        </w:rPr>
        <w:t>代表人：                                    代表人：</w:t>
      </w:r>
    </w:p>
    <w:p>
      <w:pPr>
        <w:tabs>
          <w:tab w:val="left" w:pos="3600"/>
          <w:tab w:val="left" w:pos="3780"/>
        </w:tabs>
        <w:spacing w:line="360" w:lineRule="auto"/>
        <w:ind w:left="-178" w:leftChars="-85" w:firstLine="177" w:firstLineChars="74"/>
        <w:rPr>
          <w:rFonts w:ascii="宋体" w:hAnsi="宋体" w:cs="Arial"/>
          <w:sz w:val="24"/>
        </w:rPr>
      </w:pPr>
      <w:r>
        <w:rPr>
          <w:rFonts w:hint="eastAsia" w:ascii="宋体" w:hAnsi="宋体"/>
          <w:bCs/>
          <w:sz w:val="24"/>
        </w:rPr>
        <w:t>日期：     年   月   日                     日期：      年   月   日</w:t>
      </w:r>
    </w:p>
    <w:p>
      <w:pPr>
        <w:spacing w:line="360" w:lineRule="auto"/>
        <w:jc w:val="center"/>
        <w:rPr>
          <w:rFonts w:ascii="仿宋" w:hAnsi="仿宋" w:eastAsia="仿宋"/>
          <w:b/>
          <w:sz w:val="32"/>
          <w:szCs w:val="32"/>
          <w:u w:val="single"/>
        </w:rPr>
      </w:pPr>
    </w:p>
    <w:p/>
    <w:p/>
    <w:p/>
    <w:p/>
    <w:p/>
    <w:p/>
    <w:p/>
    <w:p>
      <w:pPr>
        <w:tabs>
          <w:tab w:val="left" w:pos="5268"/>
        </w:tabs>
        <w:jc w:val="left"/>
      </w:pPr>
      <w:r>
        <w:rPr>
          <w:rFonts w:hint="eastAsia"/>
        </w:rPr>
        <w:tab/>
      </w:r>
    </w:p>
    <w:sectPr>
      <w:headerReference r:id="rId7" w:type="first"/>
      <w:headerReference r:id="rId6" w:type="default"/>
      <w:footerReference r:id="rId8"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1"/>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 xml:space="preserve">                                    第</w:t>
    </w:r>
    <w:r>
      <w:fldChar w:fldCharType="begin"/>
    </w:r>
    <w:r>
      <w:rPr>
        <w:rStyle w:val="19"/>
      </w:rPr>
      <w:instrText xml:space="preserve"> PAGE </w:instrText>
    </w:r>
    <w:r>
      <w:fldChar w:fldCharType="separate"/>
    </w:r>
    <w:r>
      <w:rPr>
        <w:rStyle w:val="19"/>
      </w:rPr>
      <w:t>30</w:t>
    </w:r>
    <w:r>
      <w:fldChar w:fldCharType="end"/>
    </w:r>
    <w:r>
      <w:rPr>
        <w:rFonts w:hint="eastAsia"/>
      </w:rPr>
      <w:t>页，共</w:t>
    </w:r>
    <w:r>
      <w:fldChar w:fldCharType="begin"/>
    </w:r>
    <w:r>
      <w:rPr>
        <w:rStyle w:val="19"/>
      </w:rPr>
      <w:instrText xml:space="preserve"> NUMPAGES </w:instrText>
    </w:r>
    <w:r>
      <w:fldChar w:fldCharType="separate"/>
    </w:r>
    <w:r>
      <w:rPr>
        <w:rStyle w:val="19"/>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4"/>
        <w:szCs w:val="24"/>
      </w:rPr>
    </w:pPr>
    <w:r>
      <w:rPr>
        <w:rFonts w:ascii="宋体" w:hAnsi="宋体"/>
        <w:sz w:val="20"/>
        <w:szCs w:val="24"/>
      </w:rPr>
      <w:t>2019</w:t>
    </w:r>
    <w:r>
      <w:rPr>
        <w:rFonts w:hint="eastAsia" w:ascii="宋体" w:hAnsi="宋体"/>
        <w:sz w:val="20"/>
        <w:szCs w:val="24"/>
      </w:rPr>
      <w:t>年12月</w:t>
    </w:r>
    <w:r>
      <w:rPr>
        <w:rFonts w:ascii="宋体" w:hAnsi="宋体"/>
        <w:sz w:val="20"/>
        <w:szCs w:val="24"/>
      </w:rPr>
      <w:t>版</w:t>
    </w:r>
    <w:r>
      <w:rPr>
        <w:rFonts w:hint="eastAsia" w:ascii="宋体" w:hAnsi="宋体"/>
        <w:sz w:val="20"/>
        <w:szCs w:val="24"/>
      </w:rPr>
      <w:t xml:space="preserve"> </w:t>
    </w:r>
    <w:r>
      <w:rPr>
        <w:rFonts w:hint="eastAsia" w:ascii="宋体" w:hAnsi="宋体"/>
        <w:sz w:val="24"/>
        <w:szCs w:val="24"/>
      </w:rPr>
      <w:t xml:space="preserve">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5A9E4E10"/>
    <w:rsid w:val="0007691E"/>
    <w:rsid w:val="000C4905"/>
    <w:rsid w:val="000F0169"/>
    <w:rsid w:val="0039571C"/>
    <w:rsid w:val="006930A4"/>
    <w:rsid w:val="0071024F"/>
    <w:rsid w:val="0090029B"/>
    <w:rsid w:val="00903E08"/>
    <w:rsid w:val="009212E9"/>
    <w:rsid w:val="00A92F32"/>
    <w:rsid w:val="00C5549D"/>
    <w:rsid w:val="00CD3D14"/>
    <w:rsid w:val="00D27B60"/>
    <w:rsid w:val="00D5527E"/>
    <w:rsid w:val="00EA6231"/>
    <w:rsid w:val="00EF2E6B"/>
    <w:rsid w:val="00F46AD6"/>
    <w:rsid w:val="00F97650"/>
    <w:rsid w:val="016F46A3"/>
    <w:rsid w:val="01901AF8"/>
    <w:rsid w:val="01AC5842"/>
    <w:rsid w:val="03771E7F"/>
    <w:rsid w:val="04001E75"/>
    <w:rsid w:val="04D2240A"/>
    <w:rsid w:val="060522E0"/>
    <w:rsid w:val="06100C8A"/>
    <w:rsid w:val="0640211D"/>
    <w:rsid w:val="06804355"/>
    <w:rsid w:val="08EE635C"/>
    <w:rsid w:val="0AA572D2"/>
    <w:rsid w:val="0BA77C3D"/>
    <w:rsid w:val="0CA912FB"/>
    <w:rsid w:val="0D24377E"/>
    <w:rsid w:val="0E180CD0"/>
    <w:rsid w:val="0E1B7FD7"/>
    <w:rsid w:val="0E5536F4"/>
    <w:rsid w:val="0E9A62D7"/>
    <w:rsid w:val="0EA92008"/>
    <w:rsid w:val="10046849"/>
    <w:rsid w:val="10BA0C23"/>
    <w:rsid w:val="11183EA5"/>
    <w:rsid w:val="11511927"/>
    <w:rsid w:val="119B5DEE"/>
    <w:rsid w:val="11DF30C9"/>
    <w:rsid w:val="11F34710"/>
    <w:rsid w:val="13241410"/>
    <w:rsid w:val="14BA5965"/>
    <w:rsid w:val="151246AA"/>
    <w:rsid w:val="16850F59"/>
    <w:rsid w:val="169326D4"/>
    <w:rsid w:val="16DB518D"/>
    <w:rsid w:val="17B46DA6"/>
    <w:rsid w:val="19A277FE"/>
    <w:rsid w:val="1A8770D7"/>
    <w:rsid w:val="1AA650CC"/>
    <w:rsid w:val="1AD03EF7"/>
    <w:rsid w:val="1E4F7829"/>
    <w:rsid w:val="1E5170FD"/>
    <w:rsid w:val="20FB4647"/>
    <w:rsid w:val="214C62A1"/>
    <w:rsid w:val="21B52099"/>
    <w:rsid w:val="228351DE"/>
    <w:rsid w:val="23A931DE"/>
    <w:rsid w:val="24285550"/>
    <w:rsid w:val="244D325D"/>
    <w:rsid w:val="26926505"/>
    <w:rsid w:val="280B656E"/>
    <w:rsid w:val="28814EFD"/>
    <w:rsid w:val="29883376"/>
    <w:rsid w:val="2AF7061B"/>
    <w:rsid w:val="2B6A3EF4"/>
    <w:rsid w:val="2BDB6BA0"/>
    <w:rsid w:val="2BE43C9B"/>
    <w:rsid w:val="2CF61AA4"/>
    <w:rsid w:val="2ED973C6"/>
    <w:rsid w:val="2F754550"/>
    <w:rsid w:val="30CC096E"/>
    <w:rsid w:val="313751DD"/>
    <w:rsid w:val="31CF2D03"/>
    <w:rsid w:val="329B2BE5"/>
    <w:rsid w:val="32DD31FD"/>
    <w:rsid w:val="337E7BF7"/>
    <w:rsid w:val="344057F2"/>
    <w:rsid w:val="34CB0AD9"/>
    <w:rsid w:val="363C215E"/>
    <w:rsid w:val="368876BA"/>
    <w:rsid w:val="37B87D95"/>
    <w:rsid w:val="388E38AC"/>
    <w:rsid w:val="3B722FCC"/>
    <w:rsid w:val="3C6329C5"/>
    <w:rsid w:val="3C814BF9"/>
    <w:rsid w:val="3D995F73"/>
    <w:rsid w:val="3E012496"/>
    <w:rsid w:val="416B7C26"/>
    <w:rsid w:val="41744D2D"/>
    <w:rsid w:val="41CC6917"/>
    <w:rsid w:val="41E23139"/>
    <w:rsid w:val="421E7386"/>
    <w:rsid w:val="42B577AE"/>
    <w:rsid w:val="44131322"/>
    <w:rsid w:val="44FF0DB1"/>
    <w:rsid w:val="44FF3C0C"/>
    <w:rsid w:val="458254C2"/>
    <w:rsid w:val="48C322BD"/>
    <w:rsid w:val="491D5CAA"/>
    <w:rsid w:val="4A116F4C"/>
    <w:rsid w:val="4AF65591"/>
    <w:rsid w:val="4AF84C20"/>
    <w:rsid w:val="4B7F49FA"/>
    <w:rsid w:val="4BCD689E"/>
    <w:rsid w:val="4C3F297F"/>
    <w:rsid w:val="4C881B8F"/>
    <w:rsid w:val="4DA35314"/>
    <w:rsid w:val="4DB150DA"/>
    <w:rsid w:val="4E162E45"/>
    <w:rsid w:val="4FA709C3"/>
    <w:rsid w:val="50C64B1D"/>
    <w:rsid w:val="5184720E"/>
    <w:rsid w:val="51A2208A"/>
    <w:rsid w:val="52EB172B"/>
    <w:rsid w:val="5346487B"/>
    <w:rsid w:val="547F1F0F"/>
    <w:rsid w:val="564B432E"/>
    <w:rsid w:val="57BD5228"/>
    <w:rsid w:val="58726012"/>
    <w:rsid w:val="58842FAC"/>
    <w:rsid w:val="58867311"/>
    <w:rsid w:val="58CD4FF7"/>
    <w:rsid w:val="590B5B1F"/>
    <w:rsid w:val="59AE1A09"/>
    <w:rsid w:val="5A03440C"/>
    <w:rsid w:val="5A9E4E10"/>
    <w:rsid w:val="5B1D730F"/>
    <w:rsid w:val="5C0244DB"/>
    <w:rsid w:val="5C83637D"/>
    <w:rsid w:val="5F10533B"/>
    <w:rsid w:val="5F5A15AE"/>
    <w:rsid w:val="5FFD464A"/>
    <w:rsid w:val="60FB46CB"/>
    <w:rsid w:val="62EB0199"/>
    <w:rsid w:val="63D97984"/>
    <w:rsid w:val="64340620"/>
    <w:rsid w:val="64AB72EA"/>
    <w:rsid w:val="65EA16D1"/>
    <w:rsid w:val="66680A54"/>
    <w:rsid w:val="667C005C"/>
    <w:rsid w:val="67ED7463"/>
    <w:rsid w:val="691D5B26"/>
    <w:rsid w:val="6AE56625"/>
    <w:rsid w:val="6C384A25"/>
    <w:rsid w:val="6C7F5EB7"/>
    <w:rsid w:val="6D814F49"/>
    <w:rsid w:val="6DCF6FD0"/>
    <w:rsid w:val="6DFB3F5C"/>
    <w:rsid w:val="6E79720E"/>
    <w:rsid w:val="6F0A567D"/>
    <w:rsid w:val="714F4CEB"/>
    <w:rsid w:val="715147A9"/>
    <w:rsid w:val="736B4E23"/>
    <w:rsid w:val="740C15B0"/>
    <w:rsid w:val="74315BCE"/>
    <w:rsid w:val="756D3991"/>
    <w:rsid w:val="76136FBE"/>
    <w:rsid w:val="77615B70"/>
    <w:rsid w:val="7A2D744C"/>
    <w:rsid w:val="7B9C6D7F"/>
    <w:rsid w:val="7BEC1388"/>
    <w:rsid w:val="7E216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8"/>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character" w:styleId="18">
    <w:name w:val="Strong"/>
    <w:qFormat/>
    <w:uiPriority w:val="22"/>
    <w:rPr>
      <w:b/>
      <w:bCs/>
    </w:rPr>
  </w:style>
  <w:style w:type="character" w:styleId="19">
    <w:name w:val="page number"/>
    <w:basedOn w:val="17"/>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styleId="22">
    <w:name w:val="List Paragraph"/>
    <w:basedOn w:val="1"/>
    <w:qFormat/>
    <w:uiPriority w:val="99"/>
    <w:pPr>
      <w:ind w:firstLine="420" w:firstLineChars="200"/>
    </w:pPr>
  </w:style>
  <w:style w:type="paragraph" w:customStyle="1" w:styleId="23">
    <w:name w:val="表头文本"/>
    <w:basedOn w:val="1"/>
    <w:qFormat/>
    <w:uiPriority w:val="0"/>
    <w:pPr>
      <w:autoSpaceDE w:val="0"/>
      <w:autoSpaceDN w:val="0"/>
      <w:adjustRightInd w:val="0"/>
      <w:jc w:val="center"/>
    </w:pPr>
    <w:rPr>
      <w:b/>
      <w:kern w:val="0"/>
      <w:sz w:val="24"/>
      <w:szCs w:val="20"/>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样式3"/>
    <w:basedOn w:val="9"/>
    <w:qFormat/>
    <w:uiPriority w:val="0"/>
    <w:pPr>
      <w:spacing w:line="0" w:lineRule="atLeast"/>
      <w:outlineLvl w:val="0"/>
    </w:pPr>
    <w:rPr>
      <w:rFonts w:cs="Times New Roman"/>
      <w:sz w:val="28"/>
      <w:szCs w:val="20"/>
    </w:rPr>
  </w:style>
  <w:style w:type="paragraph" w:customStyle="1" w:styleId="26">
    <w:name w:val="Table Paragraph"/>
    <w:basedOn w:val="1"/>
    <w:qFormat/>
    <w:uiPriority w:val="1"/>
    <w:pPr>
      <w:jc w:val="left"/>
    </w:pPr>
    <w:rPr>
      <w:rFonts w:ascii="Calibri" w:hAnsi="Calibri"/>
      <w:kern w:val="0"/>
      <w:sz w:val="22"/>
      <w:szCs w:val="22"/>
      <w:lang w:eastAsia="en-US"/>
    </w:rPr>
  </w:style>
  <w:style w:type="paragraph" w:customStyle="1" w:styleId="27">
    <w:name w:val="样式2"/>
    <w:basedOn w:val="11"/>
    <w:qFormat/>
    <w:uiPriority w:val="0"/>
    <w:pPr>
      <w:ind w:right="360"/>
    </w:pPr>
    <w:rPr>
      <w:rFonts w:ascii="宋体" w:hAnsi="宋体"/>
      <w:sz w:val="21"/>
      <w:szCs w:val="21"/>
    </w:rPr>
  </w:style>
  <w:style w:type="character" w:customStyle="1" w:styleId="28">
    <w:name w:val="批注框文本 字符"/>
    <w:basedOn w:val="17"/>
    <w:link w:val="10"/>
    <w:qFormat/>
    <w:uiPriority w:val="0"/>
    <w:rPr>
      <w:rFonts w:ascii="Times New Roman" w:hAnsi="Times New Roman"/>
      <w:kern w:val="2"/>
      <w:sz w:val="18"/>
      <w:szCs w:val="18"/>
    </w:rPr>
  </w:style>
  <w:style w:type="character" w:customStyle="1" w:styleId="29">
    <w:name w:val="页眉 字符"/>
    <w:basedOn w:val="17"/>
    <w:link w:val="1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1E2F-F77D-4713-B1A7-2B7A11C814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20041</Words>
  <Characters>20832</Characters>
  <Lines>179</Lines>
  <Paragraphs>50</Paragraphs>
  <TotalTime>0</TotalTime>
  <ScaleCrop>false</ScaleCrop>
  <LinksUpToDate>false</LinksUpToDate>
  <CharactersWithSpaces>22396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K.C</cp:lastModifiedBy>
  <dcterms:modified xsi:type="dcterms:W3CDTF">2023-06-13T06:50:12Z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F2810FBCA4E14982A2D607453D6698B9</vt:lpwstr>
  </property>
</Properties>
</file>